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1D40B4" w:rsidTr="00481807">
        <w:trPr>
          <w:trHeight w:hRule="exact" w:val="1418"/>
        </w:trPr>
        <w:tc>
          <w:tcPr>
            <w:tcW w:w="6804" w:type="dxa"/>
            <w:shd w:val="clear" w:color="auto" w:fill="auto"/>
            <w:vAlign w:val="center"/>
          </w:tcPr>
          <w:p w:rsidR="00DF0DC8" w:rsidRPr="001D40B4" w:rsidRDefault="00A44DBA" w:rsidP="00481807">
            <w:pPr>
              <w:pStyle w:val="EPName"/>
            </w:pPr>
            <w:r w:rsidRPr="001D40B4">
              <w:t>Parlamento Europeu</w:t>
            </w:r>
          </w:p>
          <w:p w:rsidR="00DF0DC8" w:rsidRPr="001D40B4" w:rsidRDefault="003D1E1E" w:rsidP="003D1E1E">
            <w:pPr>
              <w:pStyle w:val="EPTerm"/>
              <w:rPr>
                <w:rStyle w:val="HideTWBExt"/>
                <w:noProof w:val="0"/>
                <w:vanish w:val="0"/>
                <w:color w:val="auto"/>
              </w:rPr>
            </w:pPr>
            <w:r w:rsidRPr="001D40B4">
              <w:t>2019-2024</w:t>
            </w:r>
          </w:p>
        </w:tc>
        <w:tc>
          <w:tcPr>
            <w:tcW w:w="2268" w:type="dxa"/>
            <w:shd w:val="clear" w:color="auto" w:fill="auto"/>
          </w:tcPr>
          <w:p w:rsidR="00DF0DC8" w:rsidRPr="001D40B4" w:rsidRDefault="007B0C9D" w:rsidP="00481807">
            <w:pPr>
              <w:pStyle w:val="EPLogo"/>
            </w:pPr>
            <w:r w:rsidRPr="001D40B4">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D40B4" w:rsidRDefault="00F64B87" w:rsidP="00F64B87">
      <w:pPr>
        <w:pStyle w:val="LineTop"/>
      </w:pPr>
    </w:p>
    <w:p w:rsidR="00F64B87" w:rsidRPr="001D40B4" w:rsidRDefault="00F64B87" w:rsidP="00F64B87">
      <w:pPr>
        <w:pStyle w:val="EPBody"/>
      </w:pPr>
      <w:r w:rsidRPr="001D40B4">
        <w:rPr>
          <w:rStyle w:val="HideTWBExt"/>
          <w:noProof w:val="0"/>
        </w:rPr>
        <w:t>&lt;</w:t>
      </w:r>
      <w:r w:rsidRPr="001D40B4">
        <w:rPr>
          <w:rStyle w:val="HideTWBExt"/>
          <w:i w:val="0"/>
          <w:noProof w:val="0"/>
        </w:rPr>
        <w:t>Commission&gt;</w:t>
      </w:r>
      <w:r w:rsidRPr="001D40B4">
        <w:rPr>
          <w:rStyle w:val="HideTWBInt"/>
        </w:rPr>
        <w:t>{AFCO}</w:t>
      </w:r>
      <w:r w:rsidRPr="001D40B4">
        <w:t>Comissão dos Assuntos Constitucionais</w:t>
      </w:r>
      <w:r w:rsidRPr="001D40B4">
        <w:rPr>
          <w:rStyle w:val="HideTWBExt"/>
          <w:noProof w:val="0"/>
        </w:rPr>
        <w:t>&lt;/</w:t>
      </w:r>
      <w:r w:rsidRPr="001D40B4">
        <w:rPr>
          <w:rStyle w:val="HideTWBExt"/>
          <w:i w:val="0"/>
          <w:noProof w:val="0"/>
        </w:rPr>
        <w:t>Commission</w:t>
      </w:r>
      <w:r w:rsidRPr="001D40B4">
        <w:rPr>
          <w:rStyle w:val="HideTWBExt"/>
          <w:noProof w:val="0"/>
        </w:rPr>
        <w:t>&gt;</w:t>
      </w:r>
    </w:p>
    <w:p w:rsidR="001173AC" w:rsidRPr="001D40B4" w:rsidRDefault="001173AC" w:rsidP="001173AC">
      <w:pPr>
        <w:pStyle w:val="LineBottom"/>
      </w:pPr>
    </w:p>
    <w:p w:rsidR="00EA74BF" w:rsidRPr="001D40B4" w:rsidRDefault="003D1E1E" w:rsidP="001173AC">
      <w:pPr>
        <w:pStyle w:val="HeadingReferenceOJPV"/>
      </w:pPr>
      <w:r w:rsidRPr="001D40B4">
        <w:t>AFCO_PV(2019)1125_1</w:t>
      </w:r>
    </w:p>
    <w:p w:rsidR="00EA74BF" w:rsidRPr="001D40B4" w:rsidRDefault="00A44DBA" w:rsidP="001173AC">
      <w:pPr>
        <w:pStyle w:val="HeadingDocType24a"/>
      </w:pPr>
      <w:r w:rsidRPr="001D40B4">
        <w:t>ATA</w:t>
      </w:r>
    </w:p>
    <w:p w:rsidR="00EA74BF" w:rsidRPr="001D40B4" w:rsidRDefault="003D1E1E" w:rsidP="001173AC">
      <w:pPr>
        <w:pStyle w:val="HeadingCenter12a"/>
      </w:pPr>
      <w:r w:rsidRPr="001D40B4">
        <w:t>Reunião extraordinária de 25 de novembro de 2019, das 19.30 às 21.30</w:t>
      </w:r>
    </w:p>
    <w:p w:rsidR="00EA74BF" w:rsidRPr="001D40B4" w:rsidRDefault="003D1E1E" w:rsidP="001173AC">
      <w:pPr>
        <w:pStyle w:val="HeadingCenter12a"/>
      </w:pPr>
      <w:r w:rsidRPr="001D40B4">
        <w:t>ESTRASBURGO</w:t>
      </w:r>
    </w:p>
    <w:p w:rsidR="00EA74BF" w:rsidRPr="001D40B4" w:rsidRDefault="00A44DBA" w:rsidP="001173AC">
      <w:pPr>
        <w:pStyle w:val="MeetingIntro"/>
      </w:pPr>
      <w:r w:rsidRPr="001D40B4">
        <w:t>A reunião tem início às 19.41 de segunda-feira, 25 de novembro de 2019, sob a presidência de Antonio Tajani (presidente).</w:t>
      </w:r>
    </w:p>
    <w:p w:rsidR="003D1E1E" w:rsidRPr="001D40B4" w:rsidRDefault="003118F4" w:rsidP="003118F4">
      <w:pPr>
        <w:pStyle w:val="PVxHeading"/>
        <w:numPr>
          <w:ilvl w:val="0"/>
          <w:numId w:val="0"/>
        </w:numPr>
        <w:ind w:left="567" w:hanging="567"/>
      </w:pPr>
      <w:r w:rsidRPr="001D40B4">
        <w:t>1.</w:t>
      </w:r>
      <w:r w:rsidRPr="001D40B4">
        <w:tab/>
        <w:t>Aprovação da ordem do dia</w:t>
      </w:r>
      <w:r w:rsidRPr="001D40B4">
        <w:tab/>
        <w:t>AFCO_OJ PE644.722v01-00</w:t>
      </w:r>
    </w:p>
    <w:p w:rsidR="003D1E1E" w:rsidRPr="001D40B4" w:rsidRDefault="003D1E1E" w:rsidP="003D1E1E">
      <w:pPr>
        <w:pStyle w:val="PVxIndent"/>
        <w:spacing w:after="480"/>
      </w:pPr>
      <w:r w:rsidRPr="001D40B4">
        <w:t>A ordem do dia é aprovada.</w:t>
      </w:r>
    </w:p>
    <w:p w:rsidR="003D1E1E" w:rsidRPr="001D40B4" w:rsidRDefault="003118F4" w:rsidP="003118F4">
      <w:pPr>
        <w:pStyle w:val="PVxHeading"/>
        <w:numPr>
          <w:ilvl w:val="0"/>
          <w:numId w:val="0"/>
        </w:numPr>
        <w:ind w:left="567" w:hanging="567"/>
      </w:pPr>
      <w:r w:rsidRPr="001D40B4">
        <w:t>2.</w:t>
      </w:r>
      <w:r w:rsidRPr="001D40B4">
        <w:tab/>
        <w:t>Comunicações da presidência</w:t>
      </w:r>
    </w:p>
    <w:p w:rsidR="003D1E1E" w:rsidRPr="001D40B4" w:rsidRDefault="003D1E1E" w:rsidP="003D1E1E">
      <w:pPr>
        <w:pStyle w:val="PVxIndent12a"/>
      </w:pPr>
      <w:r w:rsidRPr="001D40B4">
        <w:t>O presidente informa sucintamente sobre as alterações orçamentais da Comissão AFCO aceites pelo Comité de Conciliação:</w:t>
      </w:r>
    </w:p>
    <w:p w:rsidR="00201BA8" w:rsidRPr="001D40B4" w:rsidRDefault="00201BA8" w:rsidP="00201BA8">
      <w:pPr>
        <w:pStyle w:val="PVxIndent12a"/>
        <w:ind w:left="993" w:hanging="426"/>
        <w:rPr>
          <w:snapToGrid/>
        </w:rPr>
      </w:pPr>
      <w:r w:rsidRPr="001D40B4">
        <w:t>•</w:t>
      </w:r>
      <w:r w:rsidRPr="001D40B4">
        <w:tab/>
        <w:t>alterações que aumentam as dotações de autorização para os programas «Europa para os Cidadãos» e «Direitos, Igualdade e Cidadania» (em 1,13 milhões de euros e 1 milhão de euros, respetivamente), repondo assim os montantes cortados pelo Conselho no nível proposto pela Comissão;</w:t>
      </w:r>
    </w:p>
    <w:p w:rsidR="003D1E1E" w:rsidRPr="001D40B4" w:rsidRDefault="00201BA8" w:rsidP="00201BA8">
      <w:pPr>
        <w:pStyle w:val="PVxIndent12a"/>
        <w:spacing w:after="480"/>
        <w:ind w:left="992" w:hanging="425"/>
      </w:pPr>
      <w:r w:rsidRPr="001D40B4">
        <w:t>•</w:t>
      </w:r>
      <w:r w:rsidRPr="001D40B4">
        <w:tab/>
        <w:t>um aumento de 1 milhão de euros para o programa «Europa para os Cidadãos» (próximo do pedido da Comissão AFCO) e um aumento de 1,2 milhões de euros para o programa «Direitos, Igualdade e Cidadania» (acima do pedido da Comissão AFCO).</w:t>
      </w:r>
    </w:p>
    <w:p w:rsidR="0062045A" w:rsidRPr="001D40B4" w:rsidRDefault="0062045A" w:rsidP="003D1E1E">
      <w:pPr>
        <w:pStyle w:val="PVxIndent12a"/>
        <w:spacing w:after="480"/>
        <w:ind w:left="992" w:hanging="425"/>
      </w:pPr>
    </w:p>
    <w:p w:rsidR="0062045A" w:rsidRPr="001D40B4" w:rsidRDefault="0062045A" w:rsidP="0062045A">
      <w:pPr>
        <w:spacing w:before="240" w:after="240"/>
        <w:rPr>
          <w:snapToGrid/>
        </w:rPr>
      </w:pPr>
      <w:r w:rsidRPr="001D40B4">
        <w:rPr>
          <w:b/>
          <w:bCs/>
          <w:i/>
          <w:iCs/>
        </w:rPr>
        <w:lastRenderedPageBreak/>
        <w:t>*** Período de votação ***</w:t>
      </w:r>
    </w:p>
    <w:p w:rsidR="003D1E1E" w:rsidRPr="001D40B4" w:rsidRDefault="003118F4" w:rsidP="003118F4">
      <w:pPr>
        <w:pStyle w:val="PVxHeading"/>
        <w:numPr>
          <w:ilvl w:val="0"/>
          <w:numId w:val="0"/>
        </w:numPr>
        <w:ind w:left="567" w:hanging="567"/>
      </w:pPr>
      <w:r w:rsidRPr="001D40B4">
        <w:t>3.</w:t>
      </w:r>
      <w:r w:rsidRPr="001D40B4">
        <w:tab/>
        <w:t>Execução da Política Comum de Segurança e Defesa - relatório anual de 2018</w:t>
      </w:r>
    </w:p>
    <w:p w:rsidR="003D1E1E" w:rsidRPr="001D40B4" w:rsidRDefault="003D1E1E" w:rsidP="003D1E1E">
      <w:pPr>
        <w:pStyle w:val="PVxIndent12b"/>
        <w:rPr>
          <w:snapToGrid/>
        </w:rPr>
      </w:pPr>
      <w:r w:rsidRPr="001D40B4">
        <w:t>AFCO/9/01668</w:t>
      </w:r>
    </w:p>
    <w:p w:rsidR="003D1E1E" w:rsidRPr="001D40B4" w:rsidRDefault="003D1E1E" w:rsidP="003D1E1E">
      <w:pPr>
        <w:pStyle w:val="PVxIndent12b"/>
        <w:spacing w:before="0" w:after="240"/>
      </w:pPr>
      <w:r w:rsidRPr="001D40B4">
        <w:t>2019/2135(INI)</w:t>
      </w:r>
    </w:p>
    <w:p w:rsidR="003D1E1E" w:rsidRPr="001D40B4" w:rsidRDefault="003D1E1E" w:rsidP="003D1E1E">
      <w:pPr>
        <w:pStyle w:val="NormalIndent12a"/>
        <w:tabs>
          <w:tab w:val="left" w:pos="3402"/>
          <w:tab w:val="right" w:pos="9071"/>
        </w:tabs>
        <w:spacing w:after="0"/>
        <w:ind w:left="567"/>
      </w:pPr>
      <w:r w:rsidRPr="001D40B4">
        <w:t xml:space="preserve">Relator de parecer: </w:t>
      </w:r>
      <w:r w:rsidRPr="001D40B4">
        <w:rPr>
          <w:b/>
        </w:rPr>
        <w:t>Esteban González Pons</w:t>
      </w:r>
      <w:r w:rsidRPr="001D40B4">
        <w:t xml:space="preserve"> (PPE)</w:t>
      </w:r>
      <w:r w:rsidRPr="001D40B4">
        <w:tab/>
        <w:t>PA – PE643.103v01-00</w:t>
      </w:r>
    </w:p>
    <w:p w:rsidR="003D1E1E" w:rsidRPr="001D40B4" w:rsidRDefault="003D1E1E" w:rsidP="003D1E1E">
      <w:pPr>
        <w:pStyle w:val="NormalIndent12a"/>
        <w:tabs>
          <w:tab w:val="left" w:pos="3402"/>
          <w:tab w:val="right" w:pos="9071"/>
        </w:tabs>
        <w:ind w:left="567"/>
      </w:pPr>
      <w:r w:rsidRPr="001D40B4">
        <w:tab/>
      </w:r>
      <w:r w:rsidRPr="001D40B4">
        <w:tab/>
        <w:t>AM – PE643.190v02-00</w:t>
      </w:r>
    </w:p>
    <w:p w:rsidR="003D1E1E" w:rsidRPr="001D40B4" w:rsidRDefault="003D1E1E" w:rsidP="003D1E1E">
      <w:pPr>
        <w:pStyle w:val="NormalIndent12a"/>
        <w:tabs>
          <w:tab w:val="left" w:pos="2410"/>
          <w:tab w:val="left" w:pos="3402"/>
          <w:tab w:val="right" w:pos="9071"/>
        </w:tabs>
        <w:spacing w:after="0"/>
        <w:ind w:left="567"/>
      </w:pPr>
      <w:r w:rsidRPr="001D40B4">
        <w:t>Fundo:</w:t>
      </w:r>
      <w:r w:rsidRPr="001D40B4">
        <w:tab/>
        <w:t>AFET</w:t>
      </w:r>
      <w:r w:rsidRPr="001D40B4">
        <w:tab/>
        <w:t>Arnaud Danjean (PPE)</w:t>
      </w:r>
      <w:r w:rsidRPr="001D40B4">
        <w:tab/>
        <w:t>PR – PE641.445v02-00</w:t>
      </w:r>
    </w:p>
    <w:p w:rsidR="003D1E1E" w:rsidRPr="001D40B4" w:rsidRDefault="003D1E1E" w:rsidP="003D1E1E">
      <w:pPr>
        <w:pStyle w:val="NormalIndent12a"/>
        <w:tabs>
          <w:tab w:val="left" w:pos="2410"/>
          <w:tab w:val="left" w:pos="3402"/>
          <w:tab w:val="right" w:pos="9071"/>
        </w:tabs>
        <w:spacing w:after="0"/>
        <w:ind w:left="567"/>
      </w:pPr>
      <w:r w:rsidRPr="001D40B4">
        <w:tab/>
      </w:r>
      <w:r w:rsidRPr="001D40B4">
        <w:tab/>
      </w:r>
      <w:r w:rsidRPr="001D40B4">
        <w:tab/>
        <w:t>AM – PE643.151v01-00</w:t>
      </w:r>
    </w:p>
    <w:p w:rsidR="003D1E1E" w:rsidRPr="001D40B4" w:rsidRDefault="003D1E1E" w:rsidP="003D1E1E">
      <w:pPr>
        <w:pStyle w:val="NormalIndent12a"/>
        <w:tabs>
          <w:tab w:val="left" w:pos="2410"/>
          <w:tab w:val="left" w:pos="3402"/>
          <w:tab w:val="right" w:pos="9071"/>
        </w:tabs>
        <w:ind w:left="567"/>
      </w:pPr>
      <w:r w:rsidRPr="001D40B4">
        <w:tab/>
      </w:r>
      <w:r w:rsidRPr="001D40B4">
        <w:tab/>
      </w:r>
      <w:r w:rsidRPr="001D40B4">
        <w:tab/>
        <w:t>AM – PE643.150v01-00</w:t>
      </w:r>
    </w:p>
    <w:p w:rsidR="00201BA8" w:rsidRPr="001D40B4" w:rsidRDefault="00201BA8" w:rsidP="00201BA8">
      <w:pPr>
        <w:pStyle w:val="PVxIndent12b"/>
        <w:spacing w:after="240"/>
      </w:pPr>
      <w:r w:rsidRPr="001D40B4">
        <w:t>São aprovadas as alterações de compr</w:t>
      </w:r>
      <w:bookmarkStart w:id="0" w:name="_GoBack"/>
      <w:bookmarkEnd w:id="0"/>
      <w:r w:rsidRPr="001D40B4">
        <w:t>omisso ao projeto de parecer 1, 2, 3, 4, 5 e 6, assim como as alterações 23, 25, 26 (primeira parte), 28 (com alteração oral), 34, 37 e 42.</w:t>
      </w:r>
    </w:p>
    <w:p w:rsidR="00201BA8" w:rsidRPr="001D40B4" w:rsidRDefault="00201BA8" w:rsidP="00201BA8">
      <w:pPr>
        <w:pStyle w:val="PVxIndent12b"/>
        <w:spacing w:after="240"/>
      </w:pPr>
      <w:r w:rsidRPr="001D40B4">
        <w:t>O projeto de parecer é aprovado por 17 votos a favor, 4 votos contra e 4 abstenções.</w:t>
      </w:r>
    </w:p>
    <w:p w:rsidR="003D1E1E" w:rsidRPr="001D40B4" w:rsidRDefault="00201BA8" w:rsidP="00201BA8">
      <w:pPr>
        <w:pStyle w:val="PVxIndent12b"/>
        <w:spacing w:after="240"/>
      </w:pPr>
      <w:r w:rsidRPr="001D40B4">
        <w:t>Para além do presidente, Antonio Tajani, e do relator, Esteban González Pons, intervêm os seguintes deputados: Giuliano Pisapia, Pascal Durand, Daniel Freund, Laura Huhtasaari, Geert Bourgeois, Helmut Scholz.</w:t>
      </w:r>
    </w:p>
    <w:p w:rsidR="0062045A" w:rsidRPr="001D40B4" w:rsidRDefault="0062045A" w:rsidP="0062045A">
      <w:pPr>
        <w:spacing w:after="600"/>
      </w:pPr>
      <w:r w:rsidRPr="001D40B4">
        <w:rPr>
          <w:b/>
          <w:bCs/>
          <w:i/>
          <w:iCs/>
        </w:rPr>
        <w:t>*** Fim da votação ***</w:t>
      </w:r>
    </w:p>
    <w:p w:rsidR="003D1E1E" w:rsidRPr="001D40B4" w:rsidRDefault="003118F4" w:rsidP="003118F4">
      <w:pPr>
        <w:pStyle w:val="PVxHeading"/>
        <w:numPr>
          <w:ilvl w:val="0"/>
          <w:numId w:val="0"/>
        </w:numPr>
        <w:ind w:left="567" w:hanging="567"/>
      </w:pPr>
      <w:r w:rsidRPr="001D40B4">
        <w:t>4.</w:t>
      </w:r>
      <w:r w:rsidRPr="001D40B4">
        <w:tab/>
        <w:t>A Conferência sobre o Futuro da Europa e o papel do Parlamento Europeu</w:t>
      </w:r>
    </w:p>
    <w:p w:rsidR="003D1E1E" w:rsidRPr="001D40B4" w:rsidRDefault="003D1E1E" w:rsidP="003D1E1E">
      <w:pPr>
        <w:pStyle w:val="PVxIndent12b"/>
      </w:pPr>
      <w:r w:rsidRPr="001D40B4">
        <w:t>AFCO/9/01332</w:t>
      </w:r>
    </w:p>
    <w:p w:rsidR="00201BA8" w:rsidRPr="001D40B4" w:rsidRDefault="00201BA8" w:rsidP="00201BA8">
      <w:pPr>
        <w:pStyle w:val="PVxIndent12b"/>
        <w:spacing w:after="240"/>
      </w:pPr>
      <w:r w:rsidRPr="001D40B4">
        <w:t xml:space="preserve">A Comissão AFCO aprova a decisão dos coordenadores de transformar o texto de um projeto de proposta de resolução relativo à Conferência sobre o Futuro da Europa num parecer sob a forma de uma carta. O texto estará aberto a alterações, apenas em inglês, até 3 de dezembro de 2019 e será submetido a votação na Comissão AFCO numa reunião extraordinária em 9 de dezembro de 2019. </w:t>
      </w:r>
    </w:p>
    <w:p w:rsidR="00201BA8" w:rsidRPr="001D40B4" w:rsidRDefault="00201BA8" w:rsidP="00201BA8">
      <w:pPr>
        <w:pStyle w:val="PVxIndent12b"/>
        <w:spacing w:after="240"/>
      </w:pPr>
      <w:r w:rsidRPr="001D40B4">
        <w:t>Esta decisão surge na sequência das decisões tomadas na Conferência dos Presidentes em 21 de novembro de 2019no sentido de os grupos políticos apresentarem uma resolução para ser submetida à votação no Parlamento em janeiro de 2020, depois de o Grupo de Trabalho sobre o Futuro da Europa informar a Conferência dos Presidentes sobre as suas conclusões, em 19 de dezembro de 2019. Com base nestas decisões, David Maria Sassoli, Presidente do Parlamento, convida a Comissão AFCO a apresentar um parecer sob a forma de carta ao Grupo de Trabalho até 16 de dezembro, o mais tardar.</w:t>
      </w:r>
    </w:p>
    <w:p w:rsidR="00201BA8" w:rsidRPr="001D40B4" w:rsidRDefault="00201BA8" w:rsidP="00201BA8">
      <w:pPr>
        <w:pStyle w:val="PVxIndent12b"/>
        <w:spacing w:after="360"/>
      </w:pPr>
      <w:r w:rsidRPr="001D40B4">
        <w:t>Durante o debate que se segue, além do presidente, Antonio Tajani, intervêm os seguintes deputados: Domènec Ruiz Devesa, Danuta Maria Hübner, Pascal Durand, Daniel Freund, Gerolf Annemans, Geert Bourgeois,</w:t>
      </w:r>
    </w:p>
    <w:p w:rsidR="00201BA8" w:rsidRPr="001D40B4" w:rsidRDefault="00201BA8" w:rsidP="00201BA8">
      <w:pPr>
        <w:spacing w:after="360"/>
      </w:pPr>
      <w:r w:rsidRPr="001D40B4">
        <w:t>Gabriele Bischoff (vice-presidente) assume a presidência às 20.33,</w:t>
      </w:r>
    </w:p>
    <w:p w:rsidR="00201BA8" w:rsidRPr="001D40B4" w:rsidRDefault="00201BA8" w:rsidP="00201BA8">
      <w:pPr>
        <w:pStyle w:val="PVxIndent12b"/>
        <w:spacing w:after="360"/>
      </w:pPr>
      <w:r w:rsidRPr="001D40B4">
        <w:lastRenderedPageBreak/>
        <w:t>Helmut Scholz, Othmar Karas,</w:t>
      </w:r>
    </w:p>
    <w:p w:rsidR="00201BA8" w:rsidRPr="001D40B4" w:rsidRDefault="00201BA8" w:rsidP="00201BA8">
      <w:pPr>
        <w:spacing w:after="360"/>
      </w:pPr>
      <w:r w:rsidRPr="001D40B4">
        <w:t>Antonio Tajani (presidente) assume a presidência às 20.39,</w:t>
      </w:r>
    </w:p>
    <w:p w:rsidR="003D1E1E" w:rsidRPr="001D40B4" w:rsidRDefault="00201BA8" w:rsidP="00201BA8">
      <w:pPr>
        <w:pStyle w:val="PVxIndent12b"/>
        <w:spacing w:after="480"/>
      </w:pPr>
      <w:r w:rsidRPr="001D40B4">
        <w:t>Paulo Rangel, Damian Boeselager, Loránt Vincze, Mairead McGuinness, Gabriele Bischoff, Gilles Lebreton, Guy Verhofstadt.</w:t>
      </w:r>
    </w:p>
    <w:p w:rsidR="003D1E1E" w:rsidRPr="001D40B4" w:rsidRDefault="003118F4" w:rsidP="003118F4">
      <w:pPr>
        <w:pStyle w:val="PVxHeading"/>
        <w:numPr>
          <w:ilvl w:val="0"/>
          <w:numId w:val="0"/>
        </w:numPr>
        <w:ind w:left="567" w:hanging="567"/>
        <w:rPr>
          <w:snapToGrid/>
        </w:rPr>
      </w:pPr>
      <w:r w:rsidRPr="001D40B4">
        <w:rPr>
          <w:snapToGrid/>
        </w:rPr>
        <w:t>5.</w:t>
      </w:r>
      <w:r w:rsidRPr="001D40B4">
        <w:rPr>
          <w:snapToGrid/>
        </w:rPr>
        <w:tab/>
      </w:r>
      <w:r w:rsidRPr="001D40B4">
        <w:t>Diversos</w:t>
      </w:r>
    </w:p>
    <w:p w:rsidR="003D1E1E" w:rsidRPr="001D40B4" w:rsidRDefault="003D1E1E" w:rsidP="003D1E1E">
      <w:pPr>
        <w:pStyle w:val="PVxIndent"/>
        <w:spacing w:after="480"/>
      </w:pPr>
      <w:r w:rsidRPr="001D40B4">
        <w:t>Nada a assinalar.</w:t>
      </w:r>
    </w:p>
    <w:p w:rsidR="003D1E1E" w:rsidRPr="001D40B4" w:rsidRDefault="003118F4" w:rsidP="003118F4">
      <w:pPr>
        <w:pStyle w:val="PVxHeading"/>
        <w:numPr>
          <w:ilvl w:val="0"/>
          <w:numId w:val="0"/>
        </w:numPr>
        <w:ind w:left="567" w:hanging="567"/>
      </w:pPr>
      <w:r w:rsidRPr="001D40B4">
        <w:t>6.</w:t>
      </w:r>
      <w:r w:rsidRPr="001D40B4">
        <w:tab/>
        <w:t>Data e local da próxima reunião</w:t>
      </w:r>
    </w:p>
    <w:p w:rsidR="003D1E1E" w:rsidRPr="001D40B4" w:rsidRDefault="003D1E1E" w:rsidP="003D1E1E">
      <w:pPr>
        <w:pStyle w:val="PVxIndent12a"/>
        <w:spacing w:after="840"/>
        <w:ind w:left="851" w:hanging="284"/>
      </w:pPr>
      <w:r w:rsidRPr="001D40B4">
        <w:t>•</w:t>
      </w:r>
      <w:r w:rsidRPr="001D40B4">
        <w:tab/>
        <w:t>4 de dezembro de 2019, das 9.00 às 12.30 e das 14.30 às 18.30 (Bruxelas)</w:t>
      </w:r>
    </w:p>
    <w:p w:rsidR="003D1E1E" w:rsidRPr="001D40B4" w:rsidRDefault="003D1E1E" w:rsidP="003D1E1E">
      <w:pPr>
        <w:spacing w:after="480"/>
      </w:pPr>
      <w:r w:rsidRPr="001D40B4">
        <w:t>A reunião é encerrada às 21.24.</w:t>
      </w:r>
    </w:p>
    <w:p w:rsidR="00201BA8" w:rsidRPr="001D40B4" w:rsidRDefault="00201BA8" w:rsidP="003D1E1E">
      <w:pPr>
        <w:spacing w:after="480"/>
      </w:pPr>
    </w:p>
    <w:p w:rsidR="00201BA8" w:rsidRPr="001D40B4" w:rsidRDefault="00201BA8" w:rsidP="003D1E1E">
      <w:pPr>
        <w:spacing w:after="480"/>
      </w:pPr>
    </w:p>
    <w:p w:rsidR="00CA70CB" w:rsidRPr="001D40B4" w:rsidRDefault="00CA70CB">
      <w:pPr>
        <w:tabs>
          <w:tab w:val="left" w:pos="-1057"/>
          <w:tab w:val="left" w:pos="-720"/>
          <w:tab w:val="left" w:pos="0"/>
          <w:tab w:val="left" w:pos="720"/>
          <w:tab w:val="left" w:pos="2154"/>
          <w:tab w:val="left" w:pos="2880"/>
        </w:tabs>
        <w:sectPr w:rsidR="00CA70CB" w:rsidRPr="001D40B4" w:rsidSect="001D40B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1D40B4" w:rsidRDefault="00A44DBA" w:rsidP="00DC63A9">
      <w:pPr>
        <w:pStyle w:val="RollCallHeading"/>
      </w:pPr>
      <w:r w:rsidRPr="001D40B4">
        <w:lastRenderedPageBreak/>
        <w:t>Results of roll-call votes</w:t>
      </w:r>
    </w:p>
    <w:p w:rsidR="008D7AD4" w:rsidRPr="001D40B4" w:rsidRDefault="00A44DBA" w:rsidP="00DC63A9">
      <w:pPr>
        <w:pStyle w:val="RollCallContents"/>
      </w:pPr>
      <w:r w:rsidRPr="001D40B4">
        <w:t>Contents</w:t>
      </w:r>
    </w:p>
    <w:p w:rsidR="005405C7" w:rsidRDefault="00A16FC5">
      <w:pPr>
        <w:pStyle w:val="TOC1"/>
        <w:tabs>
          <w:tab w:val="right" w:leader="dot" w:pos="9061"/>
        </w:tabs>
        <w:rPr>
          <w:rFonts w:asciiTheme="minorHAnsi" w:eastAsiaTheme="minorEastAsia" w:hAnsiTheme="minorHAnsi" w:cstheme="minorBidi"/>
          <w:noProof/>
          <w:snapToGrid/>
          <w:sz w:val="22"/>
          <w:szCs w:val="22"/>
          <w:lang w:val="en-GB" w:eastAsia="en-GB"/>
        </w:rPr>
      </w:pPr>
      <w:r w:rsidRPr="001D40B4">
        <w:fldChar w:fldCharType="begin"/>
      </w:r>
      <w:r w:rsidRPr="001D40B4">
        <w:instrText xml:space="preserve"> TOC \t "RollCallTitle</w:instrText>
      </w:r>
      <w:r w:rsidR="006101CA" w:rsidRPr="001D40B4">
        <w:instrText>;</w:instrText>
      </w:r>
      <w:r w:rsidRPr="001D40B4">
        <w:instrText>1</w:instrText>
      </w:r>
      <w:r w:rsidR="006101CA" w:rsidRPr="001D40B4">
        <w:instrText>;</w:instrText>
      </w:r>
      <w:r w:rsidRPr="001D40B4">
        <w:instrText>RollCallSubtitle</w:instrText>
      </w:r>
      <w:r w:rsidR="006101CA" w:rsidRPr="001D40B4">
        <w:instrText>;</w:instrText>
      </w:r>
      <w:r w:rsidRPr="001D40B4">
        <w:instrText xml:space="preserve">2" </w:instrText>
      </w:r>
      <w:r w:rsidRPr="001D40B4">
        <w:fldChar w:fldCharType="separate"/>
      </w:r>
      <w:r w:rsidR="005405C7">
        <w:rPr>
          <w:noProof/>
        </w:rPr>
        <w:t>AFCO/9/01668, Implementation of the common security and defence policy - annual report 2018 (2019/2135(INI)), rapporteur for the opinion: Esteban González Pons</w:t>
      </w:r>
      <w:r w:rsidR="005405C7">
        <w:rPr>
          <w:noProof/>
        </w:rPr>
        <w:tab/>
      </w:r>
      <w:r w:rsidR="005405C7">
        <w:rPr>
          <w:noProof/>
        </w:rPr>
        <w:fldChar w:fldCharType="begin"/>
      </w:r>
      <w:r w:rsidR="005405C7">
        <w:rPr>
          <w:noProof/>
        </w:rPr>
        <w:instrText xml:space="preserve"> PAGEREF _Toc30411458 \h </w:instrText>
      </w:r>
      <w:r w:rsidR="005405C7">
        <w:rPr>
          <w:noProof/>
        </w:rPr>
      </w:r>
      <w:r w:rsidR="005405C7">
        <w:rPr>
          <w:noProof/>
        </w:rPr>
        <w:fldChar w:fldCharType="separate"/>
      </w:r>
      <w:r w:rsidR="005405C7">
        <w:rPr>
          <w:noProof/>
        </w:rPr>
        <w:t>5</w:t>
      </w:r>
      <w:r w:rsidR="005405C7">
        <w:rPr>
          <w:noProof/>
        </w:rPr>
        <w:fldChar w:fldCharType="end"/>
      </w:r>
    </w:p>
    <w:p w:rsidR="005405C7" w:rsidRDefault="005405C7">
      <w:pPr>
        <w:pStyle w:val="TOC2"/>
        <w:tabs>
          <w:tab w:val="right" w:leader="dot" w:pos="9061"/>
        </w:tabs>
        <w:rPr>
          <w:rFonts w:asciiTheme="minorHAnsi" w:eastAsiaTheme="minorEastAsia" w:hAnsiTheme="minorHAnsi" w:cstheme="minorBidi"/>
          <w:noProof/>
          <w:snapToGrid/>
          <w:sz w:val="22"/>
          <w:szCs w:val="22"/>
          <w:lang w:val="en-GB" w:eastAsia="en-GB"/>
        </w:rPr>
      </w:pPr>
      <w:r>
        <w:rPr>
          <w:noProof/>
        </w:rPr>
        <w:t>Final vote</w:t>
      </w:r>
      <w:r>
        <w:rPr>
          <w:noProof/>
        </w:rPr>
        <w:tab/>
      </w:r>
      <w:r>
        <w:rPr>
          <w:noProof/>
        </w:rPr>
        <w:fldChar w:fldCharType="begin"/>
      </w:r>
      <w:r>
        <w:rPr>
          <w:noProof/>
        </w:rPr>
        <w:instrText xml:space="preserve"> PAGEREF _Toc30411459 \h </w:instrText>
      </w:r>
      <w:r>
        <w:rPr>
          <w:noProof/>
        </w:rPr>
      </w:r>
      <w:r>
        <w:rPr>
          <w:noProof/>
        </w:rPr>
        <w:fldChar w:fldCharType="separate"/>
      </w:r>
      <w:r>
        <w:rPr>
          <w:noProof/>
        </w:rPr>
        <w:t>5</w:t>
      </w:r>
      <w:r>
        <w:rPr>
          <w:noProof/>
        </w:rPr>
        <w:fldChar w:fldCharType="end"/>
      </w:r>
    </w:p>
    <w:p w:rsidR="002659A2" w:rsidRPr="001D40B4" w:rsidRDefault="00A16FC5" w:rsidP="00A16FC5">
      <w:r w:rsidRPr="001D40B4">
        <w:fldChar w:fldCharType="end"/>
      </w:r>
    </w:p>
    <w:p w:rsidR="008D7AD4" w:rsidRPr="001D40B4" w:rsidRDefault="008D7AD4" w:rsidP="00AD4CEB">
      <w:pPr>
        <w:pStyle w:val="Normal12a"/>
      </w:pPr>
    </w:p>
    <w:p w:rsidR="008D7AD4" w:rsidRPr="001D40B4" w:rsidRDefault="00A44DBA" w:rsidP="00C36FC4">
      <w:r w:rsidRPr="001D40B4">
        <w:t>Key to symbols:</w:t>
      </w:r>
    </w:p>
    <w:p w:rsidR="00C36FC4" w:rsidRPr="001D40B4" w:rsidRDefault="00A44DBA" w:rsidP="000A769E">
      <w:pPr>
        <w:pStyle w:val="RollCallTabs"/>
      </w:pPr>
      <w:r w:rsidRPr="001D40B4">
        <w:t>+</w:t>
      </w:r>
      <w:r w:rsidRPr="001D40B4">
        <w:tab/>
        <w:t>:</w:t>
      </w:r>
      <w:r w:rsidRPr="001D40B4">
        <w:tab/>
        <w:t>in favour</w:t>
      </w:r>
    </w:p>
    <w:p w:rsidR="00C36FC4" w:rsidRPr="001D40B4" w:rsidRDefault="00A44DBA" w:rsidP="000A769E">
      <w:pPr>
        <w:pStyle w:val="RollCallTabs"/>
      </w:pPr>
      <w:r w:rsidRPr="001D40B4">
        <w:t>-</w:t>
      </w:r>
      <w:r w:rsidRPr="001D40B4">
        <w:tab/>
        <w:t>:</w:t>
      </w:r>
      <w:r w:rsidRPr="001D40B4">
        <w:tab/>
        <w:t>against</w:t>
      </w:r>
    </w:p>
    <w:p w:rsidR="00C36FC4" w:rsidRPr="001D40B4" w:rsidRDefault="00A44DBA" w:rsidP="000A769E">
      <w:pPr>
        <w:pStyle w:val="RollCallTabs"/>
      </w:pPr>
      <w:r w:rsidRPr="001D40B4">
        <w:t>0</w:t>
      </w:r>
      <w:r w:rsidRPr="001D40B4">
        <w:tab/>
        <w:t>:</w:t>
      </w:r>
      <w:r w:rsidRPr="001D40B4">
        <w:tab/>
        <w:t>abstention</w:t>
      </w:r>
    </w:p>
    <w:p w:rsidR="008D7AD4" w:rsidRPr="001D40B4" w:rsidRDefault="008D7AD4" w:rsidP="00D6668F">
      <w:pPr>
        <w:pStyle w:val="RollCallTitle"/>
      </w:pPr>
      <w:r w:rsidRPr="001D40B4">
        <w:br w:type="page"/>
      </w:r>
      <w:bookmarkStart w:id="1" w:name="_Toc25612703"/>
      <w:bookmarkStart w:id="2" w:name="_Toc30411458"/>
      <w:r w:rsidRPr="001D40B4">
        <w:lastRenderedPageBreak/>
        <w:t xml:space="preserve">AFCO/9/01668, </w:t>
      </w:r>
      <w:bookmarkEnd w:id="1"/>
      <w:r w:rsidRPr="001D40B4">
        <w:t>Implementation of the common security and defence policy - annual report 2018 (2019/2135(INI)), rapporteur for the opinion: Esteban González Pons</w:t>
      </w:r>
      <w:bookmarkEnd w:id="2"/>
    </w:p>
    <w:p w:rsidR="008A7874" w:rsidRPr="001D40B4" w:rsidRDefault="0062045A" w:rsidP="008A7874">
      <w:pPr>
        <w:pStyle w:val="RollCallSubtitle"/>
      </w:pPr>
      <w:bookmarkStart w:id="3" w:name="_Toc30411459"/>
      <w:r w:rsidRPr="001D40B4">
        <w:t>Final vote</w:t>
      </w:r>
      <w:bookmarkEnd w:id="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1D40B4" w:rsidTr="0062045A">
        <w:trPr>
          <w:cantSplit/>
        </w:trPr>
        <w:tc>
          <w:tcPr>
            <w:tcW w:w="1701" w:type="dxa"/>
            <w:shd w:val="pct10" w:color="000000" w:fill="FFFFFF"/>
            <w:vAlign w:val="center"/>
          </w:tcPr>
          <w:p w:rsidR="00251D85" w:rsidRPr="001D40B4" w:rsidRDefault="0062045A" w:rsidP="002659A2">
            <w:pPr>
              <w:pStyle w:val="RollCallVotes"/>
              <w:rPr>
                <w:sz w:val="32"/>
                <w:szCs w:val="32"/>
              </w:rPr>
            </w:pPr>
            <w:r w:rsidRPr="001D40B4">
              <w:rPr>
                <w:sz w:val="32"/>
                <w:szCs w:val="32"/>
              </w:rPr>
              <w:t>17</w:t>
            </w:r>
          </w:p>
        </w:tc>
        <w:tc>
          <w:tcPr>
            <w:tcW w:w="7371" w:type="dxa"/>
            <w:shd w:val="pct10" w:color="000000" w:fill="FFFFFF"/>
          </w:tcPr>
          <w:p w:rsidR="00251D85" w:rsidRPr="001D40B4" w:rsidRDefault="00A92F32" w:rsidP="002659A2">
            <w:pPr>
              <w:pStyle w:val="RollCallSymbols14pt"/>
            </w:pPr>
            <w:r w:rsidRPr="001D40B4">
              <w:t>+</w:t>
            </w:r>
          </w:p>
        </w:tc>
      </w:tr>
      <w:tr w:rsidR="0062045A" w:rsidRPr="001D40B4" w:rsidTr="0062045A">
        <w:trPr>
          <w:cantSplit/>
        </w:trPr>
        <w:tc>
          <w:tcPr>
            <w:tcW w:w="1701" w:type="dxa"/>
            <w:shd w:val="clear" w:color="auto" w:fill="FFFFFF"/>
            <w:vAlign w:val="center"/>
          </w:tcPr>
          <w:p w:rsidR="0062045A" w:rsidRPr="001D40B4" w:rsidRDefault="0062045A" w:rsidP="0062045A">
            <w:pPr>
              <w:rPr>
                <w:snapToGrid/>
                <w:sz w:val="16"/>
              </w:rPr>
            </w:pPr>
            <w:r w:rsidRPr="001D40B4">
              <w:rPr>
                <w:sz w:val="16"/>
              </w:rPr>
              <w:t>PPE</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Esteban González Pons, Brice Hortefeux, Danuta Maria Hübner, Paulo Rangel, Sven Simon, Antonio Tajani, Loránt Vincze</w:t>
            </w:r>
          </w:p>
        </w:tc>
      </w:tr>
      <w:tr w:rsidR="0062045A" w:rsidRPr="001D40B4" w:rsidTr="0062045A">
        <w:trPr>
          <w:cantSplit/>
        </w:trPr>
        <w:tc>
          <w:tcPr>
            <w:tcW w:w="1701" w:type="dxa"/>
            <w:shd w:val="clear" w:color="auto" w:fill="FFFFFF"/>
            <w:vAlign w:val="center"/>
          </w:tcPr>
          <w:p w:rsidR="0062045A" w:rsidRPr="001D40B4" w:rsidRDefault="0062045A" w:rsidP="0062045A">
            <w:pPr>
              <w:rPr>
                <w:sz w:val="16"/>
              </w:rPr>
            </w:pPr>
            <w:r w:rsidRPr="001D40B4">
              <w:rPr>
                <w:sz w:val="16"/>
              </w:rPr>
              <w:t>RENEW</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Catherine Bearder, Pascal Durand, Cristian Ghinea, Guy Verhofstadt</w:t>
            </w:r>
          </w:p>
        </w:tc>
      </w:tr>
      <w:tr w:rsidR="0062045A" w:rsidRPr="001D40B4" w:rsidTr="0062045A">
        <w:trPr>
          <w:cantSplit/>
        </w:trPr>
        <w:tc>
          <w:tcPr>
            <w:tcW w:w="1701" w:type="dxa"/>
            <w:shd w:val="clear" w:color="auto" w:fill="FFFFFF"/>
            <w:vAlign w:val="center"/>
          </w:tcPr>
          <w:p w:rsidR="0062045A" w:rsidRPr="001D40B4" w:rsidRDefault="0062045A" w:rsidP="0062045A">
            <w:pPr>
              <w:rPr>
                <w:sz w:val="16"/>
              </w:rPr>
            </w:pPr>
            <w:r w:rsidRPr="001D40B4">
              <w:rPr>
                <w:sz w:val="16"/>
              </w:rPr>
              <w:t>S&amp;D</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Brando Benifei, Gabriele Bischoff, Richard Corbett, Maria Grapini, Giuliano Pisapia, Domènec Ruiz Devesa</w:t>
            </w:r>
          </w:p>
        </w:tc>
      </w:tr>
    </w:tbl>
    <w:p w:rsidR="00672690" w:rsidRPr="001D40B4" w:rsidRDefault="00672690"/>
    <w:p w:rsidR="0062045A" w:rsidRPr="001D40B4" w:rsidRDefault="0062045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1D40B4" w:rsidTr="0062045A">
        <w:trPr>
          <w:cantSplit/>
        </w:trPr>
        <w:tc>
          <w:tcPr>
            <w:tcW w:w="1701" w:type="dxa"/>
            <w:shd w:val="pct10" w:color="000000" w:fill="FFFFFF"/>
            <w:vAlign w:val="center"/>
          </w:tcPr>
          <w:p w:rsidR="005B7835" w:rsidRPr="001D40B4" w:rsidRDefault="0062045A" w:rsidP="002659A2">
            <w:pPr>
              <w:pStyle w:val="RollCallVotes"/>
              <w:rPr>
                <w:sz w:val="32"/>
                <w:szCs w:val="32"/>
              </w:rPr>
            </w:pPr>
            <w:r w:rsidRPr="001D40B4">
              <w:rPr>
                <w:sz w:val="32"/>
                <w:szCs w:val="32"/>
              </w:rPr>
              <w:t>4</w:t>
            </w:r>
          </w:p>
        </w:tc>
        <w:tc>
          <w:tcPr>
            <w:tcW w:w="7371" w:type="dxa"/>
            <w:shd w:val="pct10" w:color="000000" w:fill="FFFFFF"/>
          </w:tcPr>
          <w:p w:rsidR="005B7835" w:rsidRPr="001D40B4" w:rsidRDefault="00A92F32" w:rsidP="002659A2">
            <w:pPr>
              <w:pStyle w:val="RollCallSymbols14pt"/>
            </w:pPr>
            <w:r w:rsidRPr="001D40B4">
              <w:t>-</w:t>
            </w:r>
          </w:p>
        </w:tc>
      </w:tr>
      <w:tr w:rsidR="0062045A" w:rsidRPr="001D40B4" w:rsidTr="0062045A">
        <w:trPr>
          <w:cantSplit/>
        </w:trPr>
        <w:tc>
          <w:tcPr>
            <w:tcW w:w="1701" w:type="dxa"/>
            <w:shd w:val="clear" w:color="auto" w:fill="FFFFFF"/>
            <w:vAlign w:val="center"/>
          </w:tcPr>
          <w:p w:rsidR="0062045A" w:rsidRPr="001D40B4" w:rsidRDefault="0062045A" w:rsidP="0062045A">
            <w:pPr>
              <w:rPr>
                <w:snapToGrid/>
                <w:sz w:val="16"/>
              </w:rPr>
            </w:pPr>
            <w:r w:rsidRPr="001D40B4">
              <w:rPr>
                <w:sz w:val="16"/>
              </w:rPr>
              <w:t>ECR</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Jorge Buxadé Villalba</w:t>
            </w:r>
          </w:p>
        </w:tc>
      </w:tr>
      <w:tr w:rsidR="0062045A" w:rsidRPr="001D40B4" w:rsidTr="0062045A">
        <w:trPr>
          <w:cantSplit/>
        </w:trPr>
        <w:tc>
          <w:tcPr>
            <w:tcW w:w="1701" w:type="dxa"/>
            <w:shd w:val="clear" w:color="auto" w:fill="FFFFFF"/>
            <w:vAlign w:val="center"/>
          </w:tcPr>
          <w:p w:rsidR="0062045A" w:rsidRPr="001D40B4" w:rsidRDefault="0062045A" w:rsidP="0062045A">
            <w:pPr>
              <w:rPr>
                <w:sz w:val="16"/>
              </w:rPr>
            </w:pPr>
            <w:r w:rsidRPr="001D40B4">
              <w:rPr>
                <w:sz w:val="16"/>
              </w:rPr>
              <w:t>GUE/NGL</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Helmut Scholz</w:t>
            </w:r>
          </w:p>
        </w:tc>
      </w:tr>
      <w:tr w:rsidR="0062045A" w:rsidRPr="001D40B4" w:rsidTr="0062045A">
        <w:trPr>
          <w:cantSplit/>
        </w:trPr>
        <w:tc>
          <w:tcPr>
            <w:tcW w:w="1701" w:type="dxa"/>
            <w:shd w:val="clear" w:color="auto" w:fill="FFFFFF"/>
            <w:vAlign w:val="center"/>
          </w:tcPr>
          <w:p w:rsidR="0062045A" w:rsidRPr="001D40B4" w:rsidRDefault="0062045A" w:rsidP="0062045A">
            <w:pPr>
              <w:rPr>
                <w:sz w:val="16"/>
              </w:rPr>
            </w:pPr>
            <w:r w:rsidRPr="001D40B4">
              <w:rPr>
                <w:sz w:val="16"/>
              </w:rPr>
              <w:t>ID</w:t>
            </w:r>
          </w:p>
        </w:tc>
        <w:tc>
          <w:tcPr>
            <w:tcW w:w="7371" w:type="dxa"/>
            <w:shd w:val="clear" w:color="auto" w:fill="FFFFFF"/>
            <w:vAlign w:val="center"/>
          </w:tcPr>
          <w:p w:rsidR="0062045A" w:rsidRPr="001D40B4" w:rsidRDefault="0062045A" w:rsidP="0062045A">
            <w:pPr>
              <w:spacing w:before="120" w:after="120"/>
              <w:rPr>
                <w:sz w:val="16"/>
              </w:rPr>
            </w:pPr>
            <w:r w:rsidRPr="001D40B4">
              <w:rPr>
                <w:sz w:val="16"/>
              </w:rPr>
              <w:t>Laura Huhtasaari, Antonio Maria Rinaldi</w:t>
            </w:r>
          </w:p>
        </w:tc>
      </w:tr>
    </w:tbl>
    <w:p w:rsidR="00672690" w:rsidRPr="001D40B4" w:rsidRDefault="00672690"/>
    <w:p w:rsidR="0062045A" w:rsidRPr="001D40B4" w:rsidRDefault="0062045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1D40B4" w:rsidTr="0062045A">
        <w:trPr>
          <w:cantSplit/>
        </w:trPr>
        <w:tc>
          <w:tcPr>
            <w:tcW w:w="1701" w:type="dxa"/>
            <w:shd w:val="pct10" w:color="000000" w:fill="FFFFFF"/>
            <w:vAlign w:val="center"/>
          </w:tcPr>
          <w:p w:rsidR="005B7835" w:rsidRPr="001D40B4" w:rsidRDefault="0062045A" w:rsidP="002659A2">
            <w:pPr>
              <w:pStyle w:val="RollCallVotes"/>
              <w:rPr>
                <w:sz w:val="32"/>
                <w:szCs w:val="32"/>
              </w:rPr>
            </w:pPr>
            <w:r w:rsidRPr="001D40B4">
              <w:rPr>
                <w:sz w:val="32"/>
                <w:szCs w:val="32"/>
              </w:rPr>
              <w:t>4</w:t>
            </w:r>
          </w:p>
        </w:tc>
        <w:tc>
          <w:tcPr>
            <w:tcW w:w="7371" w:type="dxa"/>
            <w:shd w:val="pct10" w:color="000000" w:fill="FFFFFF"/>
          </w:tcPr>
          <w:p w:rsidR="005B7835" w:rsidRPr="001D40B4" w:rsidRDefault="00A92F32" w:rsidP="002659A2">
            <w:pPr>
              <w:pStyle w:val="RollCallSymbols14pt"/>
            </w:pPr>
            <w:r w:rsidRPr="001D40B4">
              <w:t>0</w:t>
            </w:r>
          </w:p>
        </w:tc>
      </w:tr>
      <w:tr w:rsidR="0062045A" w:rsidRPr="001D40B4" w:rsidTr="0062045A">
        <w:trPr>
          <w:cantSplit/>
        </w:trPr>
        <w:tc>
          <w:tcPr>
            <w:tcW w:w="1701" w:type="dxa"/>
            <w:shd w:val="clear" w:color="auto" w:fill="FFFFFF"/>
          </w:tcPr>
          <w:p w:rsidR="0062045A" w:rsidRPr="001D40B4" w:rsidRDefault="0062045A" w:rsidP="0062045A">
            <w:pPr>
              <w:spacing w:before="120" w:after="120"/>
              <w:rPr>
                <w:snapToGrid/>
                <w:sz w:val="16"/>
              </w:rPr>
            </w:pPr>
            <w:r w:rsidRPr="001D40B4">
              <w:rPr>
                <w:sz w:val="16"/>
              </w:rPr>
              <w:t>ECR</w:t>
            </w:r>
          </w:p>
        </w:tc>
        <w:tc>
          <w:tcPr>
            <w:tcW w:w="7371" w:type="dxa"/>
            <w:shd w:val="clear" w:color="auto" w:fill="FFFFFF"/>
          </w:tcPr>
          <w:p w:rsidR="0062045A" w:rsidRPr="001D40B4" w:rsidRDefault="0062045A" w:rsidP="0062045A">
            <w:pPr>
              <w:spacing w:before="120" w:after="120"/>
              <w:rPr>
                <w:sz w:val="16"/>
              </w:rPr>
            </w:pPr>
            <w:r w:rsidRPr="001D40B4">
              <w:rPr>
                <w:sz w:val="16"/>
              </w:rPr>
              <w:t>Geert Bourgeois</w:t>
            </w:r>
          </w:p>
        </w:tc>
      </w:tr>
      <w:tr w:rsidR="0062045A" w:rsidRPr="001D40B4" w:rsidTr="0062045A">
        <w:trPr>
          <w:cantSplit/>
        </w:trPr>
        <w:tc>
          <w:tcPr>
            <w:tcW w:w="1701" w:type="dxa"/>
            <w:shd w:val="clear" w:color="auto" w:fill="FFFFFF"/>
          </w:tcPr>
          <w:p w:rsidR="0062045A" w:rsidRPr="001D40B4" w:rsidRDefault="0062045A" w:rsidP="0062045A">
            <w:pPr>
              <w:spacing w:before="120" w:after="120"/>
              <w:rPr>
                <w:sz w:val="16"/>
              </w:rPr>
            </w:pPr>
            <w:r w:rsidRPr="001D40B4">
              <w:rPr>
                <w:sz w:val="16"/>
              </w:rPr>
              <w:t>VERTS/ALE</w:t>
            </w:r>
          </w:p>
        </w:tc>
        <w:tc>
          <w:tcPr>
            <w:tcW w:w="7371" w:type="dxa"/>
            <w:shd w:val="clear" w:color="auto" w:fill="FFFFFF"/>
          </w:tcPr>
          <w:p w:rsidR="0062045A" w:rsidRPr="001D40B4" w:rsidRDefault="0062045A" w:rsidP="0062045A">
            <w:pPr>
              <w:spacing w:before="120" w:after="120"/>
              <w:rPr>
                <w:sz w:val="16"/>
              </w:rPr>
            </w:pPr>
            <w:r w:rsidRPr="001D40B4">
              <w:rPr>
                <w:sz w:val="16"/>
              </w:rPr>
              <w:t>Damian Boeselager, Daniel Freund, Aileen McLeod</w:t>
            </w:r>
          </w:p>
        </w:tc>
      </w:tr>
    </w:tbl>
    <w:p w:rsidR="000265BD" w:rsidRPr="001D40B4" w:rsidRDefault="000265BD" w:rsidP="00AD4CEB">
      <w:pPr>
        <w:pStyle w:val="Normal12a"/>
      </w:pPr>
    </w:p>
    <w:p w:rsidR="001E4EBD" w:rsidRPr="001D40B4" w:rsidRDefault="0062045A" w:rsidP="001E4EBD">
      <w:pPr>
        <w:rPr>
          <w:sz w:val="22"/>
          <w:szCs w:val="22"/>
        </w:rPr>
      </w:pPr>
      <w:r w:rsidRPr="001D40B4">
        <w:rPr>
          <w:i/>
          <w:sz w:val="22"/>
          <w:szCs w:val="22"/>
        </w:rPr>
        <w:t>Note: Gerolf Annemans (ID) expressed his intention to vote against of the opinion but could not participate in the electronic roll-call vote since he forgot his voting card.</w:t>
      </w:r>
    </w:p>
    <w:p w:rsidR="001E4EBD" w:rsidRPr="001D40B4" w:rsidRDefault="001E4EBD" w:rsidP="001E4EBD">
      <w:pPr>
        <w:sectPr w:rsidR="001E4EBD" w:rsidRPr="001D40B4" w:rsidSect="0062045A">
          <w:footnotePr>
            <w:numRestart w:val="eachSect"/>
          </w:footnotePr>
          <w:pgSz w:w="11907" w:h="16840" w:code="9"/>
          <w:pgMar w:top="1134" w:right="1418" w:bottom="1418" w:left="1418" w:header="567" w:footer="567" w:gutter="0"/>
          <w:cols w:space="720"/>
          <w:docGrid w:linePitch="326"/>
        </w:sectPr>
      </w:pPr>
    </w:p>
    <w:p w:rsidR="008452E8" w:rsidRPr="001D40B4" w:rsidRDefault="00CC6E1E" w:rsidP="003118F4">
      <w:pPr>
        <w:pStyle w:val="AttendancePVTitle"/>
        <w:spacing w:after="240"/>
      </w:pPr>
      <w:r w:rsidRPr="001D40B4">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D40B4">
        <w:trPr>
          <w:cantSplit/>
        </w:trPr>
        <w:tc>
          <w:tcPr>
            <w:tcW w:w="9072" w:type="dxa"/>
            <w:shd w:val="pct10" w:color="000000" w:fill="FFFFFF"/>
          </w:tcPr>
          <w:p w:rsidR="008452E8" w:rsidRPr="001D40B4" w:rsidRDefault="00CC6E1E" w:rsidP="00AD4CEB">
            <w:pPr>
              <w:pStyle w:val="AttendancePVTable"/>
            </w:pPr>
            <w:r w:rsidRPr="001D40B4">
              <w:t>Бюро/Mesa/Předsednictvo/Formandskabet/Vorstand/Juhatus/Προεδρείο/Bureau/Predsjedništvo/Ufficio di presidenza/Prezidijs/ Biuras/Elnökség/Prezydium/Birou/Predsedníctvo/Predsedstvo/Puheenjohtajisto/Presidiet (*)</w:t>
            </w:r>
          </w:p>
        </w:tc>
      </w:tr>
      <w:tr w:rsidR="008452E8" w:rsidRPr="001D40B4">
        <w:trPr>
          <w:cantSplit/>
          <w:trHeight w:val="720"/>
        </w:trPr>
        <w:tc>
          <w:tcPr>
            <w:tcW w:w="9072" w:type="dxa"/>
            <w:shd w:val="clear" w:color="000000" w:fill="FFFFFF"/>
          </w:tcPr>
          <w:p w:rsidR="008452E8" w:rsidRPr="001D40B4" w:rsidRDefault="003118F4" w:rsidP="003118F4">
            <w:pPr>
              <w:pStyle w:val="AttendancePVTable"/>
            </w:pPr>
            <w:r w:rsidRPr="001D40B4">
              <w:t>Antonio Tajani (P), Gabriele Bischoff (VP), Giuliano Pisapia (VP)</w:t>
            </w:r>
          </w:p>
        </w:tc>
      </w:tr>
      <w:tr w:rsidR="008452E8" w:rsidRPr="001D40B4">
        <w:trPr>
          <w:cantSplit/>
        </w:trPr>
        <w:tc>
          <w:tcPr>
            <w:tcW w:w="9072" w:type="dxa"/>
            <w:shd w:val="pct10" w:color="000000" w:fill="FFFFFF"/>
          </w:tcPr>
          <w:p w:rsidR="008452E8" w:rsidRPr="001D40B4" w:rsidRDefault="00CC6E1E" w:rsidP="00AD4CEB">
            <w:pPr>
              <w:pStyle w:val="AttendancePVTable"/>
            </w:pPr>
            <w:r w:rsidRPr="001D40B4">
              <w:t>Членове/Diputados/Poslanci/Medlemmer/Mitglieder/Parlamendiliikmed/Βουλευτές/Members/Députés/Zastupnici/Deputati/Deputāti/ Nariai/Képviselõk/Membri/Leden/Posłowie/Deputados/Deputaţi/Jäsenet/Ledamöter</w:t>
            </w:r>
          </w:p>
        </w:tc>
      </w:tr>
      <w:tr w:rsidR="008452E8" w:rsidRPr="001D40B4">
        <w:trPr>
          <w:cantSplit/>
          <w:trHeight w:val="1200"/>
        </w:trPr>
        <w:tc>
          <w:tcPr>
            <w:tcW w:w="9072" w:type="dxa"/>
            <w:shd w:val="clear" w:color="000000" w:fill="FFFFFF"/>
          </w:tcPr>
          <w:p w:rsidR="008452E8" w:rsidRPr="001D40B4" w:rsidRDefault="003118F4" w:rsidP="003118F4">
            <w:pPr>
              <w:pStyle w:val="AttendancePVTable"/>
            </w:pPr>
            <w:r w:rsidRPr="001D40B4">
              <w:t>Gerolf Annemans, Catherine Bearder, Damian Boeselager, Geert Bourgeois, Richard Corbett, Pascal Durand, Daniel Freund, Esteban González Pons, Maria Grapini, Brice Hortefeux, Laura Huhtasaari, Aileen McLeod, Paulo Rangel, Antonio Maria Rinaldi, Domènec Ruiz Devesa, Guy Verhofstadt, Loránt Vincze</w:t>
            </w:r>
          </w:p>
        </w:tc>
      </w:tr>
      <w:tr w:rsidR="008452E8" w:rsidRPr="001D40B4">
        <w:trPr>
          <w:cantSplit/>
        </w:trPr>
        <w:tc>
          <w:tcPr>
            <w:tcW w:w="9072" w:type="dxa"/>
            <w:shd w:val="pct10" w:color="000000" w:fill="FFFFFF"/>
          </w:tcPr>
          <w:p w:rsidR="008452E8" w:rsidRPr="001D40B4" w:rsidRDefault="00CC6E1E" w:rsidP="00AD4CEB">
            <w:pPr>
              <w:pStyle w:val="AttendancePVTable"/>
            </w:pPr>
            <w:r w:rsidRPr="001D40B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1D40B4">
        <w:trPr>
          <w:cantSplit/>
          <w:trHeight w:val="1200"/>
        </w:trPr>
        <w:tc>
          <w:tcPr>
            <w:tcW w:w="9072" w:type="dxa"/>
            <w:shd w:val="clear" w:color="000000" w:fill="FFFFFF"/>
          </w:tcPr>
          <w:p w:rsidR="008452E8" w:rsidRPr="001D40B4" w:rsidRDefault="003118F4" w:rsidP="00AD4CEB">
            <w:pPr>
              <w:pStyle w:val="AttendancePVTable"/>
            </w:pPr>
            <w:r w:rsidRPr="001D40B4">
              <w:t>Brando Benifei, Vladimír Bilčík, Jorge Buxadé Villalba, Włodzimierz Cimoszewicz, Gwendoline Delbos</w:t>
            </w:r>
            <w:r w:rsidRPr="001D40B4">
              <w:noBreakHyphen/>
              <w:t>Corfield, Cristian Ghinea, Danuta Maria Hübner, Othmar Karas, Gilles Lebreton, Mairead McGuinness, Helmut Scholz, Sven Simon</w:t>
            </w:r>
          </w:p>
        </w:tc>
      </w:tr>
    </w:tbl>
    <w:p w:rsidR="008452E8" w:rsidRPr="001D40B4" w:rsidRDefault="008452E8" w:rsidP="005D5A08">
      <w:pPr>
        <w:pStyle w:val="AttendancePV"/>
      </w:pPr>
    </w:p>
    <w:p w:rsidR="008452E8" w:rsidRPr="001D40B4" w:rsidRDefault="008452E8" w:rsidP="005D5A08">
      <w:pPr>
        <w:pStyle w:val="AttendancePV"/>
      </w:pPr>
    </w:p>
    <w:p w:rsidR="00714F25" w:rsidRPr="001D40B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D40B4">
        <w:trPr>
          <w:cantSplit/>
        </w:trPr>
        <w:tc>
          <w:tcPr>
            <w:tcW w:w="9072" w:type="dxa"/>
            <w:gridSpan w:val="2"/>
            <w:shd w:val="pct10" w:color="000000" w:fill="FFFFFF"/>
          </w:tcPr>
          <w:p w:rsidR="008452E8" w:rsidRPr="001D40B4" w:rsidRDefault="006D2283" w:rsidP="00467244">
            <w:pPr>
              <w:pStyle w:val="AttendancePVTable"/>
            </w:pPr>
            <w:r w:rsidRPr="001D40B4">
              <w:t>209 (7)</w:t>
            </w:r>
          </w:p>
        </w:tc>
      </w:tr>
      <w:tr w:rsidR="008452E8" w:rsidRPr="001D40B4">
        <w:trPr>
          <w:cantSplit/>
          <w:trHeight w:val="720"/>
        </w:trPr>
        <w:tc>
          <w:tcPr>
            <w:tcW w:w="9072" w:type="dxa"/>
            <w:gridSpan w:val="2"/>
          </w:tcPr>
          <w:p w:rsidR="008452E8" w:rsidRPr="001D40B4" w:rsidRDefault="008452E8" w:rsidP="00AD4CEB">
            <w:pPr>
              <w:pStyle w:val="AttendancePVTable"/>
            </w:pPr>
          </w:p>
        </w:tc>
      </w:tr>
      <w:tr w:rsidR="008452E8" w:rsidRPr="001D40B4">
        <w:trPr>
          <w:cantSplit/>
        </w:trPr>
        <w:tc>
          <w:tcPr>
            <w:tcW w:w="9072" w:type="dxa"/>
            <w:gridSpan w:val="2"/>
            <w:shd w:val="pct10" w:color="000000" w:fill="FFFFFF"/>
          </w:tcPr>
          <w:p w:rsidR="008452E8" w:rsidRPr="001D40B4" w:rsidRDefault="00467244" w:rsidP="00AD4CEB">
            <w:pPr>
              <w:pStyle w:val="AttendancePVTable"/>
            </w:pPr>
            <w:r w:rsidRPr="001D40B4">
              <w:t>216 (3)</w:t>
            </w:r>
          </w:p>
        </w:tc>
      </w:tr>
      <w:tr w:rsidR="008452E8" w:rsidRPr="001D40B4">
        <w:trPr>
          <w:cantSplit/>
          <w:trHeight w:val="720"/>
        </w:trPr>
        <w:tc>
          <w:tcPr>
            <w:tcW w:w="9072" w:type="dxa"/>
            <w:gridSpan w:val="2"/>
          </w:tcPr>
          <w:p w:rsidR="008452E8" w:rsidRPr="001D40B4" w:rsidRDefault="007A52E0" w:rsidP="00AD4CEB">
            <w:pPr>
              <w:pStyle w:val="AttendancePVTable"/>
            </w:pPr>
            <w:r w:rsidRPr="001D40B4">
              <w:t>Gunnar Beck, Dubravka Šuica</w:t>
            </w:r>
          </w:p>
        </w:tc>
      </w:tr>
      <w:tr w:rsidR="008452E8" w:rsidRPr="001D40B4">
        <w:trPr>
          <w:cantSplit/>
        </w:trPr>
        <w:tc>
          <w:tcPr>
            <w:tcW w:w="9072" w:type="dxa"/>
            <w:gridSpan w:val="2"/>
            <w:shd w:val="pct10" w:color="000000" w:fill="FFFFFF"/>
          </w:tcPr>
          <w:p w:rsidR="008452E8" w:rsidRPr="001D40B4" w:rsidRDefault="006D2283" w:rsidP="00467244">
            <w:pPr>
              <w:pStyle w:val="AttendancePVTable"/>
            </w:pPr>
            <w:r w:rsidRPr="001D40B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1D40B4">
        <w:trPr>
          <w:trHeight w:val="720"/>
        </w:trPr>
        <w:tc>
          <w:tcPr>
            <w:tcW w:w="7513" w:type="dxa"/>
          </w:tcPr>
          <w:p w:rsidR="008452E8" w:rsidRPr="001D40B4" w:rsidRDefault="008452E8" w:rsidP="00AD4CEB">
            <w:pPr>
              <w:pStyle w:val="AttendancePVTable"/>
            </w:pPr>
          </w:p>
        </w:tc>
        <w:tc>
          <w:tcPr>
            <w:tcW w:w="1559" w:type="dxa"/>
          </w:tcPr>
          <w:p w:rsidR="008452E8" w:rsidRPr="001D40B4" w:rsidRDefault="008452E8" w:rsidP="00AD4CEB">
            <w:pPr>
              <w:pStyle w:val="AttendancePVTable"/>
            </w:pPr>
          </w:p>
        </w:tc>
      </w:tr>
    </w:tbl>
    <w:p w:rsidR="008452E8" w:rsidRPr="001D40B4" w:rsidRDefault="008452E8" w:rsidP="005D5A08">
      <w:pPr>
        <w:pStyle w:val="AttendancePV"/>
      </w:pPr>
    </w:p>
    <w:p w:rsidR="0083601E" w:rsidRPr="001D40B4" w:rsidRDefault="0083601E" w:rsidP="005D5A08">
      <w:pPr>
        <w:pStyle w:val="AttendancePV"/>
      </w:pPr>
    </w:p>
    <w:p w:rsidR="0083601E" w:rsidRPr="001D40B4" w:rsidRDefault="0083601E"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D40B4" w:rsidTr="00B15084">
        <w:trPr>
          <w:cantSplit/>
        </w:trPr>
        <w:tc>
          <w:tcPr>
            <w:tcW w:w="9072" w:type="dxa"/>
            <w:shd w:val="pct10" w:color="000000" w:fill="FFFFFF"/>
          </w:tcPr>
          <w:p w:rsidR="0083601E" w:rsidRPr="001D40B4" w:rsidRDefault="0083601E" w:rsidP="00AD4CEB">
            <w:pPr>
              <w:pStyle w:val="AttendancePVTable"/>
            </w:pPr>
            <w:r w:rsidRPr="001D40B4">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D40B4" w:rsidTr="00B15084">
        <w:trPr>
          <w:cantSplit/>
          <w:trHeight w:val="720"/>
        </w:trPr>
        <w:tc>
          <w:tcPr>
            <w:tcW w:w="9072" w:type="dxa"/>
          </w:tcPr>
          <w:p w:rsidR="0083601E" w:rsidRPr="001D40B4" w:rsidRDefault="0083601E" w:rsidP="00AD4CEB">
            <w:pPr>
              <w:pStyle w:val="AttendancePVTable"/>
            </w:pPr>
          </w:p>
        </w:tc>
      </w:tr>
    </w:tbl>
    <w:p w:rsidR="007A52E0" w:rsidRPr="001D40B4" w:rsidRDefault="007A52E0" w:rsidP="005D5A08">
      <w:pPr>
        <w:pStyle w:val="AttendancePV"/>
      </w:pPr>
    </w:p>
    <w:p w:rsidR="007A52E0" w:rsidRPr="001D40B4" w:rsidRDefault="007A52E0">
      <w:pPr>
        <w:widowControl/>
        <w:rPr>
          <w:sz w:val="16"/>
        </w:rPr>
      </w:pPr>
      <w:r w:rsidRPr="001D40B4">
        <w:br w:type="page"/>
      </w:r>
    </w:p>
    <w:p w:rsidR="00DB5CC6" w:rsidRPr="001D40B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D40B4">
        <w:tc>
          <w:tcPr>
            <w:tcW w:w="9072" w:type="dxa"/>
            <w:shd w:val="pct10" w:color="000000" w:fill="FFFFFF"/>
          </w:tcPr>
          <w:p w:rsidR="008452E8" w:rsidRPr="001D40B4" w:rsidRDefault="00CC6E1E" w:rsidP="00F51C97">
            <w:pPr>
              <w:pStyle w:val="AttendancePVTable"/>
            </w:pPr>
            <w:r w:rsidRPr="001D40B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1D40B4">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1D40B4">
        <w:trPr>
          <w:trHeight w:val="720"/>
        </w:trPr>
        <w:tc>
          <w:tcPr>
            <w:tcW w:w="9072" w:type="dxa"/>
          </w:tcPr>
          <w:p w:rsidR="008452E8" w:rsidRPr="001D40B4" w:rsidRDefault="008452E8" w:rsidP="00AD4CEB">
            <w:pPr>
              <w:pStyle w:val="AttendancePVTable"/>
            </w:pPr>
          </w:p>
        </w:tc>
      </w:tr>
    </w:tbl>
    <w:p w:rsidR="008452E8" w:rsidRPr="001D40B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D40B4">
        <w:tc>
          <w:tcPr>
            <w:tcW w:w="9072" w:type="dxa"/>
            <w:gridSpan w:val="2"/>
            <w:shd w:val="pct10" w:color="000000" w:fill="FFFFFF"/>
          </w:tcPr>
          <w:p w:rsidR="008452E8" w:rsidRPr="001D40B4" w:rsidRDefault="00CC6E1E" w:rsidP="00AD4CEB">
            <w:pPr>
              <w:pStyle w:val="AttendancePVTable"/>
            </w:pPr>
            <w:r w:rsidRPr="001D40B4">
              <w:t>Съвет/Consejo/Rada/Rådet/Rat/Nõukogu/Συμβούλιο/Council/Conseil/Vijeće/Consiglio/Padome/Taryba/Tanács/Kunsill/Raad/ Conselho/Consiliu/Svet/Neuvosto/Rådet (*)</w:t>
            </w:r>
          </w:p>
        </w:tc>
      </w:tr>
      <w:tr w:rsidR="008452E8" w:rsidRPr="001D40B4">
        <w:trPr>
          <w:trHeight w:val="720"/>
        </w:trPr>
        <w:tc>
          <w:tcPr>
            <w:tcW w:w="9072" w:type="dxa"/>
            <w:gridSpan w:val="2"/>
          </w:tcPr>
          <w:p w:rsidR="008452E8" w:rsidRPr="001D40B4" w:rsidRDefault="008452E8" w:rsidP="00AD4CEB">
            <w:pPr>
              <w:pStyle w:val="AttendancePVTable"/>
            </w:pPr>
          </w:p>
        </w:tc>
      </w:tr>
      <w:tr w:rsidR="008452E8" w:rsidRPr="001D40B4">
        <w:tc>
          <w:tcPr>
            <w:tcW w:w="9072" w:type="dxa"/>
            <w:gridSpan w:val="2"/>
            <w:shd w:val="pct10" w:color="000000" w:fill="FFFFFF"/>
          </w:tcPr>
          <w:p w:rsidR="008452E8" w:rsidRPr="001D40B4" w:rsidRDefault="00CC6E1E" w:rsidP="002E2B09">
            <w:pPr>
              <w:pStyle w:val="AttendancePVTable"/>
            </w:pPr>
            <w:r w:rsidRPr="001D40B4">
              <w:t>Комисия/Comisión/Komise/Kommissionen/Kommission/Komisjon/Επιτροπή/Commission/Komisija/Commissione/Bizottság/ Kummissjoni/Commissie/Komisja/Comissão/Comisie/Komisia/Komissio/Kommissionen (*)</w:t>
            </w:r>
          </w:p>
        </w:tc>
      </w:tr>
      <w:tr w:rsidR="008452E8" w:rsidRPr="001D40B4">
        <w:trPr>
          <w:trHeight w:val="720"/>
        </w:trPr>
        <w:tc>
          <w:tcPr>
            <w:tcW w:w="9072" w:type="dxa"/>
            <w:gridSpan w:val="2"/>
          </w:tcPr>
          <w:p w:rsidR="008452E8" w:rsidRPr="001D40B4" w:rsidRDefault="00FF73FC" w:rsidP="00AD4CEB">
            <w:pPr>
              <w:pStyle w:val="AttendancePVTable"/>
            </w:pPr>
            <w:r w:rsidRPr="001D40B4">
              <w:t>Ioana Cristina Toma</w:t>
            </w:r>
          </w:p>
        </w:tc>
      </w:tr>
      <w:tr w:rsidR="008452E8" w:rsidRPr="001D40B4">
        <w:tc>
          <w:tcPr>
            <w:tcW w:w="9072" w:type="dxa"/>
            <w:gridSpan w:val="2"/>
            <w:shd w:val="pct10" w:color="000000" w:fill="FFFFFF"/>
          </w:tcPr>
          <w:p w:rsidR="008452E8" w:rsidRPr="001D40B4" w:rsidRDefault="00F0068D" w:rsidP="00F0068D">
            <w:pPr>
              <w:pStyle w:val="AttendancePVTable"/>
            </w:pPr>
            <w:r w:rsidRPr="001D40B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1D40B4">
        <w:trPr>
          <w:cantSplit/>
          <w:trHeight w:val="720"/>
        </w:trPr>
        <w:tc>
          <w:tcPr>
            <w:tcW w:w="1701" w:type="dxa"/>
          </w:tcPr>
          <w:p w:rsidR="00FF73FC" w:rsidRPr="001D40B4" w:rsidRDefault="00FF73FC" w:rsidP="00FF73FC">
            <w:pPr>
              <w:pStyle w:val="AttendancePVTable"/>
              <w:spacing w:after="0"/>
            </w:pPr>
            <w:r w:rsidRPr="001D40B4">
              <w:t>EESC</w:t>
            </w:r>
          </w:p>
          <w:p w:rsidR="008452E8" w:rsidRPr="001D40B4" w:rsidRDefault="007A52E0" w:rsidP="00FF73FC">
            <w:pPr>
              <w:pStyle w:val="AttendancePVTable"/>
              <w:spacing w:before="0"/>
            </w:pPr>
            <w:r w:rsidRPr="001D40B4">
              <w:t>CoR</w:t>
            </w:r>
          </w:p>
        </w:tc>
        <w:tc>
          <w:tcPr>
            <w:tcW w:w="7371" w:type="dxa"/>
          </w:tcPr>
          <w:p w:rsidR="00FF73FC" w:rsidRPr="001D40B4" w:rsidRDefault="00FF73FC" w:rsidP="00FF73FC">
            <w:pPr>
              <w:pStyle w:val="AttendancePVTable"/>
              <w:spacing w:after="0"/>
            </w:pPr>
            <w:r w:rsidRPr="001D40B4">
              <w:t>Luca Jahier</w:t>
            </w:r>
          </w:p>
          <w:p w:rsidR="008452E8" w:rsidRPr="001D40B4" w:rsidRDefault="007A52E0" w:rsidP="00FF73FC">
            <w:pPr>
              <w:pStyle w:val="AttendancePVTable"/>
              <w:spacing w:before="0"/>
            </w:pPr>
            <w:r w:rsidRPr="001D40B4">
              <w:t>Galina Samaras</w:t>
            </w:r>
          </w:p>
        </w:tc>
      </w:tr>
    </w:tbl>
    <w:p w:rsidR="008452E8" w:rsidRPr="001D40B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D40B4">
        <w:trPr>
          <w:cantSplit/>
        </w:trPr>
        <w:tc>
          <w:tcPr>
            <w:tcW w:w="9072" w:type="dxa"/>
            <w:shd w:val="pct10" w:color="000000" w:fill="FFFFFF"/>
          </w:tcPr>
          <w:p w:rsidR="008452E8" w:rsidRPr="001D40B4" w:rsidRDefault="00007788" w:rsidP="00AD4CEB">
            <w:pPr>
              <w:pStyle w:val="AttendancePVTable"/>
            </w:pPr>
            <w:r w:rsidRPr="001D40B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1D40B4">
        <w:trPr>
          <w:cantSplit/>
          <w:trHeight w:val="1200"/>
        </w:trPr>
        <w:tc>
          <w:tcPr>
            <w:tcW w:w="9072" w:type="dxa"/>
          </w:tcPr>
          <w:p w:rsidR="008452E8" w:rsidRPr="001D40B4" w:rsidRDefault="00FF73FC" w:rsidP="00FF73FC">
            <w:pPr>
              <w:pStyle w:val="AttendancePVTable"/>
            </w:pPr>
            <w:r w:rsidRPr="001D40B4">
              <w:t>Tanja Babic (HR Parliament), Bruno Dias Pinheiro (PT Parliament), Duarte Graça (PT Permanent Representation), Carston Sander (DK Permanent Representation)</w:t>
            </w:r>
          </w:p>
        </w:tc>
      </w:tr>
    </w:tbl>
    <w:p w:rsidR="0083601E" w:rsidRPr="001D40B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D40B4">
        <w:trPr>
          <w:cantSplit/>
        </w:trPr>
        <w:tc>
          <w:tcPr>
            <w:tcW w:w="9072" w:type="dxa"/>
            <w:gridSpan w:val="2"/>
            <w:shd w:val="pct10" w:color="000000" w:fill="FFFFFF"/>
          </w:tcPr>
          <w:p w:rsidR="008452E8" w:rsidRPr="001D40B4" w:rsidRDefault="00C634EF" w:rsidP="005F6C89">
            <w:pPr>
              <w:pStyle w:val="AttendancePVTable"/>
            </w:pPr>
            <w:r w:rsidRPr="001D40B4">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1D40B4">
        <w:trPr>
          <w:cantSplit/>
        </w:trPr>
        <w:tc>
          <w:tcPr>
            <w:tcW w:w="1701" w:type="dxa"/>
            <w:shd w:val="clear" w:color="auto" w:fill="FFFFFF"/>
          </w:tcPr>
          <w:p w:rsidR="008452E8" w:rsidRPr="001D40B4" w:rsidRDefault="008452E8" w:rsidP="00A66B35">
            <w:pPr>
              <w:pStyle w:val="AttendancePVTable"/>
            </w:pPr>
            <w:r w:rsidRPr="001D40B4">
              <w:t>PPE</w:t>
            </w:r>
          </w:p>
          <w:p w:rsidR="008452E8" w:rsidRPr="001D40B4" w:rsidRDefault="00CE5AEB" w:rsidP="00A66B35">
            <w:pPr>
              <w:pStyle w:val="AttendancePVTable"/>
            </w:pPr>
            <w:r w:rsidRPr="001D40B4">
              <w:t>S&amp;D</w:t>
            </w:r>
          </w:p>
          <w:p w:rsidR="00A5325A" w:rsidRPr="001D40B4" w:rsidRDefault="00A5325A" w:rsidP="00A66B35">
            <w:pPr>
              <w:pStyle w:val="AttendancePVTable"/>
            </w:pPr>
            <w:r w:rsidRPr="001D40B4">
              <w:t>Renew</w:t>
            </w:r>
          </w:p>
          <w:p w:rsidR="008452E8" w:rsidRPr="001D40B4" w:rsidRDefault="00926DB0" w:rsidP="00A66B35">
            <w:pPr>
              <w:pStyle w:val="AttendancePVTable"/>
            </w:pPr>
            <w:r w:rsidRPr="001D40B4">
              <w:t>Verts/ALE</w:t>
            </w:r>
          </w:p>
          <w:p w:rsidR="00A5325A" w:rsidRPr="001D40B4" w:rsidRDefault="00A5325A" w:rsidP="00A5325A">
            <w:pPr>
              <w:pStyle w:val="AttendancePVTable"/>
            </w:pPr>
            <w:r w:rsidRPr="001D40B4">
              <w:t>ID</w:t>
            </w:r>
          </w:p>
          <w:p w:rsidR="00A5325A" w:rsidRPr="001D40B4" w:rsidRDefault="00A5325A" w:rsidP="00A5325A">
            <w:pPr>
              <w:pStyle w:val="AttendancePVTable"/>
            </w:pPr>
            <w:r w:rsidRPr="001D40B4">
              <w:t>ECR</w:t>
            </w:r>
          </w:p>
          <w:p w:rsidR="008452E8" w:rsidRPr="001D40B4" w:rsidRDefault="00926DB0" w:rsidP="00A66B35">
            <w:pPr>
              <w:pStyle w:val="AttendancePVTable"/>
            </w:pPr>
            <w:r w:rsidRPr="001D40B4">
              <w:t>GUE/NGL</w:t>
            </w:r>
          </w:p>
          <w:p w:rsidR="008452E8" w:rsidRPr="001D40B4" w:rsidRDefault="008452E8" w:rsidP="00A66B35">
            <w:pPr>
              <w:pStyle w:val="AttendancePVTable"/>
            </w:pPr>
            <w:r w:rsidRPr="001D40B4">
              <w:t>NI</w:t>
            </w:r>
          </w:p>
        </w:tc>
        <w:tc>
          <w:tcPr>
            <w:tcW w:w="7371" w:type="dxa"/>
            <w:shd w:val="clear" w:color="auto" w:fill="FFFFFF"/>
          </w:tcPr>
          <w:p w:rsidR="007A52E0" w:rsidRPr="001D40B4" w:rsidRDefault="007A52E0" w:rsidP="007A52E0">
            <w:pPr>
              <w:pStyle w:val="AttendancePVTable"/>
              <w:rPr>
                <w:snapToGrid/>
              </w:rPr>
            </w:pPr>
            <w:r w:rsidRPr="001D40B4">
              <w:t>Cornelia Gheorghiu, Iris Bergmann</w:t>
            </w:r>
          </w:p>
          <w:p w:rsidR="007A52E0" w:rsidRPr="001D40B4" w:rsidRDefault="007A52E0" w:rsidP="007A52E0">
            <w:pPr>
              <w:pStyle w:val="AttendancePVTable"/>
            </w:pPr>
            <w:r w:rsidRPr="001D40B4">
              <w:t>Francesco Cerasani</w:t>
            </w:r>
          </w:p>
          <w:p w:rsidR="007A52E0" w:rsidRPr="001D40B4" w:rsidRDefault="007A52E0" w:rsidP="007A52E0">
            <w:pPr>
              <w:pStyle w:val="AttendancePVTable"/>
            </w:pPr>
            <w:r w:rsidRPr="001D40B4">
              <w:t>Sietse Wijnsma</w:t>
            </w:r>
          </w:p>
          <w:p w:rsidR="007A52E0" w:rsidRPr="001D40B4" w:rsidRDefault="007A52E0" w:rsidP="007A52E0">
            <w:pPr>
              <w:pStyle w:val="AttendancePVTable"/>
            </w:pPr>
            <w:r w:rsidRPr="001D40B4">
              <w:t xml:space="preserve">Helena Argerich i Terradas, Mélanie Vogel </w:t>
            </w:r>
          </w:p>
          <w:p w:rsidR="007A52E0" w:rsidRPr="001D40B4" w:rsidRDefault="007A52E0" w:rsidP="007A52E0">
            <w:pPr>
              <w:pStyle w:val="AttendancePVTable"/>
            </w:pPr>
            <w:r w:rsidRPr="001D40B4">
              <w:t>Timothee Etchecopar</w:t>
            </w:r>
          </w:p>
          <w:p w:rsidR="007A52E0" w:rsidRPr="001D40B4" w:rsidRDefault="007A52E0" w:rsidP="007A52E0">
            <w:pPr>
              <w:pStyle w:val="AttendancePVTable"/>
            </w:pPr>
            <w:r w:rsidRPr="001D40B4">
              <w:t>Ralf Packet</w:t>
            </w:r>
          </w:p>
          <w:p w:rsidR="007A52E0" w:rsidRPr="001D40B4" w:rsidRDefault="007A52E0" w:rsidP="007A52E0">
            <w:pPr>
              <w:pStyle w:val="AttendancePVTable"/>
            </w:pPr>
            <w:r w:rsidRPr="001D40B4">
              <w:t>Maj Aslett-Rydbjerg, Brian Carty</w:t>
            </w:r>
          </w:p>
          <w:p w:rsidR="0006514D" w:rsidRPr="001D40B4" w:rsidRDefault="007A52E0" w:rsidP="007A52E0">
            <w:pPr>
              <w:pStyle w:val="AttendancePVTable"/>
            </w:pPr>
            <w:r w:rsidRPr="001D40B4">
              <w:t>Sarah Nuyts</w:t>
            </w:r>
          </w:p>
        </w:tc>
      </w:tr>
    </w:tbl>
    <w:p w:rsidR="00FF73FC" w:rsidRPr="001D40B4" w:rsidRDefault="00FF73FC" w:rsidP="005D5A08">
      <w:pPr>
        <w:pStyle w:val="AttendancePV"/>
      </w:pPr>
    </w:p>
    <w:p w:rsidR="00FF73FC" w:rsidRPr="001D40B4" w:rsidRDefault="00FF73FC">
      <w:pPr>
        <w:widowControl/>
        <w:rPr>
          <w:sz w:val="16"/>
        </w:rPr>
      </w:pPr>
      <w:r w:rsidRPr="001D40B4">
        <w:br w:type="page"/>
      </w:r>
    </w:p>
    <w:p w:rsidR="0083601E" w:rsidRPr="001D40B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D40B4">
        <w:trPr>
          <w:cantSplit/>
        </w:trPr>
        <w:tc>
          <w:tcPr>
            <w:tcW w:w="9072" w:type="dxa"/>
            <w:gridSpan w:val="2"/>
            <w:shd w:val="pct10" w:color="000000" w:fill="FFFFFF"/>
          </w:tcPr>
          <w:p w:rsidR="008452E8" w:rsidRPr="001D40B4" w:rsidRDefault="00DC629C" w:rsidP="00AD4CEB">
            <w:pPr>
              <w:pStyle w:val="AttendancePVTable"/>
            </w:pPr>
            <w:r w:rsidRPr="001D40B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1D40B4" w:rsidTr="00FF73FC">
        <w:trPr>
          <w:cantSplit/>
          <w:trHeight w:val="379"/>
        </w:trPr>
        <w:tc>
          <w:tcPr>
            <w:tcW w:w="9072" w:type="dxa"/>
            <w:gridSpan w:val="2"/>
            <w:shd w:val="clear" w:color="auto" w:fill="FFFFFF"/>
          </w:tcPr>
          <w:p w:rsidR="008452E8" w:rsidRPr="001D40B4" w:rsidRDefault="007A52E0" w:rsidP="00FF73FC">
            <w:pPr>
              <w:pStyle w:val="AttendancePVTable"/>
              <w:spacing w:after="0"/>
            </w:pPr>
            <w:r w:rsidRPr="001D40B4">
              <w:t>Vanessa Cuevas Herman</w:t>
            </w:r>
          </w:p>
        </w:tc>
      </w:tr>
      <w:tr w:rsidR="008452E8" w:rsidRPr="001D40B4">
        <w:trPr>
          <w:cantSplit/>
        </w:trPr>
        <w:tc>
          <w:tcPr>
            <w:tcW w:w="9072" w:type="dxa"/>
            <w:gridSpan w:val="2"/>
            <w:shd w:val="pct10" w:color="000000" w:fill="FFFFFF"/>
          </w:tcPr>
          <w:p w:rsidR="008452E8" w:rsidRPr="001D40B4" w:rsidRDefault="00C634EF" w:rsidP="00AD4CEB">
            <w:pPr>
              <w:pStyle w:val="AttendancePVTable"/>
            </w:pPr>
            <w:r w:rsidRPr="001D40B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D40B4" w:rsidTr="00FF73FC">
        <w:trPr>
          <w:cantSplit/>
          <w:trHeight w:val="205"/>
        </w:trPr>
        <w:tc>
          <w:tcPr>
            <w:tcW w:w="9072" w:type="dxa"/>
            <w:gridSpan w:val="2"/>
            <w:shd w:val="clear" w:color="auto" w:fill="FFFFFF"/>
          </w:tcPr>
          <w:p w:rsidR="008452E8" w:rsidRPr="001D40B4" w:rsidRDefault="008452E8" w:rsidP="00FF73FC">
            <w:pPr>
              <w:pStyle w:val="AttendancePVTable"/>
              <w:spacing w:before="0" w:after="0"/>
            </w:pPr>
          </w:p>
        </w:tc>
      </w:tr>
      <w:tr w:rsidR="008452E8" w:rsidRPr="001D40B4">
        <w:trPr>
          <w:cantSplit/>
        </w:trPr>
        <w:tc>
          <w:tcPr>
            <w:tcW w:w="9072" w:type="dxa"/>
            <w:gridSpan w:val="2"/>
            <w:shd w:val="pct10" w:color="000000" w:fill="FFFFFF"/>
          </w:tcPr>
          <w:p w:rsidR="008452E8" w:rsidRPr="001D40B4" w:rsidRDefault="00C634EF" w:rsidP="00AD4CEB">
            <w:pPr>
              <w:pStyle w:val="AttendancePVTable"/>
            </w:pPr>
            <w:r w:rsidRPr="001D40B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D40B4">
              <w:noBreakHyphen/>
              <w:t>generaal/Dyrekcja Generalna/Direcção-Geral/Direcţii Generale/Generálne riaditeľstvo/Generalni direktorat/Pääosasto/Generaldirektorat</w:t>
            </w:r>
          </w:p>
        </w:tc>
      </w:tr>
      <w:tr w:rsidR="008452E8" w:rsidRPr="001D40B4">
        <w:trPr>
          <w:cantSplit/>
          <w:trHeight w:val="720"/>
        </w:trPr>
        <w:tc>
          <w:tcPr>
            <w:tcW w:w="1701" w:type="dxa"/>
            <w:shd w:val="clear" w:color="auto" w:fill="FFFFFF"/>
          </w:tcPr>
          <w:p w:rsidR="008452E8" w:rsidRPr="001D40B4" w:rsidRDefault="008452E8" w:rsidP="007252BE">
            <w:pPr>
              <w:pStyle w:val="AttendancePVTable"/>
            </w:pPr>
            <w:r w:rsidRPr="001D40B4">
              <w:t>DG PRES</w:t>
            </w:r>
          </w:p>
          <w:p w:rsidR="008452E8" w:rsidRPr="001D40B4" w:rsidRDefault="008452E8" w:rsidP="00A66B35">
            <w:pPr>
              <w:pStyle w:val="AttendancePVTable"/>
            </w:pPr>
            <w:r w:rsidRPr="001D40B4">
              <w:t>DG IPOL</w:t>
            </w:r>
          </w:p>
          <w:p w:rsidR="008452E8" w:rsidRPr="001D40B4" w:rsidRDefault="008452E8" w:rsidP="00A66B35">
            <w:pPr>
              <w:pStyle w:val="AttendancePVTable"/>
            </w:pPr>
            <w:r w:rsidRPr="001D40B4">
              <w:t>DG EXPO</w:t>
            </w:r>
          </w:p>
          <w:p w:rsidR="00CA53ED" w:rsidRPr="001D40B4" w:rsidRDefault="00CA53ED" w:rsidP="00A66B35">
            <w:pPr>
              <w:pStyle w:val="AttendancePVTable"/>
            </w:pPr>
            <w:r w:rsidRPr="001D40B4">
              <w:t>DG EPRS</w:t>
            </w:r>
          </w:p>
          <w:p w:rsidR="008452E8" w:rsidRPr="001D40B4" w:rsidRDefault="008452E8" w:rsidP="00A66B35">
            <w:pPr>
              <w:pStyle w:val="AttendancePVTable"/>
            </w:pPr>
            <w:r w:rsidRPr="001D40B4">
              <w:t>DG COMM</w:t>
            </w:r>
          </w:p>
          <w:p w:rsidR="008452E8" w:rsidRPr="001D40B4" w:rsidRDefault="008452E8" w:rsidP="00A66B35">
            <w:pPr>
              <w:pStyle w:val="AttendancePVTable"/>
            </w:pPr>
            <w:r w:rsidRPr="001D40B4">
              <w:t>DG PERS</w:t>
            </w:r>
          </w:p>
          <w:p w:rsidR="008452E8" w:rsidRPr="001D40B4" w:rsidRDefault="007C674A" w:rsidP="00A66B35">
            <w:pPr>
              <w:pStyle w:val="AttendancePVTable"/>
            </w:pPr>
            <w:r w:rsidRPr="001D40B4">
              <w:t>DG INLO</w:t>
            </w:r>
          </w:p>
          <w:p w:rsidR="008452E8" w:rsidRPr="001D40B4" w:rsidRDefault="008452E8" w:rsidP="00A66B35">
            <w:pPr>
              <w:pStyle w:val="AttendancePVTable"/>
            </w:pPr>
            <w:r w:rsidRPr="001D40B4">
              <w:t>DG TRAD</w:t>
            </w:r>
          </w:p>
          <w:p w:rsidR="007C674A" w:rsidRPr="001D40B4" w:rsidRDefault="007C674A" w:rsidP="00A66B35">
            <w:pPr>
              <w:pStyle w:val="AttendancePVTable"/>
            </w:pPr>
            <w:r w:rsidRPr="001D40B4">
              <w:t>DG LINC</w:t>
            </w:r>
          </w:p>
          <w:p w:rsidR="008452E8" w:rsidRPr="001D40B4" w:rsidRDefault="008452E8" w:rsidP="00A66B35">
            <w:pPr>
              <w:pStyle w:val="AttendancePVTable"/>
            </w:pPr>
            <w:r w:rsidRPr="001D40B4">
              <w:t>DG FINS</w:t>
            </w:r>
          </w:p>
          <w:p w:rsidR="00CA53ED" w:rsidRPr="001D40B4" w:rsidRDefault="00CA53ED" w:rsidP="00A66B35">
            <w:pPr>
              <w:pStyle w:val="AttendancePVTable"/>
            </w:pPr>
            <w:r w:rsidRPr="001D40B4">
              <w:t>DG ITEC</w:t>
            </w:r>
          </w:p>
          <w:p w:rsidR="007C674A" w:rsidRPr="001D40B4" w:rsidRDefault="00CA53ED" w:rsidP="00A66B35">
            <w:pPr>
              <w:pStyle w:val="AttendancePVTable"/>
            </w:pPr>
            <w:r w:rsidRPr="001D40B4">
              <w:t>DG SAFE</w:t>
            </w:r>
          </w:p>
        </w:tc>
        <w:tc>
          <w:tcPr>
            <w:tcW w:w="7371" w:type="dxa"/>
            <w:shd w:val="clear" w:color="auto" w:fill="FFFFFF"/>
          </w:tcPr>
          <w:p w:rsidR="007A52E0" w:rsidRPr="001D40B4" w:rsidRDefault="007A52E0" w:rsidP="007252BE">
            <w:pPr>
              <w:pStyle w:val="AttendancePVTable"/>
            </w:pPr>
          </w:p>
          <w:p w:rsidR="007A52E0" w:rsidRPr="001D40B4" w:rsidRDefault="007A52E0" w:rsidP="007A52E0">
            <w:pPr>
              <w:pStyle w:val="AttendancePVTable"/>
            </w:pPr>
          </w:p>
          <w:p w:rsidR="007A52E0" w:rsidRPr="001D40B4" w:rsidRDefault="007A52E0" w:rsidP="007A52E0">
            <w:pPr>
              <w:pStyle w:val="AttendancePVTable"/>
            </w:pPr>
          </w:p>
          <w:p w:rsidR="007A52E0" w:rsidRPr="001D40B4" w:rsidRDefault="007A52E0" w:rsidP="007A52E0">
            <w:pPr>
              <w:pStyle w:val="AttendancePVTable"/>
            </w:pPr>
          </w:p>
          <w:p w:rsidR="007A52E0" w:rsidRPr="001D40B4" w:rsidRDefault="007A52E0" w:rsidP="007A52E0">
            <w:pPr>
              <w:pStyle w:val="AttendancePVTable"/>
            </w:pPr>
            <w:r w:rsidRPr="001D40B4">
              <w:t xml:space="preserve">Kyriakos Klosidis </w:t>
            </w:r>
          </w:p>
          <w:p w:rsidR="007A52E0" w:rsidRPr="001D40B4" w:rsidRDefault="007A52E0" w:rsidP="007A52E0">
            <w:pPr>
              <w:pStyle w:val="AttendancePVTable"/>
            </w:pPr>
          </w:p>
          <w:p w:rsidR="00CA53ED" w:rsidRPr="001D40B4" w:rsidRDefault="00CA53ED" w:rsidP="00AD4CEB">
            <w:pPr>
              <w:pStyle w:val="AttendancePVTable"/>
            </w:pPr>
          </w:p>
        </w:tc>
      </w:tr>
    </w:tbl>
    <w:p w:rsidR="0083601E" w:rsidRPr="001D40B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D40B4">
        <w:trPr>
          <w:cantSplit/>
        </w:trPr>
        <w:tc>
          <w:tcPr>
            <w:tcW w:w="9072" w:type="dxa"/>
            <w:shd w:val="pct10" w:color="000000" w:fill="FFFFFF"/>
          </w:tcPr>
          <w:p w:rsidR="00A13D65" w:rsidRPr="001D40B4" w:rsidRDefault="00A13D65" w:rsidP="00AD4CEB">
            <w:pPr>
              <w:pStyle w:val="AttendancePVTable"/>
            </w:pPr>
            <w:r w:rsidRPr="001D40B4">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1D40B4" w:rsidTr="00FF73FC">
        <w:trPr>
          <w:cantSplit/>
          <w:trHeight w:val="192"/>
        </w:trPr>
        <w:tc>
          <w:tcPr>
            <w:tcW w:w="9072" w:type="dxa"/>
            <w:shd w:val="clear" w:color="auto" w:fill="FFFFFF"/>
          </w:tcPr>
          <w:p w:rsidR="00A13D65" w:rsidRPr="001D40B4" w:rsidRDefault="00A13D65" w:rsidP="00FF73FC">
            <w:pPr>
              <w:pStyle w:val="AttendancePVTable"/>
              <w:spacing w:before="0" w:after="0"/>
            </w:pPr>
          </w:p>
        </w:tc>
      </w:tr>
      <w:tr w:rsidR="00A13D65" w:rsidRPr="001D40B4">
        <w:trPr>
          <w:cantSplit/>
        </w:trPr>
        <w:tc>
          <w:tcPr>
            <w:tcW w:w="9072" w:type="dxa"/>
            <w:shd w:val="pct10" w:color="000000" w:fill="FFFFFF"/>
          </w:tcPr>
          <w:p w:rsidR="00A13D65" w:rsidRPr="001D40B4" w:rsidRDefault="00A13D65" w:rsidP="00E2213D">
            <w:pPr>
              <w:pStyle w:val="AttendancePVTable"/>
            </w:pPr>
            <w:r w:rsidRPr="001D40B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1D40B4" w:rsidTr="00FF73FC">
        <w:trPr>
          <w:cantSplit/>
          <w:trHeight w:val="311"/>
        </w:trPr>
        <w:tc>
          <w:tcPr>
            <w:tcW w:w="9072" w:type="dxa"/>
            <w:shd w:val="clear" w:color="auto" w:fill="FFFFFF"/>
          </w:tcPr>
          <w:p w:rsidR="00A13D65" w:rsidRPr="001D40B4" w:rsidRDefault="007A52E0" w:rsidP="00FF73FC">
            <w:pPr>
              <w:pStyle w:val="AttendancePVTable"/>
              <w:spacing w:after="0"/>
            </w:pPr>
            <w:r w:rsidRPr="001D40B4">
              <w:t>José Luís Pacheco, François Némoz-Hervens, Carla Carvalho, Petr Novak</w:t>
            </w:r>
          </w:p>
        </w:tc>
      </w:tr>
      <w:tr w:rsidR="00A13D65" w:rsidRPr="001D40B4">
        <w:trPr>
          <w:cantSplit/>
        </w:trPr>
        <w:tc>
          <w:tcPr>
            <w:tcW w:w="9072" w:type="dxa"/>
            <w:shd w:val="pct10" w:color="000000" w:fill="FFFFFF"/>
          </w:tcPr>
          <w:p w:rsidR="00A13D65" w:rsidRPr="001D40B4" w:rsidRDefault="00A13D65" w:rsidP="00AD4CEB">
            <w:pPr>
              <w:pStyle w:val="AttendancePVTable"/>
            </w:pPr>
            <w:r w:rsidRPr="001D40B4">
              <w:t>Сътрудник/Asistente/Asistent/Assistent/Assistenz/Βοηθός/Assistant/Assistente/Palīgs/Padėjėjas/Asszisztens/Asystent/Pomočnik/ Avustaja/Assistenter</w:t>
            </w:r>
          </w:p>
        </w:tc>
      </w:tr>
      <w:tr w:rsidR="00A13D65" w:rsidRPr="001D40B4" w:rsidTr="00FF73FC">
        <w:trPr>
          <w:cantSplit/>
          <w:trHeight w:val="366"/>
        </w:trPr>
        <w:tc>
          <w:tcPr>
            <w:tcW w:w="9072" w:type="dxa"/>
            <w:shd w:val="clear" w:color="auto" w:fill="FFFFFF"/>
          </w:tcPr>
          <w:p w:rsidR="00A13D65" w:rsidRPr="001D40B4" w:rsidRDefault="007A52E0" w:rsidP="00FF73FC">
            <w:pPr>
              <w:pStyle w:val="AttendancePVTable"/>
              <w:spacing w:after="0"/>
            </w:pPr>
            <w:r w:rsidRPr="001D40B4">
              <w:t>Olga Arriaga e Cunha</w:t>
            </w:r>
          </w:p>
        </w:tc>
      </w:tr>
    </w:tbl>
    <w:p w:rsidR="00801684" w:rsidRPr="001D40B4" w:rsidRDefault="00801684" w:rsidP="005D5A08">
      <w:pPr>
        <w:pStyle w:val="AttendancePV"/>
      </w:pPr>
    </w:p>
    <w:p w:rsidR="00C634EF" w:rsidRPr="001D40B4" w:rsidRDefault="00C634EF" w:rsidP="00AD4CEB">
      <w:pPr>
        <w:pStyle w:val="AttendancePVFootnote"/>
      </w:pPr>
      <w:r w:rsidRPr="001D40B4">
        <w:t xml:space="preserve">* </w:t>
      </w:r>
      <w:r w:rsidRPr="001D40B4">
        <w:tab/>
        <w:t>(P)</w:t>
      </w:r>
      <w:r w:rsidRPr="001D40B4">
        <w:tab/>
        <w:t>=</w:t>
      </w:r>
      <w:r w:rsidRPr="001D40B4">
        <w:tab/>
        <w:t>Председател/Presidente/Předseda/Formand/Vorsitzender/Esimees/Πρόεδρος/Chair/Président/Predsjednik/Priekšsēdētājs/ Pirmininkas/Elnök/'Chairman'/Voorzitter/Przewodniczący/Preşedinte/Predseda/Predsednik/Puheenjohtaja/Ordförande</w:t>
      </w:r>
    </w:p>
    <w:p w:rsidR="00C634EF" w:rsidRPr="001D40B4" w:rsidRDefault="00C634EF" w:rsidP="00AD4CEB">
      <w:pPr>
        <w:pStyle w:val="AttendancePVFootnote"/>
      </w:pPr>
      <w:r w:rsidRPr="001D40B4">
        <w:tab/>
        <w:t>(VP) =</w:t>
      </w:r>
      <w:r w:rsidRPr="001D40B4">
        <w:tab/>
        <w:t>Заместник-председател/Vicepresidente/Místopředseda/Næstformand/Stellvertretender Vorsitzender/Aseesimees/Αντιπρόεδρος/ Vice</w:t>
      </w:r>
      <w:r w:rsidRPr="001D40B4">
        <w:noBreakHyphen/>
        <w:t>Chair/Potpredsjednik/Vice</w:t>
      </w:r>
      <w:r w:rsidRPr="001D40B4">
        <w:noBreakHyphen/>
        <w:t>Président/Potpredsjednik/Priekšsēdētāja vietnieks/Pirmininko pavaduotojas/Alelnök/ Viċi 'Chairman'/Ondervoorzitter/Wiceprzewodniczący/Vice-Presidente/Vicepreşedinte/Podpredseda/Podpredsednik/ Varapuheenjohtaja/Vice ordförande</w:t>
      </w:r>
    </w:p>
    <w:p w:rsidR="00C634EF" w:rsidRPr="001D40B4" w:rsidRDefault="00C634EF" w:rsidP="00AD4CEB">
      <w:pPr>
        <w:pStyle w:val="AttendancePVFootnote"/>
      </w:pPr>
      <w:r w:rsidRPr="001D40B4">
        <w:tab/>
        <w:t>(M)</w:t>
      </w:r>
      <w:r w:rsidRPr="001D40B4">
        <w:tab/>
        <w:t>=</w:t>
      </w:r>
      <w:r w:rsidRPr="001D40B4">
        <w:tab/>
        <w:t>Член/Miembro/Člen/Medlem./Mitglied/Parlamendiliige/Βουλευτής/Member/Membre/Član/Membro/Deputāts/Narys/Képviselő/ Membru/Lid/Członek/Membro/Membru/Člen/Poslanec/Jäsen/Ledamot</w:t>
      </w:r>
    </w:p>
    <w:p w:rsidR="0022027F" w:rsidRPr="001D40B4" w:rsidRDefault="00C634EF" w:rsidP="00FF73FC">
      <w:pPr>
        <w:pStyle w:val="AttendancePVFootnote"/>
      </w:pPr>
      <w:r w:rsidRPr="001D40B4">
        <w:tab/>
        <w:t>(F)</w:t>
      </w:r>
      <w:r w:rsidRPr="001D40B4">
        <w:tab/>
        <w:t>=</w:t>
      </w:r>
      <w:r w:rsidRPr="001D40B4">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22027F" w:rsidRPr="001D40B4" w:rsidSect="0062045A">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BA" w:rsidRPr="001D40B4" w:rsidRDefault="00A44DBA">
      <w:r w:rsidRPr="001D40B4">
        <w:separator/>
      </w:r>
    </w:p>
    <w:p w:rsidR="00A44DBA" w:rsidRPr="001D40B4" w:rsidRDefault="00A44DBA"/>
  </w:endnote>
  <w:endnote w:type="continuationSeparator" w:id="0">
    <w:p w:rsidR="00A44DBA" w:rsidRPr="001D40B4" w:rsidRDefault="00A44DBA">
      <w:r w:rsidRPr="001D40B4">
        <w:continuationSeparator/>
      </w:r>
    </w:p>
    <w:p w:rsidR="00A44DBA" w:rsidRPr="001D40B4" w:rsidRDefault="00A4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B4" w:rsidRPr="001D40B4" w:rsidRDefault="001D40B4" w:rsidP="001D40B4">
    <w:pPr>
      <w:pStyle w:val="EPFooter"/>
    </w:pPr>
    <w:r w:rsidRPr="001D40B4">
      <w:t>PE</w:t>
    </w:r>
    <w:r w:rsidRPr="001D40B4">
      <w:rPr>
        <w:rStyle w:val="HideTWBExt"/>
        <w:noProof w:val="0"/>
      </w:rPr>
      <w:t>&lt;NoPE&gt;</w:t>
    </w:r>
    <w:r w:rsidRPr="001D40B4">
      <w:t>644.811</w:t>
    </w:r>
    <w:r w:rsidRPr="001D40B4">
      <w:rPr>
        <w:rStyle w:val="HideTWBExt"/>
        <w:noProof w:val="0"/>
      </w:rPr>
      <w:t>&lt;/NoPE&gt;&lt;Version&gt;</w:t>
    </w:r>
    <w:r w:rsidRPr="001D40B4">
      <w:t>v01-00</w:t>
    </w:r>
    <w:r w:rsidRPr="001D40B4">
      <w:rPr>
        <w:rStyle w:val="HideTWBExt"/>
        <w:noProof w:val="0"/>
      </w:rPr>
      <w:t>&lt;/Version&gt;</w:t>
    </w:r>
    <w:r w:rsidRPr="001D40B4">
      <w:tab/>
    </w:r>
    <w:r w:rsidRPr="001D40B4">
      <w:fldChar w:fldCharType="begin"/>
    </w:r>
    <w:r w:rsidRPr="001D40B4">
      <w:instrText xml:space="preserve"> PAGE  \* MERGEFORMAT </w:instrText>
    </w:r>
    <w:r w:rsidRPr="001D40B4">
      <w:fldChar w:fldCharType="separate"/>
    </w:r>
    <w:r w:rsidR="005405C7">
      <w:rPr>
        <w:noProof/>
      </w:rPr>
      <w:t>2</w:t>
    </w:r>
    <w:r w:rsidRPr="001D40B4">
      <w:fldChar w:fldCharType="end"/>
    </w:r>
    <w:r w:rsidRPr="001D40B4">
      <w:t>/</w:t>
    </w:r>
    <w:fldSimple w:instr=" NUMPAGES  \* MERGEFORMAT ">
      <w:r w:rsidR="005405C7">
        <w:rPr>
          <w:noProof/>
        </w:rPr>
        <w:t>8</w:t>
      </w:r>
    </w:fldSimple>
    <w:r w:rsidRPr="001D40B4">
      <w:tab/>
    </w:r>
    <w:r w:rsidRPr="001D40B4">
      <w:rPr>
        <w:rStyle w:val="HideTWBExt"/>
        <w:noProof w:val="0"/>
      </w:rPr>
      <w:t>&lt;PathFdR&gt;</w:t>
    </w:r>
    <w:r w:rsidRPr="001D40B4">
      <w:t>PV\1193858PT.docx</w:t>
    </w:r>
    <w:r w:rsidRPr="001D40B4">
      <w:rPr>
        <w:rStyle w:val="HideTWBExt"/>
        <w:noProof w:val="0"/>
      </w:rPr>
      <w:t>&lt;/PathFdR&gt;</w:t>
    </w:r>
  </w:p>
  <w:p w:rsidR="00A13D65" w:rsidRPr="001D40B4" w:rsidRDefault="001D40B4" w:rsidP="001D40B4">
    <w:pPr>
      <w:pStyle w:val="EPFooter2"/>
    </w:pPr>
    <w:r w:rsidRPr="001D40B4">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B4" w:rsidRPr="001D40B4" w:rsidRDefault="001D40B4" w:rsidP="001D40B4">
    <w:pPr>
      <w:pStyle w:val="EPFooter"/>
    </w:pPr>
    <w:r w:rsidRPr="001D40B4">
      <w:rPr>
        <w:rStyle w:val="HideTWBExt"/>
        <w:noProof w:val="0"/>
      </w:rPr>
      <w:t>&lt;PathFdR&gt;</w:t>
    </w:r>
    <w:r w:rsidRPr="001D40B4">
      <w:t>PV\1193858PT.docx</w:t>
    </w:r>
    <w:r w:rsidRPr="001D40B4">
      <w:rPr>
        <w:rStyle w:val="HideTWBExt"/>
        <w:noProof w:val="0"/>
      </w:rPr>
      <w:t>&lt;/PathFdR&gt;</w:t>
    </w:r>
    <w:r w:rsidRPr="001D40B4">
      <w:tab/>
    </w:r>
    <w:r w:rsidRPr="001D40B4">
      <w:fldChar w:fldCharType="begin"/>
    </w:r>
    <w:r w:rsidRPr="001D40B4">
      <w:instrText xml:space="preserve"> PAGE  \* MERGEFORMAT </w:instrText>
    </w:r>
    <w:r w:rsidRPr="001D40B4">
      <w:fldChar w:fldCharType="separate"/>
    </w:r>
    <w:r w:rsidR="005405C7">
      <w:rPr>
        <w:noProof/>
      </w:rPr>
      <w:t>3</w:t>
    </w:r>
    <w:r w:rsidRPr="001D40B4">
      <w:fldChar w:fldCharType="end"/>
    </w:r>
    <w:r w:rsidRPr="001D40B4">
      <w:t>/</w:t>
    </w:r>
    <w:fldSimple w:instr=" NUMPAGES  \* MERGEFORMAT ">
      <w:r w:rsidR="005405C7">
        <w:rPr>
          <w:noProof/>
        </w:rPr>
        <w:t>8</w:t>
      </w:r>
    </w:fldSimple>
    <w:r w:rsidRPr="001D40B4">
      <w:tab/>
      <w:t>PE</w:t>
    </w:r>
    <w:r w:rsidRPr="001D40B4">
      <w:rPr>
        <w:rStyle w:val="HideTWBExt"/>
        <w:noProof w:val="0"/>
      </w:rPr>
      <w:t>&lt;NoPE&gt;</w:t>
    </w:r>
    <w:r w:rsidRPr="001D40B4">
      <w:t>644.811</w:t>
    </w:r>
    <w:r w:rsidRPr="001D40B4">
      <w:rPr>
        <w:rStyle w:val="HideTWBExt"/>
        <w:noProof w:val="0"/>
      </w:rPr>
      <w:t>&lt;/NoPE&gt;&lt;Version&gt;</w:t>
    </w:r>
    <w:r w:rsidRPr="001D40B4">
      <w:t>v01-00</w:t>
    </w:r>
    <w:r w:rsidRPr="001D40B4">
      <w:rPr>
        <w:rStyle w:val="HideTWBExt"/>
        <w:noProof w:val="0"/>
      </w:rPr>
      <w:t>&lt;/Version&gt;</w:t>
    </w:r>
  </w:p>
  <w:p w:rsidR="00A13D65" w:rsidRPr="001D40B4" w:rsidRDefault="001D40B4" w:rsidP="001D40B4">
    <w:pPr>
      <w:pStyle w:val="EPFooter2"/>
    </w:pPr>
    <w:r w:rsidRPr="001D40B4">
      <w:tab/>
    </w:r>
    <w:r w:rsidRPr="001D40B4">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B4" w:rsidRPr="001D40B4" w:rsidRDefault="001D40B4" w:rsidP="001D40B4">
    <w:pPr>
      <w:pStyle w:val="EPFooter"/>
    </w:pPr>
    <w:r w:rsidRPr="001D40B4">
      <w:rPr>
        <w:rStyle w:val="HideTWBExt"/>
        <w:noProof w:val="0"/>
      </w:rPr>
      <w:t>&lt;PathFdR&gt;</w:t>
    </w:r>
    <w:r w:rsidRPr="001D40B4">
      <w:t>PV\1193858PT.docx</w:t>
    </w:r>
    <w:r w:rsidRPr="001D40B4">
      <w:rPr>
        <w:rStyle w:val="HideTWBExt"/>
        <w:noProof w:val="0"/>
      </w:rPr>
      <w:t>&lt;/PathFdR&gt;</w:t>
    </w:r>
    <w:r w:rsidRPr="001D40B4">
      <w:tab/>
    </w:r>
    <w:r w:rsidRPr="001D40B4">
      <w:tab/>
      <w:t>PE</w:t>
    </w:r>
    <w:r w:rsidRPr="001D40B4">
      <w:rPr>
        <w:rStyle w:val="HideTWBExt"/>
        <w:noProof w:val="0"/>
      </w:rPr>
      <w:t>&lt;NoPE&gt;</w:t>
    </w:r>
    <w:r w:rsidRPr="001D40B4">
      <w:t>644.811</w:t>
    </w:r>
    <w:r w:rsidRPr="001D40B4">
      <w:rPr>
        <w:rStyle w:val="HideTWBExt"/>
        <w:noProof w:val="0"/>
      </w:rPr>
      <w:t>&lt;/NoPE&gt;&lt;Version&gt;</w:t>
    </w:r>
    <w:r w:rsidRPr="001D40B4">
      <w:t>v01-00</w:t>
    </w:r>
    <w:r w:rsidRPr="001D40B4">
      <w:rPr>
        <w:rStyle w:val="HideTWBExt"/>
        <w:noProof w:val="0"/>
      </w:rPr>
      <w:t>&lt;/Version&gt;</w:t>
    </w:r>
  </w:p>
  <w:p w:rsidR="00A13D65" w:rsidRPr="001D40B4" w:rsidRDefault="001D40B4" w:rsidP="001D40B4">
    <w:pPr>
      <w:pStyle w:val="EPFooter2"/>
    </w:pPr>
    <w:r w:rsidRPr="001D40B4">
      <w:t>PT</w:t>
    </w:r>
    <w:r w:rsidRPr="001D40B4">
      <w:tab/>
    </w:r>
    <w:r w:rsidRPr="001D40B4">
      <w:rPr>
        <w:b w:val="0"/>
        <w:i/>
        <w:color w:val="C0C0C0"/>
        <w:sz w:val="22"/>
      </w:rPr>
      <w:t>Unida na diversidade</w:t>
    </w:r>
    <w:r w:rsidRPr="001D40B4">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BA" w:rsidRPr="001D40B4" w:rsidRDefault="00A44DBA">
      <w:r w:rsidRPr="001D40B4">
        <w:separator/>
      </w:r>
    </w:p>
    <w:p w:rsidR="00A44DBA" w:rsidRPr="001D40B4" w:rsidRDefault="00A44DBA"/>
  </w:footnote>
  <w:footnote w:type="continuationSeparator" w:id="0">
    <w:p w:rsidR="00A44DBA" w:rsidRPr="001D40B4" w:rsidRDefault="00A44DBA">
      <w:r w:rsidRPr="001D40B4">
        <w:continuationSeparator/>
      </w:r>
    </w:p>
    <w:p w:rsidR="00A44DBA" w:rsidRPr="001D40B4" w:rsidRDefault="00A44D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B6" w:rsidRDefault="003F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B6" w:rsidRDefault="003F0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B6" w:rsidRDefault="003F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LastEditedSection" w:val=" 1"/>
    <w:docVar w:name="MEETMNU" w:val=" 1"/>
    <w:docVar w:name="NVAR" w:val="0"/>
    <w:docVar w:name="STOREDT1" w:val="25/11/2019"/>
    <w:docVar w:name="strDocTypeID" w:val="PVx"/>
    <w:docVar w:name="strSubDir" w:val="1193"/>
    <w:docVar w:name="TXTLANGUE" w:val="EN"/>
    <w:docVar w:name="TXTLANGUEMIN" w:val="en"/>
    <w:docVar w:name="TXTNRPE" w:val="644.811"/>
    <w:docVar w:name="TXTPEorAP" w:val="PE"/>
    <w:docVar w:name="TXTROUTE" w:val="PV\1193858EN.docx"/>
    <w:docVar w:name="TXTVERSION" w:val="01-00"/>
  </w:docVars>
  <w:rsids>
    <w:rsidRoot w:val="00A44DBA"/>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0F6A89"/>
    <w:rsid w:val="0011399B"/>
    <w:rsid w:val="00114A86"/>
    <w:rsid w:val="001173AC"/>
    <w:rsid w:val="00164E56"/>
    <w:rsid w:val="00176DCC"/>
    <w:rsid w:val="001813D5"/>
    <w:rsid w:val="001857BA"/>
    <w:rsid w:val="00190F58"/>
    <w:rsid w:val="00194506"/>
    <w:rsid w:val="0019636C"/>
    <w:rsid w:val="001C4040"/>
    <w:rsid w:val="001D14AA"/>
    <w:rsid w:val="001D40B4"/>
    <w:rsid w:val="001E20EC"/>
    <w:rsid w:val="001E4EBD"/>
    <w:rsid w:val="00201BA8"/>
    <w:rsid w:val="0020777E"/>
    <w:rsid w:val="0022027F"/>
    <w:rsid w:val="00225BAF"/>
    <w:rsid w:val="0022750E"/>
    <w:rsid w:val="00236A0D"/>
    <w:rsid w:val="00250F5D"/>
    <w:rsid w:val="00251D85"/>
    <w:rsid w:val="0026136B"/>
    <w:rsid w:val="002659A2"/>
    <w:rsid w:val="00273DB4"/>
    <w:rsid w:val="002753C7"/>
    <w:rsid w:val="002870DD"/>
    <w:rsid w:val="002A27BB"/>
    <w:rsid w:val="002C52D6"/>
    <w:rsid w:val="002D74B5"/>
    <w:rsid w:val="002D7816"/>
    <w:rsid w:val="002E083E"/>
    <w:rsid w:val="002E2B09"/>
    <w:rsid w:val="002E37A9"/>
    <w:rsid w:val="003118F4"/>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D1E1E"/>
    <w:rsid w:val="003E0A41"/>
    <w:rsid w:val="003E0BDE"/>
    <w:rsid w:val="003E0D2D"/>
    <w:rsid w:val="003E582C"/>
    <w:rsid w:val="003F02B6"/>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05C7"/>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01CA"/>
    <w:rsid w:val="006132D6"/>
    <w:rsid w:val="00615488"/>
    <w:rsid w:val="0062045A"/>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252BE"/>
    <w:rsid w:val="00754C89"/>
    <w:rsid w:val="00755125"/>
    <w:rsid w:val="00765523"/>
    <w:rsid w:val="00765E1E"/>
    <w:rsid w:val="0076749D"/>
    <w:rsid w:val="00785E9B"/>
    <w:rsid w:val="00792939"/>
    <w:rsid w:val="00793FC2"/>
    <w:rsid w:val="007A3289"/>
    <w:rsid w:val="007A501D"/>
    <w:rsid w:val="007A52E0"/>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73BC9"/>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622BD"/>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44DBA"/>
    <w:rsid w:val="00A5325A"/>
    <w:rsid w:val="00A6035E"/>
    <w:rsid w:val="00A65248"/>
    <w:rsid w:val="00A66B35"/>
    <w:rsid w:val="00A72284"/>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4ABE"/>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47788"/>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 w:val="00FF73F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EFE2DD-C4A5-4EE1-BCC9-24DFC51E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NormalIndent12a">
    <w:name w:val="Normal Indent 12a"/>
    <w:basedOn w:val="NormalIndent"/>
    <w:rsid w:val="003D1E1E"/>
    <w:pPr>
      <w:snapToGrid w:val="0"/>
      <w:spacing w:after="240"/>
    </w:pPr>
    <w:rPr>
      <w:snapToGrid/>
    </w:rPr>
  </w:style>
  <w:style w:type="paragraph" w:styleId="NormalIndent">
    <w:name w:val="Normal Indent"/>
    <w:basedOn w:val="Normal"/>
    <w:rsid w:val="003D1E1E"/>
    <w:pPr>
      <w:ind w:left="720"/>
    </w:pPr>
  </w:style>
  <w:style w:type="paragraph" w:styleId="Footer">
    <w:name w:val="footer"/>
    <w:basedOn w:val="Normal"/>
    <w:link w:val="FooterChar"/>
    <w:rsid w:val="003118F4"/>
    <w:pPr>
      <w:tabs>
        <w:tab w:val="center" w:pos="4513"/>
        <w:tab w:val="right" w:pos="9026"/>
      </w:tabs>
    </w:pPr>
  </w:style>
  <w:style w:type="character" w:customStyle="1" w:styleId="FooterChar">
    <w:name w:val="Footer Char"/>
    <w:basedOn w:val="DefaultParagraphFont"/>
    <w:link w:val="Footer"/>
    <w:rsid w:val="003118F4"/>
    <w:rPr>
      <w:snapToGrid w:val="0"/>
      <w:sz w:val="24"/>
      <w:lang w:eastAsia="en-US"/>
    </w:rPr>
  </w:style>
  <w:style w:type="paragraph" w:styleId="BalloonText">
    <w:name w:val="Balloon Text"/>
    <w:basedOn w:val="Normal"/>
    <w:link w:val="BalloonTextChar"/>
    <w:rsid w:val="00873BC9"/>
    <w:rPr>
      <w:rFonts w:ascii="Segoe UI" w:hAnsi="Segoe UI" w:cs="Segoe UI"/>
      <w:sz w:val="18"/>
      <w:szCs w:val="18"/>
    </w:rPr>
  </w:style>
  <w:style w:type="character" w:customStyle="1" w:styleId="BalloonTextChar">
    <w:name w:val="Balloon Text Char"/>
    <w:basedOn w:val="DefaultParagraphFont"/>
    <w:link w:val="BalloonText"/>
    <w:rsid w:val="00873BC9"/>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973">
      <w:bodyDiv w:val="1"/>
      <w:marLeft w:val="0"/>
      <w:marRight w:val="0"/>
      <w:marTop w:val="0"/>
      <w:marBottom w:val="0"/>
      <w:divBdr>
        <w:top w:val="none" w:sz="0" w:space="0" w:color="auto"/>
        <w:left w:val="none" w:sz="0" w:space="0" w:color="auto"/>
        <w:bottom w:val="none" w:sz="0" w:space="0" w:color="auto"/>
        <w:right w:val="none" w:sz="0" w:space="0" w:color="auto"/>
      </w:divBdr>
    </w:div>
    <w:div w:id="654259207">
      <w:bodyDiv w:val="1"/>
      <w:marLeft w:val="0"/>
      <w:marRight w:val="0"/>
      <w:marTop w:val="0"/>
      <w:marBottom w:val="0"/>
      <w:divBdr>
        <w:top w:val="none" w:sz="0" w:space="0" w:color="auto"/>
        <w:left w:val="none" w:sz="0" w:space="0" w:color="auto"/>
        <w:bottom w:val="none" w:sz="0" w:space="0" w:color="auto"/>
        <w:right w:val="none" w:sz="0" w:space="0" w:color="auto"/>
      </w:divBdr>
    </w:div>
    <w:div w:id="678775881">
      <w:bodyDiv w:val="1"/>
      <w:marLeft w:val="0"/>
      <w:marRight w:val="0"/>
      <w:marTop w:val="0"/>
      <w:marBottom w:val="0"/>
      <w:divBdr>
        <w:top w:val="none" w:sz="0" w:space="0" w:color="auto"/>
        <w:left w:val="none" w:sz="0" w:space="0" w:color="auto"/>
        <w:bottom w:val="none" w:sz="0" w:space="0" w:color="auto"/>
        <w:right w:val="none" w:sz="0" w:space="0" w:color="auto"/>
      </w:divBdr>
    </w:div>
    <w:div w:id="716658779">
      <w:bodyDiv w:val="1"/>
      <w:marLeft w:val="0"/>
      <w:marRight w:val="0"/>
      <w:marTop w:val="0"/>
      <w:marBottom w:val="0"/>
      <w:divBdr>
        <w:top w:val="none" w:sz="0" w:space="0" w:color="auto"/>
        <w:left w:val="none" w:sz="0" w:space="0" w:color="auto"/>
        <w:bottom w:val="none" w:sz="0" w:space="0" w:color="auto"/>
        <w:right w:val="none" w:sz="0" w:space="0" w:color="auto"/>
      </w:divBdr>
    </w:div>
    <w:div w:id="787043102">
      <w:bodyDiv w:val="1"/>
      <w:marLeft w:val="0"/>
      <w:marRight w:val="0"/>
      <w:marTop w:val="0"/>
      <w:marBottom w:val="0"/>
      <w:divBdr>
        <w:top w:val="none" w:sz="0" w:space="0" w:color="auto"/>
        <w:left w:val="none" w:sz="0" w:space="0" w:color="auto"/>
        <w:bottom w:val="none" w:sz="0" w:space="0" w:color="auto"/>
        <w:right w:val="none" w:sz="0" w:space="0" w:color="auto"/>
      </w:divBdr>
    </w:div>
    <w:div w:id="891426200">
      <w:bodyDiv w:val="1"/>
      <w:marLeft w:val="0"/>
      <w:marRight w:val="0"/>
      <w:marTop w:val="0"/>
      <w:marBottom w:val="0"/>
      <w:divBdr>
        <w:top w:val="none" w:sz="0" w:space="0" w:color="auto"/>
        <w:left w:val="none" w:sz="0" w:space="0" w:color="auto"/>
        <w:bottom w:val="none" w:sz="0" w:space="0" w:color="auto"/>
        <w:right w:val="none" w:sz="0" w:space="0" w:color="auto"/>
      </w:divBdr>
    </w:div>
    <w:div w:id="969748618">
      <w:bodyDiv w:val="1"/>
      <w:marLeft w:val="0"/>
      <w:marRight w:val="0"/>
      <w:marTop w:val="0"/>
      <w:marBottom w:val="0"/>
      <w:divBdr>
        <w:top w:val="none" w:sz="0" w:space="0" w:color="auto"/>
        <w:left w:val="none" w:sz="0" w:space="0" w:color="auto"/>
        <w:bottom w:val="none" w:sz="0" w:space="0" w:color="auto"/>
        <w:right w:val="none" w:sz="0" w:space="0" w:color="auto"/>
      </w:divBdr>
    </w:div>
    <w:div w:id="1162896391">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71162334">
      <w:bodyDiv w:val="1"/>
      <w:marLeft w:val="0"/>
      <w:marRight w:val="0"/>
      <w:marTop w:val="0"/>
      <w:marBottom w:val="0"/>
      <w:divBdr>
        <w:top w:val="none" w:sz="0" w:space="0" w:color="auto"/>
        <w:left w:val="none" w:sz="0" w:space="0" w:color="auto"/>
        <w:bottom w:val="none" w:sz="0" w:space="0" w:color="auto"/>
        <w:right w:val="none" w:sz="0" w:space="0" w:color="auto"/>
      </w:divBdr>
    </w:div>
    <w:div w:id="1875380696">
      <w:bodyDiv w:val="1"/>
      <w:marLeft w:val="0"/>
      <w:marRight w:val="0"/>
      <w:marTop w:val="0"/>
      <w:marBottom w:val="0"/>
      <w:divBdr>
        <w:top w:val="none" w:sz="0" w:space="0" w:color="auto"/>
        <w:left w:val="none" w:sz="0" w:space="0" w:color="auto"/>
        <w:bottom w:val="none" w:sz="0" w:space="0" w:color="auto"/>
        <w:right w:val="none" w:sz="0" w:space="0" w:color="auto"/>
      </w:divBdr>
    </w:div>
    <w:div w:id="19088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rriag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D9A4-47CE-4658-B2BF-8D8046E2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8</Pages>
  <Words>1413</Words>
  <Characters>12931</Characters>
  <Application>Microsoft Office Word</Application>
  <DocSecurity>0</DocSecurity>
  <Lines>281</Lines>
  <Paragraphs>157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14187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ARRIAGA E CUNHA Olga</dc:creator>
  <cp:keywords/>
  <cp:lastModifiedBy>MARTINS Maria Joao</cp:lastModifiedBy>
  <cp:revision>2</cp:revision>
  <cp:lastPrinted>2019-12-17T14:30:00Z</cp:lastPrinted>
  <dcterms:created xsi:type="dcterms:W3CDTF">2020-01-20T10:17:00Z</dcterms:created>
  <dcterms:modified xsi:type="dcterms:W3CDTF">2020-01-20T10:17:00Z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1193858</vt:lpwstr>
  </property>
  <property fmtid="{D5CDD505-2E9C-101B-9397-08002B2CF9AE}" pid="5" name="&lt;Type&gt;">
    <vt:lpwstr>PV</vt:lpwstr>
  </property>
  <property fmtid="{D5CDD505-2E9C-101B-9397-08002B2CF9AE}" pid="6" name="&lt;ModelCod&gt;">
    <vt:lpwstr>\\eiciSTRpr1\pdocep$\DocEP\DOCS\General\PV\PVx.dotx(04/11/2019 18:15:04)</vt:lpwstr>
  </property>
  <property fmtid="{D5CDD505-2E9C-101B-9397-08002B2CF9AE}" pid="7" name="&lt;ModelTra&gt;">
    <vt:lpwstr>\\eiciSTRpr1\pdocep$\DocEP\TRANSFIL\EN\PVx.EN(01/07/2019 13:50:11)</vt:lpwstr>
  </property>
  <property fmtid="{D5CDD505-2E9C-101B-9397-08002B2CF9AE}" pid="8" name="&lt;Model&gt;">
    <vt:lpwstr>PVx</vt:lpwstr>
  </property>
  <property fmtid="{D5CDD505-2E9C-101B-9397-08002B2CF9AE}" pid="9" name="FooterPath">
    <vt:lpwstr>PV\1193858PT.docx</vt:lpwstr>
  </property>
  <property fmtid="{D5CDD505-2E9C-101B-9397-08002B2CF9AE}" pid="10" name="PE number">
    <vt:lpwstr>644.811</vt:lpwstr>
  </property>
  <property fmtid="{D5CDD505-2E9C-101B-9397-08002B2CF9AE}" pid="11" name="SubscribeElise">
    <vt:lpwstr/>
  </property>
  <property fmtid="{D5CDD505-2E9C-101B-9397-08002B2CF9AE}" pid="12" name="SendToEpades">
    <vt:lpwstr>OK - 2019/12/18 16:19</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- 2020/01/20 11:17</vt:lpwstr>
  </property>
</Properties>
</file>