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041A79" w:rsidRPr="00DA3D65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041A79" w:rsidRPr="00DA3D65" w:rsidRDefault="0005488B" w:rsidP="00C85D0F">
            <w:pPr>
              <w:pStyle w:val="EPName"/>
            </w:pPr>
            <w:r w:rsidRPr="00DA3D65">
              <w:t>Parlamento Europeu</w:t>
            </w:r>
          </w:p>
          <w:p w:rsidR="00041A79" w:rsidRPr="00DA3D65" w:rsidRDefault="00D30D58" w:rsidP="00D30D58">
            <w:pPr>
              <w:pStyle w:val="EPTerm"/>
            </w:pPr>
            <w:r w:rsidRPr="00DA3D65">
              <w:t>2019-2024</w:t>
            </w:r>
          </w:p>
        </w:tc>
        <w:tc>
          <w:tcPr>
            <w:tcW w:w="2268" w:type="dxa"/>
            <w:shd w:val="clear" w:color="auto" w:fill="auto"/>
          </w:tcPr>
          <w:p w:rsidR="00041A79" w:rsidRPr="00DA3D65" w:rsidRDefault="00041A79" w:rsidP="00C85D0F">
            <w:pPr>
              <w:pStyle w:val="EPLogo"/>
            </w:pPr>
            <w:r w:rsidRPr="00DA3D65"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DA3D65" w:rsidRDefault="00F64B87" w:rsidP="00F64B87">
      <w:pPr>
        <w:pStyle w:val="LineTop"/>
      </w:pPr>
    </w:p>
    <w:p w:rsidR="00F64B87" w:rsidRPr="00DA3D65" w:rsidRDefault="00F64B87" w:rsidP="00F64B87">
      <w:pPr>
        <w:pStyle w:val="EPBody"/>
      </w:pPr>
      <w:r w:rsidRPr="00DA3D65">
        <w:rPr>
          <w:rStyle w:val="HideTWBExt"/>
          <w:noProof w:val="0"/>
        </w:rPr>
        <w:t>&lt;</w:t>
      </w:r>
      <w:r w:rsidRPr="00DA3D65">
        <w:rPr>
          <w:rStyle w:val="HideTWBExt"/>
          <w:i w:val="0"/>
          <w:noProof w:val="0"/>
        </w:rPr>
        <w:t>Commission&gt;</w:t>
      </w:r>
      <w:r w:rsidRPr="00DA3D65">
        <w:rPr>
          <w:rStyle w:val="HideTWBInt"/>
        </w:rPr>
        <w:t>{AFCO}</w:t>
      </w:r>
      <w:r w:rsidRPr="00DA3D65">
        <w:t>Comissão dos Assuntos Constitucionais</w:t>
      </w:r>
      <w:r w:rsidRPr="00DA3D65">
        <w:rPr>
          <w:rStyle w:val="HideTWBExt"/>
          <w:noProof w:val="0"/>
        </w:rPr>
        <w:t>&lt;/</w:t>
      </w:r>
      <w:r w:rsidRPr="00DA3D65">
        <w:rPr>
          <w:rStyle w:val="HideTWBExt"/>
          <w:i w:val="0"/>
          <w:noProof w:val="0"/>
        </w:rPr>
        <w:t>Commission</w:t>
      </w:r>
      <w:r w:rsidRPr="00DA3D65">
        <w:rPr>
          <w:rStyle w:val="HideTWBExt"/>
          <w:noProof w:val="0"/>
        </w:rPr>
        <w:t>&gt;</w:t>
      </w:r>
    </w:p>
    <w:p w:rsidR="001173AC" w:rsidRPr="00DA3D65" w:rsidRDefault="001173AC" w:rsidP="001173AC">
      <w:pPr>
        <w:pStyle w:val="LineBottom"/>
      </w:pPr>
    </w:p>
    <w:p w:rsidR="00EA74BF" w:rsidRPr="00DA3D65" w:rsidRDefault="00D30D58" w:rsidP="001173AC">
      <w:pPr>
        <w:pStyle w:val="HeadingReferenceOJPV"/>
      </w:pPr>
      <w:r w:rsidRPr="00DA3D65">
        <w:t>AFCO_PV(2020)0707_1</w:t>
      </w:r>
    </w:p>
    <w:p w:rsidR="00EA74BF" w:rsidRPr="00DA3D65" w:rsidRDefault="0005488B" w:rsidP="001173AC">
      <w:pPr>
        <w:pStyle w:val="HeadingDocType24a"/>
      </w:pPr>
      <w:r w:rsidRPr="00DA3D65">
        <w:t>ATA</w:t>
      </w:r>
    </w:p>
    <w:p w:rsidR="00EA74BF" w:rsidRPr="00DA3D65" w:rsidRDefault="006F08EE" w:rsidP="001173AC">
      <w:pPr>
        <w:pStyle w:val="HeadingCenter12a"/>
      </w:pPr>
      <w:r w:rsidRPr="00DA3D65">
        <w:t>Reunião extraordinária de 7 de julho de 2020, das 9.00 às 11.00</w:t>
      </w:r>
    </w:p>
    <w:p w:rsidR="00EA74BF" w:rsidRPr="00DA3D65" w:rsidRDefault="00D30D58" w:rsidP="001173AC">
      <w:pPr>
        <w:pStyle w:val="HeadingCenter12a"/>
      </w:pPr>
      <w:r w:rsidRPr="00DA3D65">
        <w:t>BRUXELAS</w:t>
      </w:r>
    </w:p>
    <w:p w:rsidR="00D30D58" w:rsidRPr="00DA3D65" w:rsidRDefault="00D30D58" w:rsidP="00D30D58">
      <w:pPr>
        <w:pStyle w:val="MeetingIntro"/>
        <w:spacing w:after="120"/>
        <w:rPr>
          <w:szCs w:val="24"/>
        </w:rPr>
      </w:pPr>
      <w:r w:rsidRPr="00DA3D65">
        <w:rPr>
          <w:b/>
          <w:bCs/>
          <w:i/>
          <w:iCs/>
          <w:szCs w:val="24"/>
        </w:rPr>
        <w:t>e com a participação à distância de membros da Comissão AFCO através do instrumento Interactio para reuniões à distância</w:t>
      </w:r>
    </w:p>
    <w:p w:rsidR="00EA74BF" w:rsidRPr="00DA3D65" w:rsidRDefault="0005488B" w:rsidP="00D30D58">
      <w:pPr>
        <w:pStyle w:val="MeetingIntro"/>
        <w:spacing w:before="360" w:after="360"/>
        <w:rPr>
          <w:szCs w:val="24"/>
        </w:rPr>
      </w:pPr>
      <w:r w:rsidRPr="00DA3D65">
        <w:t>A reunião tem início às 9.03 de terça-feira, 7 de julho de 2020, sob a presidência de Antonio Tajani (presidente).</w:t>
      </w:r>
    </w:p>
    <w:p w:rsidR="00D30D58" w:rsidRPr="00DA3D65" w:rsidRDefault="00D30D58" w:rsidP="00D30D58">
      <w:pPr>
        <w:pStyle w:val="MeetingIntro"/>
        <w:spacing w:before="360"/>
        <w:rPr>
          <w:szCs w:val="24"/>
        </w:rPr>
      </w:pPr>
      <w:r w:rsidRPr="00DA3D65">
        <w:t>Por razões de ordem jurídica (direito ao respeito pela vida privada), os participantes são informados de que a reunião será filmada e transmitida em direto via Internet.</w:t>
      </w:r>
    </w:p>
    <w:p w:rsidR="00D30D58" w:rsidRPr="00DA3D65" w:rsidRDefault="00411CD3" w:rsidP="00411CD3">
      <w:pPr>
        <w:pStyle w:val="PVxHeading"/>
        <w:numPr>
          <w:ilvl w:val="0"/>
          <w:numId w:val="0"/>
        </w:numPr>
        <w:ind w:left="567" w:hanging="567"/>
        <w:rPr>
          <w:szCs w:val="24"/>
        </w:rPr>
      </w:pPr>
      <w:r w:rsidRPr="00DA3D65">
        <w:t>1.</w:t>
      </w:r>
      <w:r w:rsidRPr="00DA3D65">
        <w:tab/>
        <w:t>Aprovação da ordem do dia</w:t>
      </w:r>
      <w:r w:rsidRPr="00DA3D65">
        <w:tab/>
      </w:r>
      <w:r w:rsidRPr="00DA3D65">
        <w:rPr>
          <w:b w:val="0"/>
          <w:szCs w:val="24"/>
        </w:rPr>
        <w:t>AFCO_OJ PE654.025v01</w:t>
      </w:r>
    </w:p>
    <w:p w:rsidR="00D30D58" w:rsidRPr="00DA3D65" w:rsidRDefault="00D30D58" w:rsidP="00D30D58">
      <w:pPr>
        <w:pStyle w:val="PVxIndent"/>
        <w:spacing w:after="480"/>
        <w:rPr>
          <w:szCs w:val="24"/>
        </w:rPr>
      </w:pPr>
      <w:r w:rsidRPr="00DA3D65">
        <w:t>A ordem do dia é aprovada.</w:t>
      </w:r>
    </w:p>
    <w:p w:rsidR="00D30D58" w:rsidRPr="00DA3D65" w:rsidRDefault="00411CD3" w:rsidP="00411CD3">
      <w:pPr>
        <w:pStyle w:val="PVxHeading"/>
        <w:numPr>
          <w:ilvl w:val="0"/>
          <w:numId w:val="0"/>
        </w:numPr>
        <w:ind w:left="567" w:hanging="567"/>
        <w:rPr>
          <w:szCs w:val="24"/>
        </w:rPr>
      </w:pPr>
      <w:r w:rsidRPr="00DA3D65">
        <w:t>2.</w:t>
      </w:r>
      <w:r w:rsidRPr="00DA3D65">
        <w:tab/>
        <w:t>Comunicações da presidência</w:t>
      </w:r>
    </w:p>
    <w:p w:rsidR="009853B4" w:rsidRPr="00DA3D65" w:rsidRDefault="009853B4" w:rsidP="009853B4">
      <w:pPr>
        <w:spacing w:after="240"/>
        <w:ind w:left="992" w:hanging="425"/>
        <w:jc w:val="both"/>
        <w:rPr>
          <w:szCs w:val="24"/>
        </w:rPr>
      </w:pPr>
      <w:r w:rsidRPr="00DA3D65">
        <w:t>●</w:t>
      </w:r>
      <w:r w:rsidRPr="00DA3D65">
        <w:tab/>
        <w:t>O parecer da Comissão AFCO dirigido à Comissão BUDG, sobre uma proposta de decisão do Conselho relativa ao sistema de recursos próprios da União Europeia (2018/0135(CNS)), é atribuída ao Grupo Renew, com Sandro Gozi como relator de parecer. Para que o parecer seja votado antes da votação da Comissão BUDG (prevista para o princípio da semana com início em 31 de agosto de 2020), a Comissão AFCO poderá ter de realizar uma reunião durante a semana de 24 a 28 de agosto de 2020;</w:t>
      </w:r>
    </w:p>
    <w:p w:rsidR="006065B8" w:rsidRPr="00DA3D65" w:rsidRDefault="009853B4" w:rsidP="009853B4">
      <w:pPr>
        <w:spacing w:after="480"/>
        <w:ind w:left="992" w:hanging="425"/>
        <w:jc w:val="both"/>
        <w:rPr>
          <w:szCs w:val="24"/>
        </w:rPr>
      </w:pPr>
      <w:r w:rsidRPr="00DA3D65">
        <w:t>●</w:t>
      </w:r>
      <w:r w:rsidRPr="00DA3D65">
        <w:tab/>
        <w:t xml:space="preserve">Com vista à eventual utilização da aplicação iVote em setembro, terá lugar uma </w:t>
      </w:r>
      <w:r w:rsidRPr="00DA3D65">
        <w:lastRenderedPageBreak/>
        <w:t>votação-teste na terça-feira, 14 de julho, durante a tarde.</w:t>
      </w:r>
    </w:p>
    <w:p w:rsidR="00D30D58" w:rsidRPr="00DA3D65" w:rsidRDefault="00411CD3" w:rsidP="00411CD3">
      <w:pPr>
        <w:pStyle w:val="PVxHeading"/>
        <w:numPr>
          <w:ilvl w:val="0"/>
          <w:numId w:val="0"/>
        </w:numPr>
        <w:ind w:left="567" w:hanging="567"/>
      </w:pPr>
      <w:r w:rsidRPr="00DA3D65">
        <w:t>3.</w:t>
      </w:r>
      <w:r w:rsidRPr="00DA3D65">
        <w:tab/>
        <w:t>Criação de um mecanismo da UE para a democracia, o Estado de direito e os direitos fundamentais</w:t>
      </w:r>
    </w:p>
    <w:p w:rsidR="006065B8" w:rsidRPr="00DA3D65" w:rsidRDefault="006065B8" w:rsidP="006065B8">
      <w:pPr>
        <w:pStyle w:val="PVxIndent"/>
        <w:rPr>
          <w:snapToGrid/>
        </w:rPr>
      </w:pPr>
      <w:r w:rsidRPr="00DA3D65">
        <w:t>AFCO/9/02932</w:t>
      </w:r>
    </w:p>
    <w:p w:rsidR="006065B8" w:rsidRPr="00DA3D65" w:rsidRDefault="006065B8" w:rsidP="006065B8">
      <w:pPr>
        <w:pStyle w:val="PVxIndent"/>
        <w:spacing w:after="240"/>
      </w:pPr>
      <w:r w:rsidRPr="00DA3D65">
        <w:t>2020/2072(INL)</w:t>
      </w:r>
    </w:p>
    <w:p w:rsidR="006065B8" w:rsidRPr="00DA3D65" w:rsidRDefault="006065B8" w:rsidP="006065B8">
      <w:pPr>
        <w:pStyle w:val="NormalIndent12a"/>
        <w:tabs>
          <w:tab w:val="left" w:pos="3402"/>
          <w:tab w:val="right" w:pos="9071"/>
        </w:tabs>
        <w:ind w:left="567"/>
      </w:pPr>
      <w:r w:rsidRPr="00DA3D65">
        <w:t xml:space="preserve">Relator de parecer: </w:t>
      </w:r>
      <w:r w:rsidRPr="00DA3D65">
        <w:rPr>
          <w:b/>
        </w:rPr>
        <w:t xml:space="preserve">Włodzimierz Cimoszewicz </w:t>
      </w:r>
      <w:r w:rsidRPr="00DA3D65">
        <w:t>(S&amp;D)</w:t>
      </w:r>
      <w:r w:rsidRPr="00DA3D65">
        <w:tab/>
        <w:t>PA–PE654.024v01-00</w:t>
      </w:r>
    </w:p>
    <w:p w:rsidR="006065B8" w:rsidRPr="00DA3D65" w:rsidRDefault="006065B8" w:rsidP="006065B8">
      <w:pPr>
        <w:pStyle w:val="NormalIndent12a"/>
        <w:tabs>
          <w:tab w:val="left" w:pos="2410"/>
          <w:tab w:val="left" w:pos="3402"/>
          <w:tab w:val="right" w:pos="9071"/>
        </w:tabs>
        <w:ind w:left="567"/>
      </w:pPr>
      <w:r w:rsidRPr="00DA3D65">
        <w:t>Fundo:</w:t>
      </w:r>
      <w:r w:rsidRPr="00DA3D65">
        <w:tab/>
        <w:t>LIBE</w:t>
      </w:r>
      <w:r w:rsidRPr="00DA3D65">
        <w:tab/>
        <w:t>Michal Šimečka (Renew)</w:t>
      </w:r>
      <w:r w:rsidRPr="00DA3D65">
        <w:tab/>
        <w:t>PR–PE653.810v01-00</w:t>
      </w:r>
    </w:p>
    <w:p w:rsidR="009853B4" w:rsidRPr="00DA3D65" w:rsidRDefault="009853B4" w:rsidP="009853B4">
      <w:pPr>
        <w:pStyle w:val="PVxIndent12b"/>
        <w:spacing w:after="240"/>
      </w:pPr>
      <w:r w:rsidRPr="00DA3D65">
        <w:t>O relator de parecer, Włodzimierz Cimoszewicz, apresenta o projeto de parecer.</w:t>
      </w:r>
    </w:p>
    <w:p w:rsidR="009853B4" w:rsidRPr="00DA3D65" w:rsidRDefault="009853B4" w:rsidP="009853B4">
      <w:pPr>
        <w:pStyle w:val="PVxIndent12b"/>
        <w:spacing w:after="240"/>
      </w:pPr>
      <w:r w:rsidRPr="00DA3D65">
        <w:t>Além do presidente, Antonio Tajani, intervêm os seguintes deputados: Vladimír Bilčík, Domènec Ruiz Devesa, Maite Pagazaurtundúa, Gerolf Annemans, Gwendoline Delbos-Corfield, Angel Dzhambazki, Sven Simon, Gabriele Bischoff (1.º vice-presidente), Charles Goerens (2.º vice-presidente).</w:t>
      </w:r>
    </w:p>
    <w:p w:rsidR="006065B8" w:rsidRPr="00DA3D65" w:rsidRDefault="009853B4" w:rsidP="009853B4">
      <w:pPr>
        <w:pStyle w:val="PVxIndent12b"/>
        <w:spacing w:after="120"/>
      </w:pPr>
      <w:r w:rsidRPr="00DA3D65">
        <w:t>O prazo para a apresentação de alterações (apenas em inglês, devido ao curto prazo para aprovação) foi fixado em 16 de julho, pelas 17.00.</w:t>
      </w:r>
    </w:p>
    <w:p w:rsidR="006065B8" w:rsidRPr="00DA3D65" w:rsidRDefault="006065B8" w:rsidP="009853B4">
      <w:pPr>
        <w:pStyle w:val="MeetingIntro"/>
        <w:spacing w:before="360" w:after="360"/>
      </w:pPr>
      <w:r w:rsidRPr="00DA3D65">
        <w:t>A reunião, suspensa às 9.49, prossegue às 9.59, sob a presidência de Antonio Tajani (presidente).</w:t>
      </w:r>
    </w:p>
    <w:p w:rsidR="006065B8" w:rsidRPr="00DA3D65" w:rsidRDefault="00411CD3" w:rsidP="00411CD3">
      <w:pPr>
        <w:pStyle w:val="PVxHeading"/>
        <w:numPr>
          <w:ilvl w:val="0"/>
          <w:numId w:val="0"/>
        </w:numPr>
        <w:ind w:left="567" w:hanging="567"/>
      </w:pPr>
      <w:r w:rsidRPr="00DA3D65">
        <w:t>4.</w:t>
      </w:r>
      <w:r w:rsidRPr="00DA3D65">
        <w:tab/>
        <w:t>Troca de pontos de vista com Věra Jourová, vice-presidente da Comissão Europeia para os Valores e a Transparência</w:t>
      </w:r>
    </w:p>
    <w:p w:rsidR="006065B8" w:rsidRPr="00DA3D65" w:rsidRDefault="006065B8" w:rsidP="006065B8">
      <w:pPr>
        <w:pStyle w:val="PVxIndent12b"/>
        <w:spacing w:after="240"/>
      </w:pPr>
      <w:r w:rsidRPr="00DA3D65">
        <w:t>AFCO/9/03386</w:t>
      </w:r>
    </w:p>
    <w:p w:rsidR="009853B4" w:rsidRPr="00DA3D65" w:rsidRDefault="009853B4" w:rsidP="009853B4">
      <w:pPr>
        <w:pStyle w:val="PVxIndent12b"/>
        <w:spacing w:after="240"/>
      </w:pPr>
      <w:r w:rsidRPr="00DA3D65">
        <w:t xml:space="preserve">A comissão ouve Věra Jourová, vice-presidente da Comissão Europeia para os Valores e a Transparência. </w:t>
      </w:r>
    </w:p>
    <w:p w:rsidR="006065B8" w:rsidRPr="00DA3D65" w:rsidRDefault="009853B4" w:rsidP="009853B4">
      <w:pPr>
        <w:pStyle w:val="PVxIndent12b"/>
        <w:spacing w:after="480"/>
      </w:pPr>
      <w:r w:rsidRPr="00DA3D65">
        <w:t>Além do presidente, Antonio Tajani, intervêm os seguintes deputados: Vladimír Bilčík, Domènec Ruiz Devesa, Pascal Durand, Antonio Maria Rinaldi, Daniel Freund, Mairead McGuinness, Danuta Maria Hübner, Gabriele Bischoff (1.° vice-presidente), Victor Negrescu, Sandro Gozi, Gerolf Annemans, Markéta Gregorová.</w:t>
      </w:r>
    </w:p>
    <w:p w:rsidR="006065B8" w:rsidRPr="00DA3D65" w:rsidRDefault="00411CD3" w:rsidP="00411CD3">
      <w:pPr>
        <w:pStyle w:val="PVxHeading"/>
        <w:numPr>
          <w:ilvl w:val="0"/>
          <w:numId w:val="0"/>
        </w:numPr>
        <w:ind w:left="567" w:hanging="567"/>
      </w:pPr>
      <w:r w:rsidRPr="00DA3D65">
        <w:t>5.</w:t>
      </w:r>
      <w:r w:rsidRPr="00DA3D65">
        <w:tab/>
        <w:t>Diversos</w:t>
      </w:r>
    </w:p>
    <w:p w:rsidR="006065B8" w:rsidRPr="00DA3D65" w:rsidRDefault="006065B8" w:rsidP="006065B8">
      <w:pPr>
        <w:pStyle w:val="PVxIndent"/>
        <w:spacing w:after="480"/>
      </w:pPr>
      <w:r w:rsidRPr="00DA3D65">
        <w:t>Nada a assinalar</w:t>
      </w:r>
    </w:p>
    <w:p w:rsidR="006065B8" w:rsidRPr="00DA3D65" w:rsidRDefault="00411CD3" w:rsidP="00411CD3">
      <w:pPr>
        <w:pStyle w:val="PVxHeading"/>
        <w:numPr>
          <w:ilvl w:val="0"/>
          <w:numId w:val="0"/>
        </w:numPr>
        <w:ind w:left="567" w:hanging="567"/>
        <w:rPr>
          <w:snapToGrid/>
        </w:rPr>
      </w:pPr>
      <w:r w:rsidRPr="00DA3D65">
        <w:rPr>
          <w:snapToGrid/>
        </w:rPr>
        <w:t>6.</w:t>
      </w:r>
      <w:r w:rsidRPr="00DA3D65">
        <w:rPr>
          <w:snapToGrid/>
        </w:rPr>
        <w:tab/>
      </w:r>
      <w:r w:rsidRPr="00DA3D65">
        <w:t>Data e local da próxima reunião</w:t>
      </w:r>
    </w:p>
    <w:p w:rsidR="006065B8" w:rsidRPr="00DA3D65" w:rsidRDefault="006065B8" w:rsidP="009853B4">
      <w:pPr>
        <w:pStyle w:val="PVxIndentRightTab"/>
        <w:spacing w:after="480"/>
        <w:ind w:left="992" w:hanging="425"/>
      </w:pPr>
      <w:r w:rsidRPr="00DA3D65">
        <w:t>●</w:t>
      </w:r>
      <w:r w:rsidRPr="00DA3D65">
        <w:tab/>
        <w:t>14 de julho de 2020, das 9.00 às 11.00 (Bruxelas)</w:t>
      </w:r>
    </w:p>
    <w:p w:rsidR="00D45997" w:rsidRPr="00DA3D65" w:rsidRDefault="006065B8" w:rsidP="009853B4">
      <w:pPr>
        <w:spacing w:before="240" w:after="240"/>
      </w:pPr>
      <w:r w:rsidRPr="00DA3D65">
        <w:t>A reunião é encerrada às 11.08.</w:t>
      </w:r>
      <w:bookmarkStart w:id="0" w:name="PVXContinue"/>
      <w:bookmarkEnd w:id="0"/>
    </w:p>
    <w:p w:rsidR="00CA70CB" w:rsidRPr="00DA3D65" w:rsidRDefault="00CA70CB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ectPr w:rsidR="00CA70CB" w:rsidRPr="00DA3D65" w:rsidSect="008607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134" w:right="1418" w:bottom="1418" w:left="1418" w:header="1134" w:footer="567" w:gutter="0"/>
          <w:cols w:space="720"/>
          <w:titlePg/>
          <w:docGrid w:linePitch="326"/>
        </w:sectPr>
      </w:pPr>
    </w:p>
    <w:p w:rsidR="008452E8" w:rsidRPr="00DA3D65" w:rsidRDefault="00CC6E1E" w:rsidP="006065B8">
      <w:pPr>
        <w:pStyle w:val="AttendancePVTitle"/>
        <w:spacing w:after="240"/>
      </w:pPr>
      <w:r w:rsidRPr="00DA3D65">
        <w:lastRenderedPageBreak/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DA3D65">
        <w:trPr>
          <w:cantSplit/>
        </w:trPr>
        <w:tc>
          <w:tcPr>
            <w:tcW w:w="9072" w:type="dxa"/>
            <w:shd w:val="pct10" w:color="000000" w:fill="FFFFFF"/>
          </w:tcPr>
          <w:p w:rsidR="008452E8" w:rsidRPr="00DA3D65" w:rsidRDefault="00CC6E1E" w:rsidP="00AD4CEB">
            <w:pPr>
              <w:pStyle w:val="AttendancePVTable"/>
            </w:pPr>
            <w:r w:rsidRPr="00DA3D65"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8452E8" w:rsidRPr="00DA3D65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8452E8" w:rsidRPr="00DA3D65" w:rsidRDefault="00896883" w:rsidP="00AD4CEB">
            <w:pPr>
              <w:pStyle w:val="AttendancePVTable"/>
            </w:pPr>
            <w:r w:rsidRPr="00DA3D65">
              <w:t>Antonio Tajani (P), Gabriele Bischoff (VP), Charles Goerens (VP), Giuliano Pisapia (VP)</w:t>
            </w:r>
          </w:p>
        </w:tc>
      </w:tr>
      <w:tr w:rsidR="008452E8" w:rsidRPr="00DA3D65">
        <w:trPr>
          <w:cantSplit/>
        </w:trPr>
        <w:tc>
          <w:tcPr>
            <w:tcW w:w="9072" w:type="dxa"/>
            <w:shd w:val="pct10" w:color="000000" w:fill="FFFFFF"/>
          </w:tcPr>
          <w:p w:rsidR="008452E8" w:rsidRPr="00DA3D65" w:rsidRDefault="00CC6E1E" w:rsidP="00AD4CEB">
            <w:pPr>
              <w:pStyle w:val="AttendancePVTable"/>
            </w:pPr>
            <w:r w:rsidRPr="00DA3D65">
              <w:t>Членове/Diputados/Poslanci/Medlemmer/Mitglieder/Parlamendiliikmed/Βουλευτές/Members/Députés/Zastupnici/Deputati/Deputāti/ Nariai/Képviselõk/Membri/Leden/Posłowie/Deputados/Deputaţi/Jäsenet/Ledamöter</w:t>
            </w:r>
          </w:p>
        </w:tc>
      </w:tr>
      <w:tr w:rsidR="008452E8" w:rsidRPr="00DA3D65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DA3D65" w:rsidRDefault="00896883" w:rsidP="00AD4CEB">
            <w:pPr>
              <w:pStyle w:val="AttendancePVTable"/>
            </w:pPr>
            <w:r w:rsidRPr="00DA3D65">
              <w:t>Gerolf Annemans, Damian Boeselager, Włodzimierz Cimoszewicz, Gwendoline Delbos</w:t>
            </w:r>
            <w:r w:rsidRPr="00DA3D65">
              <w:noBreakHyphen/>
              <w:t>Corfield, Pascal Durand, Daniel Freund, Sandro Gozi, Paulo Rangel, Antonio Maria Rinaldi, Domènec Ruiz Devesa, Jacek Saryusz</w:t>
            </w:r>
            <w:r w:rsidRPr="00DA3D65">
              <w:noBreakHyphen/>
              <w:t>Wolski, László Trócsányi, Guy Verhofstadt, Loránt Vincze</w:t>
            </w:r>
          </w:p>
        </w:tc>
      </w:tr>
      <w:tr w:rsidR="008452E8" w:rsidRPr="00DA3D65">
        <w:trPr>
          <w:cantSplit/>
        </w:trPr>
        <w:tc>
          <w:tcPr>
            <w:tcW w:w="9072" w:type="dxa"/>
            <w:shd w:val="pct10" w:color="000000" w:fill="FFFFFF"/>
          </w:tcPr>
          <w:p w:rsidR="008452E8" w:rsidRPr="00DA3D65" w:rsidRDefault="00CC6E1E" w:rsidP="00AD4CEB">
            <w:pPr>
              <w:pStyle w:val="AttendancePVTable"/>
            </w:pPr>
            <w:r w:rsidRPr="00DA3D65"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DA3D65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DA3D65" w:rsidRDefault="00896883" w:rsidP="00896883">
            <w:pPr>
              <w:pStyle w:val="AttendancePVTable"/>
            </w:pPr>
            <w:r w:rsidRPr="00DA3D65">
              <w:t>Alexander Alexandrov Yordanov, Vladimír Bilčík, Miroslav Číž, Angel Dzhambazki, Markéta Gregorová, Danuta Maria Hübner, Mairead McGuinness, Victor Negrescu, Niklas Nienaß, Maite Pagazaurtundúa, Sven Simon</w:t>
            </w:r>
          </w:p>
        </w:tc>
      </w:tr>
    </w:tbl>
    <w:p w:rsidR="008452E8" w:rsidRPr="00DA3D65" w:rsidRDefault="008452E8" w:rsidP="005D5A08">
      <w:pPr>
        <w:pStyle w:val="AttendancePV"/>
      </w:pPr>
    </w:p>
    <w:p w:rsidR="008452E8" w:rsidRPr="00DA3D65" w:rsidRDefault="008452E8" w:rsidP="005D5A08">
      <w:pPr>
        <w:pStyle w:val="AttendancePV"/>
      </w:pPr>
    </w:p>
    <w:p w:rsidR="00714F25" w:rsidRPr="00DA3D65" w:rsidRDefault="00714F25" w:rsidP="005D5A08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DA3D65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DA3D65" w:rsidRDefault="006D2283" w:rsidP="00467244">
            <w:pPr>
              <w:pStyle w:val="AttendancePVTable"/>
            </w:pPr>
            <w:r w:rsidRPr="00DA3D65">
              <w:t>209 (7)</w:t>
            </w:r>
          </w:p>
        </w:tc>
      </w:tr>
      <w:tr w:rsidR="008452E8" w:rsidRPr="00DA3D65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DA3D65" w:rsidRDefault="008452E8" w:rsidP="00AD4CEB">
            <w:pPr>
              <w:pStyle w:val="AttendancePVTable"/>
            </w:pPr>
          </w:p>
        </w:tc>
      </w:tr>
      <w:tr w:rsidR="008452E8" w:rsidRPr="00DA3D65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DA3D65" w:rsidRDefault="00467244" w:rsidP="00AD4CEB">
            <w:pPr>
              <w:pStyle w:val="AttendancePVTable"/>
            </w:pPr>
            <w:r w:rsidRPr="00DA3D65">
              <w:t>216 (3)</w:t>
            </w:r>
          </w:p>
        </w:tc>
      </w:tr>
      <w:tr w:rsidR="008452E8" w:rsidRPr="00DA3D65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DA3D65" w:rsidRDefault="008452E8" w:rsidP="00AD4CEB">
            <w:pPr>
              <w:pStyle w:val="AttendancePVTable"/>
            </w:pPr>
          </w:p>
        </w:tc>
      </w:tr>
      <w:tr w:rsidR="008452E8" w:rsidRPr="00DA3D65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DA3D65" w:rsidRDefault="006D2283" w:rsidP="00467244">
            <w:pPr>
              <w:pStyle w:val="AttendancePVTable"/>
            </w:pPr>
            <w:r w:rsidRPr="00DA3D65">
              <w:t>56 (8) (Точка от дневния ред/Punto del orden del día/Bod pořadu jednání (OJ)/Punkt på dagsordenen/Tagesordnungspunkt/ Päevakorra punkt/Σημείο της ημερήσιας διάταξης/Agenda item/Point OJ/Točka dnevnog reda/Punto all'ordine del giorno/Darba kārtības punkts/Darbotvarkės punktas/Napirendi pont/Punt Aġenda/Agendapunt/Punkt porządku dziennego/Ponto OD/Punct de pe ordinea de zi/Bod programu schôdze/Točka UL/Esityslistan kohta/Punkt på föredragningslistan)</w:t>
            </w:r>
          </w:p>
        </w:tc>
      </w:tr>
      <w:tr w:rsidR="008452E8" w:rsidRPr="00DA3D65">
        <w:trPr>
          <w:trHeight w:val="720"/>
        </w:trPr>
        <w:tc>
          <w:tcPr>
            <w:tcW w:w="7513" w:type="dxa"/>
          </w:tcPr>
          <w:p w:rsidR="008452E8" w:rsidRPr="00DA3D65" w:rsidRDefault="008452E8" w:rsidP="00AD4CEB">
            <w:pPr>
              <w:pStyle w:val="AttendancePVTable"/>
            </w:pPr>
          </w:p>
        </w:tc>
        <w:tc>
          <w:tcPr>
            <w:tcW w:w="1559" w:type="dxa"/>
          </w:tcPr>
          <w:p w:rsidR="008452E8" w:rsidRPr="00DA3D65" w:rsidRDefault="008452E8" w:rsidP="00AD4CEB">
            <w:pPr>
              <w:pStyle w:val="AttendancePVTable"/>
            </w:pPr>
          </w:p>
        </w:tc>
      </w:tr>
    </w:tbl>
    <w:p w:rsidR="008452E8" w:rsidRPr="00DA3D65" w:rsidRDefault="008452E8" w:rsidP="005D5A08">
      <w:pPr>
        <w:pStyle w:val="AttendancePV"/>
      </w:pPr>
    </w:p>
    <w:p w:rsidR="0083601E" w:rsidRPr="00DA3D65" w:rsidRDefault="0083601E" w:rsidP="005D5A08">
      <w:pPr>
        <w:pStyle w:val="AttendancePV"/>
      </w:pPr>
    </w:p>
    <w:p w:rsidR="0083601E" w:rsidRPr="00DA3D65" w:rsidRDefault="0083601E" w:rsidP="005D5A08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DA3D65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DA3D65" w:rsidRDefault="0083601E" w:rsidP="00AD4CEB">
            <w:pPr>
              <w:pStyle w:val="AttendancePVTable"/>
            </w:pPr>
            <w:r w:rsidRPr="00DA3D65"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DA3D65" w:rsidTr="00B15084">
        <w:trPr>
          <w:cantSplit/>
          <w:trHeight w:val="720"/>
        </w:trPr>
        <w:tc>
          <w:tcPr>
            <w:tcW w:w="9072" w:type="dxa"/>
          </w:tcPr>
          <w:p w:rsidR="0083601E" w:rsidRPr="00DA3D65" w:rsidRDefault="0083601E" w:rsidP="00AD4CEB">
            <w:pPr>
              <w:pStyle w:val="AttendancePVTable"/>
            </w:pPr>
          </w:p>
        </w:tc>
      </w:tr>
    </w:tbl>
    <w:p w:rsidR="008452E8" w:rsidRPr="00DA3D65" w:rsidRDefault="008452E8" w:rsidP="005D5A08">
      <w:pPr>
        <w:pStyle w:val="AttendancePV"/>
      </w:pPr>
    </w:p>
    <w:p w:rsidR="006065B8" w:rsidRPr="00DA3D65" w:rsidRDefault="006065B8">
      <w:pPr>
        <w:widowControl/>
        <w:rPr>
          <w:sz w:val="16"/>
        </w:rPr>
      </w:pPr>
      <w:r w:rsidRPr="00DA3D65">
        <w:br w:type="page"/>
      </w:r>
    </w:p>
    <w:p w:rsidR="00DB5CC6" w:rsidRPr="00DA3D65" w:rsidRDefault="00DB5CC6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DA3D65">
        <w:tc>
          <w:tcPr>
            <w:tcW w:w="9072" w:type="dxa"/>
            <w:shd w:val="pct10" w:color="000000" w:fill="FFFFFF"/>
          </w:tcPr>
          <w:p w:rsidR="008452E8" w:rsidRPr="00DA3D65" w:rsidRDefault="00CC6E1E" w:rsidP="00F51C97">
            <w:pPr>
              <w:pStyle w:val="AttendancePVTable"/>
            </w:pPr>
            <w:r w:rsidRPr="00DA3D65">
              <w:t>По покана на председателя/Por invitación del presidente/Na pozvání předsedy/Efter indbydelse fra formanden/Auf Einladung des Vorsitzenden/Esimehe kutsel/Με πρόσκληση του Προέδρου/At the invitation of the Chair/Sur l’invitation du président/ Na poziv predsjednika/Su invito del presidente/Pēc priekšsēdētāja uzaicinājuma/Pirmininkui pakvietus/Az elnök meghívására/ Fuq stedina taċ</w:t>
            </w:r>
            <w:r w:rsidRPr="00DA3D65">
              <w:noBreakHyphen/>
              <w:t>'Chairman'/Op uitnodiging van de voorzitter/Na zaproszenie Przewodniczącego/A convite do Presidente/La invitaţia preşedintelui/ Na pozvanie predsedu/Na povabilo predsednika/Puheenjohtajan kutsusta/På ordförandens inbjudan</w:t>
            </w:r>
          </w:p>
        </w:tc>
      </w:tr>
      <w:tr w:rsidR="008452E8" w:rsidRPr="00DA3D65">
        <w:trPr>
          <w:trHeight w:val="720"/>
        </w:trPr>
        <w:tc>
          <w:tcPr>
            <w:tcW w:w="9072" w:type="dxa"/>
          </w:tcPr>
          <w:p w:rsidR="008452E8" w:rsidRPr="00DA3D65" w:rsidRDefault="00896883" w:rsidP="00AD4CEB">
            <w:pPr>
              <w:pStyle w:val="AttendancePVTable"/>
            </w:pPr>
            <w:r w:rsidRPr="00DA3D65">
              <w:t>Věra Jourová (Vice President of the European Commission for Values and Transparency)</w:t>
            </w:r>
          </w:p>
        </w:tc>
      </w:tr>
    </w:tbl>
    <w:p w:rsidR="008452E8" w:rsidRPr="00DA3D65" w:rsidRDefault="008452E8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DA3D65">
        <w:tc>
          <w:tcPr>
            <w:tcW w:w="9072" w:type="dxa"/>
            <w:gridSpan w:val="2"/>
            <w:shd w:val="pct10" w:color="000000" w:fill="FFFFFF"/>
          </w:tcPr>
          <w:p w:rsidR="008452E8" w:rsidRPr="00DA3D65" w:rsidRDefault="00CC6E1E" w:rsidP="00AD4CEB">
            <w:pPr>
              <w:pStyle w:val="AttendancePVTable"/>
            </w:pPr>
            <w:r w:rsidRPr="00DA3D65"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8452E8" w:rsidRPr="00DA3D65">
        <w:trPr>
          <w:trHeight w:val="720"/>
        </w:trPr>
        <w:tc>
          <w:tcPr>
            <w:tcW w:w="9072" w:type="dxa"/>
            <w:gridSpan w:val="2"/>
          </w:tcPr>
          <w:p w:rsidR="008452E8" w:rsidRPr="00DA3D65" w:rsidRDefault="008452E8" w:rsidP="00AD4CEB">
            <w:pPr>
              <w:pStyle w:val="AttendancePVTable"/>
            </w:pPr>
          </w:p>
        </w:tc>
      </w:tr>
      <w:tr w:rsidR="008452E8" w:rsidRPr="00DA3D65">
        <w:tc>
          <w:tcPr>
            <w:tcW w:w="9072" w:type="dxa"/>
            <w:gridSpan w:val="2"/>
            <w:shd w:val="pct10" w:color="000000" w:fill="FFFFFF"/>
          </w:tcPr>
          <w:p w:rsidR="008452E8" w:rsidRPr="00DA3D65" w:rsidRDefault="00CC6E1E" w:rsidP="002E2B09">
            <w:pPr>
              <w:pStyle w:val="AttendancePVTable"/>
            </w:pPr>
            <w:r w:rsidRPr="00DA3D65">
              <w:t>Комисия/Comisión/Komise/Kommissionen/Kommission/Komisjon/Επιτροπή/Commission/Komisija/Commissione/Bizottság/ Kummissjoni/Commissie/Komisja/Comissão/Comisie/Komisia/Komissio/Kommissionen (*)</w:t>
            </w:r>
          </w:p>
        </w:tc>
      </w:tr>
      <w:tr w:rsidR="008452E8" w:rsidRPr="00DA3D65">
        <w:trPr>
          <w:trHeight w:val="720"/>
        </w:trPr>
        <w:tc>
          <w:tcPr>
            <w:tcW w:w="9072" w:type="dxa"/>
            <w:gridSpan w:val="2"/>
          </w:tcPr>
          <w:p w:rsidR="008452E8" w:rsidRPr="00DA3D65" w:rsidRDefault="008452E8" w:rsidP="00AD4CEB">
            <w:pPr>
              <w:pStyle w:val="AttendancePVTable"/>
            </w:pPr>
          </w:p>
        </w:tc>
      </w:tr>
      <w:tr w:rsidR="008452E8" w:rsidRPr="00DA3D65">
        <w:tc>
          <w:tcPr>
            <w:tcW w:w="9072" w:type="dxa"/>
            <w:gridSpan w:val="2"/>
            <w:shd w:val="pct10" w:color="000000" w:fill="FFFFFF"/>
          </w:tcPr>
          <w:p w:rsidR="008452E8" w:rsidRPr="00DA3D65" w:rsidRDefault="00F0068D" w:rsidP="00F0068D">
            <w:pPr>
              <w:pStyle w:val="AttendancePVTable"/>
            </w:pPr>
            <w:r w:rsidRPr="00DA3D65">
              <w:t>Други институции и органи/Otras instituciones y organismos/Ostatní orgány a instituce/Andre institutioner og organer/Andere Organe und Einrichtungen/Muud institutsioonid ja organid/Λοιπά θεσμικά όργανα και οργανισμοί/Other institutions and bodies/Autres institutions et organes/Druge institucije i tijela/Altre istituzioni e altri organi/Citas iestādes un struktūras/Kitos institucijos ir įstaigos/ Más intézmények és szervek/Istituzzjonijiet u korpi oħra/Andere instellingen en organen/Inne instytucje i organy/Outras instituições e outros órgãos/Alte instituții și organe/Iné inštitúcie a orgány/Muut toimielimet ja elimet/Andra institutioner och organ</w:t>
            </w:r>
          </w:p>
        </w:tc>
      </w:tr>
      <w:tr w:rsidR="008452E8" w:rsidRPr="00DA3D65">
        <w:trPr>
          <w:cantSplit/>
          <w:trHeight w:val="720"/>
        </w:trPr>
        <w:tc>
          <w:tcPr>
            <w:tcW w:w="1701" w:type="dxa"/>
          </w:tcPr>
          <w:p w:rsidR="008452E8" w:rsidRPr="00DA3D65" w:rsidRDefault="008452E8" w:rsidP="00AD4CEB">
            <w:pPr>
              <w:pStyle w:val="AttendancePVTable"/>
            </w:pPr>
          </w:p>
        </w:tc>
        <w:tc>
          <w:tcPr>
            <w:tcW w:w="7371" w:type="dxa"/>
          </w:tcPr>
          <w:p w:rsidR="008452E8" w:rsidRPr="00DA3D65" w:rsidRDefault="008452E8" w:rsidP="00AD4CEB">
            <w:pPr>
              <w:pStyle w:val="AttendancePVTable"/>
            </w:pPr>
          </w:p>
        </w:tc>
      </w:tr>
    </w:tbl>
    <w:p w:rsidR="008452E8" w:rsidRPr="00DA3D65" w:rsidRDefault="008452E8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DA3D65">
        <w:trPr>
          <w:cantSplit/>
        </w:trPr>
        <w:tc>
          <w:tcPr>
            <w:tcW w:w="9072" w:type="dxa"/>
            <w:shd w:val="pct10" w:color="000000" w:fill="FFFFFF"/>
          </w:tcPr>
          <w:p w:rsidR="008452E8" w:rsidRPr="00DA3D65" w:rsidRDefault="00007788" w:rsidP="00AD4CEB">
            <w:pPr>
              <w:pStyle w:val="AttendancePVTable"/>
            </w:pPr>
            <w:r w:rsidRPr="00DA3D65"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8452E8" w:rsidRPr="00DA3D65">
        <w:trPr>
          <w:cantSplit/>
          <w:trHeight w:val="1200"/>
        </w:trPr>
        <w:tc>
          <w:tcPr>
            <w:tcW w:w="9072" w:type="dxa"/>
          </w:tcPr>
          <w:p w:rsidR="008452E8" w:rsidRPr="00DA3D65" w:rsidRDefault="008452E8" w:rsidP="00AD4CEB">
            <w:pPr>
              <w:pStyle w:val="AttendancePVTable"/>
            </w:pPr>
          </w:p>
        </w:tc>
      </w:tr>
    </w:tbl>
    <w:p w:rsidR="0083601E" w:rsidRPr="00DA3D65" w:rsidRDefault="0083601E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DA3D65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DA3D65" w:rsidRDefault="00C634EF" w:rsidP="005F6C89">
            <w:pPr>
              <w:pStyle w:val="AttendancePVTable"/>
            </w:pPr>
            <w:r w:rsidRPr="00DA3D65"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 groupes politiques/Tajništva klubova zastupnika/Segreteria gruppi politici/Politisko grupu sekretariāts/Frakcijų sekretoriai/ Képviselőcsoportok titkársága/Segretarjat gruppi politiċi/Fractiesecretariaten/Sekretariat Grup Politycznych/Secretariado dos grupos políticos/Secretariate grupuri politice/Sekretariát politických skupín/Sekretariat političnih skupin/Poliittisten ryhmien sihteeristöt/ De politiska gruppernas sekretariat</w:t>
            </w:r>
          </w:p>
        </w:tc>
      </w:tr>
      <w:tr w:rsidR="008452E8" w:rsidRPr="00DA3D65">
        <w:trPr>
          <w:cantSplit/>
        </w:trPr>
        <w:tc>
          <w:tcPr>
            <w:tcW w:w="1701" w:type="dxa"/>
            <w:shd w:val="clear" w:color="auto" w:fill="FFFFFF"/>
          </w:tcPr>
          <w:p w:rsidR="008452E8" w:rsidRPr="00DA3D65" w:rsidRDefault="008452E8" w:rsidP="00A66B35">
            <w:pPr>
              <w:pStyle w:val="AttendancePVTable"/>
            </w:pPr>
            <w:r w:rsidRPr="00DA3D65">
              <w:t>PPE</w:t>
            </w:r>
          </w:p>
          <w:p w:rsidR="008452E8" w:rsidRPr="00DA3D65" w:rsidRDefault="00CE5AEB" w:rsidP="00A66B35">
            <w:pPr>
              <w:pStyle w:val="AttendancePVTable"/>
            </w:pPr>
            <w:r w:rsidRPr="00DA3D65">
              <w:t>S&amp;D</w:t>
            </w:r>
          </w:p>
          <w:p w:rsidR="00A5325A" w:rsidRPr="00DA3D65" w:rsidRDefault="00A5325A" w:rsidP="00A66B35">
            <w:pPr>
              <w:pStyle w:val="AttendancePVTable"/>
            </w:pPr>
            <w:r w:rsidRPr="00DA3D65">
              <w:t>Renew</w:t>
            </w:r>
          </w:p>
          <w:p w:rsidR="008452E8" w:rsidRPr="00DA3D65" w:rsidRDefault="006D6EB9" w:rsidP="00A66B35">
            <w:pPr>
              <w:pStyle w:val="AttendancePVTable"/>
            </w:pPr>
            <w:r w:rsidRPr="00DA3D65">
              <w:t>ID</w:t>
            </w:r>
          </w:p>
          <w:p w:rsidR="00A5325A" w:rsidRPr="00DA3D65" w:rsidRDefault="006D6EB9" w:rsidP="006D6EB9">
            <w:pPr>
              <w:pStyle w:val="AttendancePVTable"/>
            </w:pPr>
            <w:r w:rsidRPr="00DA3D65">
              <w:t>Verts/ALE</w:t>
            </w:r>
          </w:p>
          <w:p w:rsidR="00A5325A" w:rsidRPr="00DA3D65" w:rsidRDefault="00A5325A" w:rsidP="00A5325A">
            <w:pPr>
              <w:pStyle w:val="AttendancePVTable"/>
            </w:pPr>
            <w:r w:rsidRPr="00DA3D65">
              <w:t>ECR</w:t>
            </w:r>
          </w:p>
          <w:p w:rsidR="008452E8" w:rsidRPr="00DA3D65" w:rsidRDefault="00926DB0" w:rsidP="00A66B35">
            <w:pPr>
              <w:pStyle w:val="AttendancePVTable"/>
            </w:pPr>
            <w:r w:rsidRPr="00DA3D65">
              <w:t>GUE/NGL</w:t>
            </w:r>
          </w:p>
          <w:p w:rsidR="008452E8" w:rsidRPr="00DA3D65" w:rsidRDefault="008452E8" w:rsidP="00A66B35">
            <w:pPr>
              <w:pStyle w:val="AttendancePVTable"/>
            </w:pPr>
            <w:r w:rsidRPr="00DA3D65">
              <w:t>NI</w:t>
            </w:r>
          </w:p>
        </w:tc>
        <w:tc>
          <w:tcPr>
            <w:tcW w:w="7371" w:type="dxa"/>
            <w:shd w:val="clear" w:color="auto" w:fill="FFFFFF"/>
          </w:tcPr>
          <w:p w:rsidR="00896883" w:rsidRPr="00DA3D65" w:rsidRDefault="00896883" w:rsidP="00896883">
            <w:pPr>
              <w:pStyle w:val="AttendancePVTable"/>
              <w:rPr>
                <w:snapToGrid/>
              </w:rPr>
            </w:pPr>
            <w:r w:rsidRPr="00DA3D65">
              <w:t>Iris Bergmann</w:t>
            </w:r>
          </w:p>
          <w:p w:rsidR="00896883" w:rsidRPr="00DA3D65" w:rsidRDefault="00896883" w:rsidP="00896883">
            <w:pPr>
              <w:pStyle w:val="AttendancePVTable"/>
            </w:pPr>
            <w:r w:rsidRPr="00DA3D65">
              <w:t>Francesco Cerasani</w:t>
            </w:r>
          </w:p>
          <w:p w:rsidR="00896883" w:rsidRPr="00DA3D65" w:rsidRDefault="00896883" w:rsidP="00896883">
            <w:pPr>
              <w:pStyle w:val="AttendancePVTable"/>
            </w:pPr>
            <w:r w:rsidRPr="00DA3D65">
              <w:t>Sietse Wijnsma</w:t>
            </w:r>
          </w:p>
          <w:p w:rsidR="00896883" w:rsidRPr="00DA3D65" w:rsidRDefault="00896883" w:rsidP="00896883">
            <w:pPr>
              <w:pStyle w:val="AttendancePVTable"/>
            </w:pPr>
          </w:p>
          <w:p w:rsidR="00896883" w:rsidRPr="00DA3D65" w:rsidRDefault="00896883" w:rsidP="00896883">
            <w:pPr>
              <w:pStyle w:val="AttendancePVTable"/>
            </w:pPr>
            <w:r w:rsidRPr="00DA3D65">
              <w:t xml:space="preserve">Helena Argerich i Terradas </w:t>
            </w:r>
          </w:p>
          <w:p w:rsidR="00896883" w:rsidRPr="00DA3D65" w:rsidRDefault="00896883" w:rsidP="00896883">
            <w:pPr>
              <w:pStyle w:val="AttendancePVTable"/>
            </w:pPr>
            <w:r w:rsidRPr="00DA3D65">
              <w:t xml:space="preserve">Ralf Packet </w:t>
            </w:r>
          </w:p>
          <w:p w:rsidR="0006514D" w:rsidRPr="00DA3D65" w:rsidRDefault="00896883" w:rsidP="00896883">
            <w:pPr>
              <w:pStyle w:val="AttendancePVTable"/>
            </w:pPr>
            <w:r w:rsidRPr="00DA3D65">
              <w:t>Sophie Rauszer, Brian Carty</w:t>
            </w:r>
          </w:p>
        </w:tc>
      </w:tr>
    </w:tbl>
    <w:p w:rsidR="00DB5CC6" w:rsidRPr="00DA3D65" w:rsidRDefault="00DB5CC6" w:rsidP="005D5A08">
      <w:pPr>
        <w:pStyle w:val="AttendancePV"/>
      </w:pPr>
    </w:p>
    <w:p w:rsidR="0083601E" w:rsidRPr="00DA3D65" w:rsidRDefault="0083601E" w:rsidP="005D5A08">
      <w:pPr>
        <w:pStyle w:val="AttendancePV"/>
      </w:pPr>
    </w:p>
    <w:p w:rsidR="0083601E" w:rsidRPr="00DA3D65" w:rsidRDefault="0083601E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DA3D65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DA3D65" w:rsidRDefault="00DC629C" w:rsidP="00AD4CEB">
            <w:pPr>
              <w:pStyle w:val="AttendancePVTable"/>
            </w:pPr>
            <w:r w:rsidRPr="00DA3D65">
              <w:br w:type="page"/>
              <w:t>Кабинет на председателя/Gabinete del Presidente/Kancelář předsedy/Formandens Kabinet/Kabinett des Präsidenten/Presidendi kantselei/Γραφείο του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8452E8" w:rsidRPr="00DA3D65" w:rsidTr="00411CD3">
        <w:trPr>
          <w:cantSplit/>
          <w:trHeight w:val="237"/>
        </w:trPr>
        <w:tc>
          <w:tcPr>
            <w:tcW w:w="9072" w:type="dxa"/>
            <w:gridSpan w:val="2"/>
            <w:shd w:val="clear" w:color="auto" w:fill="FFFFFF"/>
          </w:tcPr>
          <w:p w:rsidR="008452E8" w:rsidRPr="00DA3D65" w:rsidRDefault="008452E8" w:rsidP="00411CD3">
            <w:pPr>
              <w:pStyle w:val="AttendancePVTable"/>
              <w:spacing w:before="0" w:after="0"/>
            </w:pPr>
          </w:p>
        </w:tc>
      </w:tr>
      <w:tr w:rsidR="008452E8" w:rsidRPr="00DA3D65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DA3D65" w:rsidRDefault="00C634EF" w:rsidP="00AD4CEB">
            <w:pPr>
              <w:pStyle w:val="AttendancePVTable"/>
            </w:pPr>
            <w:r w:rsidRPr="00DA3D65">
              <w:t>Кабинет на генералния секретар/Gabinete del Secretario General/Kancelář generálního tajemníka/Generalsekretærens Kabinet/ Kabinett des Generalsekretärs/Peasekretäri büroo/Γραφείο του 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DA3D65" w:rsidTr="004B0762">
        <w:trPr>
          <w:cantSplit/>
          <w:trHeight w:val="202"/>
        </w:trPr>
        <w:tc>
          <w:tcPr>
            <w:tcW w:w="9072" w:type="dxa"/>
            <w:gridSpan w:val="2"/>
            <w:shd w:val="clear" w:color="auto" w:fill="FFFFFF"/>
          </w:tcPr>
          <w:p w:rsidR="008452E8" w:rsidRPr="00DA3D65" w:rsidRDefault="00896883" w:rsidP="004B0762">
            <w:pPr>
              <w:pStyle w:val="AttendancePVTable"/>
              <w:spacing w:before="0" w:after="0"/>
            </w:pPr>
            <w:r w:rsidRPr="00DA3D65">
              <w:t>Richard Corbett</w:t>
            </w:r>
          </w:p>
        </w:tc>
      </w:tr>
      <w:tr w:rsidR="008452E8" w:rsidRPr="00DA3D65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DA3D65" w:rsidRDefault="00C634EF" w:rsidP="00AD4CEB">
            <w:pPr>
              <w:pStyle w:val="AttendancePVTable"/>
            </w:pPr>
            <w:r w:rsidRPr="00DA3D65"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DA3D65">
              <w:noBreakHyphen/>
              <w:t>generaal/Dyrekcja Generalna/Direcção-Geral/Direcţii Generale/Generálne riaditeľstvo/Generalni direktorat/Pääosasto/Generaldirektorat</w:t>
            </w:r>
          </w:p>
        </w:tc>
      </w:tr>
      <w:tr w:rsidR="008452E8" w:rsidRPr="00DA3D65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DA3D65" w:rsidRDefault="008452E8" w:rsidP="00A66B35">
            <w:pPr>
              <w:pStyle w:val="AttendancePVTable"/>
            </w:pPr>
            <w:r w:rsidRPr="00DA3D65">
              <w:t>DG PRES</w:t>
            </w:r>
          </w:p>
          <w:p w:rsidR="008452E8" w:rsidRPr="00DA3D65" w:rsidRDefault="008452E8" w:rsidP="00A66B35">
            <w:pPr>
              <w:pStyle w:val="AttendancePVTable"/>
            </w:pPr>
            <w:r w:rsidRPr="00DA3D65">
              <w:t>DG IPOL</w:t>
            </w:r>
          </w:p>
          <w:p w:rsidR="008452E8" w:rsidRPr="00DA3D65" w:rsidRDefault="008452E8" w:rsidP="00A66B35">
            <w:pPr>
              <w:pStyle w:val="AttendancePVTable"/>
            </w:pPr>
            <w:r w:rsidRPr="00DA3D65">
              <w:t>DG EXPO</w:t>
            </w:r>
          </w:p>
          <w:p w:rsidR="00CA53ED" w:rsidRPr="00DA3D65" w:rsidRDefault="00CA53ED" w:rsidP="00A66B35">
            <w:pPr>
              <w:pStyle w:val="AttendancePVTable"/>
            </w:pPr>
            <w:r w:rsidRPr="00DA3D65">
              <w:t>DG EPRS</w:t>
            </w:r>
          </w:p>
          <w:p w:rsidR="008452E8" w:rsidRPr="00DA3D65" w:rsidRDefault="008452E8" w:rsidP="00A66B35">
            <w:pPr>
              <w:pStyle w:val="AttendancePVTable"/>
            </w:pPr>
            <w:r w:rsidRPr="00DA3D65">
              <w:t>DG COMM</w:t>
            </w:r>
          </w:p>
          <w:p w:rsidR="008452E8" w:rsidRPr="00DA3D65" w:rsidRDefault="008452E8" w:rsidP="00A66B35">
            <w:pPr>
              <w:pStyle w:val="AttendancePVTable"/>
            </w:pPr>
            <w:r w:rsidRPr="00DA3D65">
              <w:t>DG PERS</w:t>
            </w:r>
          </w:p>
          <w:p w:rsidR="008452E8" w:rsidRPr="00DA3D65" w:rsidRDefault="007C674A" w:rsidP="00A66B35">
            <w:pPr>
              <w:pStyle w:val="AttendancePVTable"/>
            </w:pPr>
            <w:r w:rsidRPr="00DA3D65">
              <w:t>DG INLO</w:t>
            </w:r>
          </w:p>
          <w:p w:rsidR="008452E8" w:rsidRPr="00DA3D65" w:rsidRDefault="008452E8" w:rsidP="00A66B35">
            <w:pPr>
              <w:pStyle w:val="AttendancePVTable"/>
            </w:pPr>
            <w:r w:rsidRPr="00DA3D65">
              <w:t>DG TRAD</w:t>
            </w:r>
          </w:p>
          <w:p w:rsidR="007C674A" w:rsidRPr="00DA3D65" w:rsidRDefault="007C674A" w:rsidP="00A66B35">
            <w:pPr>
              <w:pStyle w:val="AttendancePVTable"/>
            </w:pPr>
            <w:r w:rsidRPr="00DA3D65">
              <w:t>DG LINC</w:t>
            </w:r>
          </w:p>
          <w:p w:rsidR="008452E8" w:rsidRPr="00DA3D65" w:rsidRDefault="008452E8" w:rsidP="00A66B35">
            <w:pPr>
              <w:pStyle w:val="AttendancePVTable"/>
            </w:pPr>
            <w:r w:rsidRPr="00DA3D65">
              <w:t>DG FINS</w:t>
            </w:r>
          </w:p>
          <w:p w:rsidR="00CA53ED" w:rsidRPr="00DA3D65" w:rsidRDefault="00CA53ED" w:rsidP="00A66B35">
            <w:pPr>
              <w:pStyle w:val="AttendancePVTable"/>
            </w:pPr>
            <w:r w:rsidRPr="00DA3D65">
              <w:t>DG ITEC</w:t>
            </w:r>
          </w:p>
          <w:p w:rsidR="007C674A" w:rsidRPr="00DA3D65" w:rsidRDefault="00CA53ED" w:rsidP="00A66B35">
            <w:pPr>
              <w:pStyle w:val="AttendancePVTable"/>
            </w:pPr>
            <w:r w:rsidRPr="00DA3D65">
              <w:t>DG SAFE</w:t>
            </w:r>
          </w:p>
        </w:tc>
        <w:tc>
          <w:tcPr>
            <w:tcW w:w="7371" w:type="dxa"/>
            <w:shd w:val="clear" w:color="auto" w:fill="FFFFFF"/>
          </w:tcPr>
          <w:p w:rsidR="00CA53ED" w:rsidRPr="00DA3D65" w:rsidRDefault="00CA53ED" w:rsidP="00AD4CEB">
            <w:pPr>
              <w:pStyle w:val="AttendancePVTable"/>
            </w:pPr>
          </w:p>
        </w:tc>
      </w:tr>
    </w:tbl>
    <w:p w:rsidR="0083601E" w:rsidRPr="00DA3D65" w:rsidRDefault="0083601E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DA3D65">
        <w:trPr>
          <w:cantSplit/>
        </w:trPr>
        <w:tc>
          <w:tcPr>
            <w:tcW w:w="9072" w:type="dxa"/>
            <w:shd w:val="pct10" w:color="000000" w:fill="FFFFFF"/>
          </w:tcPr>
          <w:p w:rsidR="00A13D65" w:rsidRPr="00DA3D65" w:rsidRDefault="00A13D65" w:rsidP="00AD4CEB">
            <w:pPr>
              <w:pStyle w:val="AttendancePVTable"/>
            </w:pPr>
            <w:r w:rsidRPr="00DA3D65"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A13D65" w:rsidRPr="00DA3D65" w:rsidTr="00411CD3">
        <w:trPr>
          <w:cantSplit/>
          <w:trHeight w:val="58"/>
        </w:trPr>
        <w:tc>
          <w:tcPr>
            <w:tcW w:w="9072" w:type="dxa"/>
            <w:shd w:val="clear" w:color="auto" w:fill="FFFFFF"/>
          </w:tcPr>
          <w:p w:rsidR="00A13D65" w:rsidRPr="00DA3D65" w:rsidRDefault="00A13D65" w:rsidP="00411CD3">
            <w:pPr>
              <w:pStyle w:val="AttendancePVTable"/>
              <w:spacing w:before="0" w:after="0"/>
            </w:pPr>
          </w:p>
        </w:tc>
      </w:tr>
      <w:tr w:rsidR="00A13D65" w:rsidRPr="00DA3D65">
        <w:trPr>
          <w:cantSplit/>
        </w:trPr>
        <w:tc>
          <w:tcPr>
            <w:tcW w:w="9072" w:type="dxa"/>
            <w:shd w:val="pct10" w:color="000000" w:fill="FFFFFF"/>
          </w:tcPr>
          <w:p w:rsidR="00A13D65" w:rsidRPr="00DA3D65" w:rsidRDefault="00A13D65" w:rsidP="00E2213D">
            <w:pPr>
              <w:pStyle w:val="AttendancePVTable"/>
            </w:pPr>
            <w:r w:rsidRPr="00DA3D65">
              <w:t>Секретариат на комисията/Secretaría de la comisión/Sekretariát výboru/Udvalgssekretariatet/Ausschusssekretariat/Komisjoni sekretariaat/Γραμματεία της επιτροπής/Committee secretariat/Secrétariat de la commission/Tajništvo odbora/Segreteria della commissione/Komitejas sekretariāts/Komiteto sekretoriatas/A bizottság titkársága/Segretarjat tal-kumitat/Commissiesecretariaat/ Sekretariat komisji/Secretariado da comissão/Secretariat comisie/Sekretariat odbora/Valiokunnan sihteeristö/Utskottssekretariatet</w:t>
            </w:r>
          </w:p>
        </w:tc>
      </w:tr>
      <w:tr w:rsidR="00A13D65" w:rsidRPr="00DA3D65" w:rsidTr="00411CD3">
        <w:trPr>
          <w:cantSplit/>
          <w:trHeight w:val="306"/>
        </w:trPr>
        <w:tc>
          <w:tcPr>
            <w:tcW w:w="9072" w:type="dxa"/>
            <w:shd w:val="clear" w:color="auto" w:fill="FFFFFF"/>
          </w:tcPr>
          <w:p w:rsidR="00A13D65" w:rsidRPr="00DA3D65" w:rsidRDefault="00896883" w:rsidP="00411CD3">
            <w:pPr>
              <w:pStyle w:val="AttendancePVTable"/>
              <w:spacing w:before="0" w:after="0"/>
            </w:pPr>
            <w:r w:rsidRPr="00DA3D65">
              <w:t>José Luís Pacheco, François Némoz-Hervens, Paolo Meucci, Annemieke Beugelink, Carla Carvalho, Petr Novak, Ewelina Błaszczyk-Adamowicz</w:t>
            </w:r>
          </w:p>
        </w:tc>
      </w:tr>
      <w:tr w:rsidR="00A13D65" w:rsidRPr="00DA3D65">
        <w:trPr>
          <w:cantSplit/>
        </w:trPr>
        <w:tc>
          <w:tcPr>
            <w:tcW w:w="9072" w:type="dxa"/>
            <w:shd w:val="pct10" w:color="000000" w:fill="FFFFFF"/>
          </w:tcPr>
          <w:p w:rsidR="00A13D65" w:rsidRPr="00DA3D65" w:rsidRDefault="00A13D65" w:rsidP="00AD4CEB">
            <w:pPr>
              <w:pStyle w:val="AttendancePVTable"/>
            </w:pPr>
            <w:r w:rsidRPr="00DA3D65"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DA3D65" w:rsidTr="00411CD3">
        <w:trPr>
          <w:cantSplit/>
          <w:trHeight w:val="307"/>
        </w:trPr>
        <w:tc>
          <w:tcPr>
            <w:tcW w:w="9072" w:type="dxa"/>
            <w:shd w:val="clear" w:color="auto" w:fill="FFFFFF"/>
          </w:tcPr>
          <w:p w:rsidR="00A13D65" w:rsidRPr="00DA3D65" w:rsidRDefault="00896883" w:rsidP="00411CD3">
            <w:pPr>
              <w:pStyle w:val="AttendancePVTable"/>
              <w:spacing w:before="0" w:after="0"/>
            </w:pPr>
            <w:r w:rsidRPr="00DA3D65">
              <w:t>Olga Arriaga e Cunha</w:t>
            </w:r>
          </w:p>
        </w:tc>
      </w:tr>
    </w:tbl>
    <w:p w:rsidR="008452E8" w:rsidRPr="00DA3D65" w:rsidRDefault="008452E8" w:rsidP="005D5A08">
      <w:pPr>
        <w:pStyle w:val="AttendancePV"/>
      </w:pPr>
    </w:p>
    <w:p w:rsidR="00C634EF" w:rsidRPr="00DA3D65" w:rsidRDefault="00C634EF" w:rsidP="00AD4CEB">
      <w:pPr>
        <w:pStyle w:val="AttendancePVFootnote"/>
      </w:pPr>
      <w:r w:rsidRPr="00DA3D65">
        <w:t xml:space="preserve">* </w:t>
      </w:r>
      <w:r w:rsidRPr="00DA3D65">
        <w:tab/>
        <w:t>(P)</w:t>
      </w:r>
      <w:r w:rsidRPr="00DA3D65">
        <w:tab/>
        <w:t>=</w:t>
      </w:r>
      <w:r w:rsidRPr="00DA3D65">
        <w:tab/>
        <w:t>Председател/Presidente/Předseda/Formand/Vorsitzender/Esimees/Πρόεδρος/Chair/Président/Predsjednik/Priekšsēdētājs/ Pirmininkas/Elnök/'Chairman'/Voorzitter/Przewodniczący/Preşedinte/Predseda/Predsednik/Puheenjohtaja/Ordförande</w:t>
      </w:r>
    </w:p>
    <w:p w:rsidR="00C634EF" w:rsidRPr="00DA3D65" w:rsidRDefault="00C634EF" w:rsidP="00AD4CEB">
      <w:pPr>
        <w:pStyle w:val="AttendancePVFootnote"/>
      </w:pPr>
      <w:r w:rsidRPr="00DA3D65">
        <w:tab/>
        <w:t>(VP) =</w:t>
      </w:r>
      <w:r w:rsidRPr="00DA3D65">
        <w:tab/>
        <w:t>Заместник-председател/Vicepresidente/Místopředseda/Næstformand/Stellvertretender Vorsitzender/Aseesimees/Αντιπρόεδρος/ Vice</w:t>
      </w:r>
      <w:r w:rsidRPr="00DA3D65">
        <w:noBreakHyphen/>
        <w:t>Chair/Potpredsjednik/Vice</w:t>
      </w:r>
      <w:r w:rsidRPr="00DA3D65">
        <w:noBreakHyphen/>
        <w:t>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C634EF" w:rsidRPr="00DA3D65" w:rsidRDefault="00C634EF" w:rsidP="00AD4CEB">
      <w:pPr>
        <w:pStyle w:val="AttendancePVFootnote"/>
      </w:pPr>
      <w:r w:rsidRPr="00DA3D65">
        <w:tab/>
        <w:t>(M)</w:t>
      </w:r>
      <w:r w:rsidRPr="00DA3D65">
        <w:tab/>
        <w:t>=</w:t>
      </w:r>
      <w:r w:rsidRPr="00DA3D65">
        <w:tab/>
        <w:t>Член/Miembro/Člen/Medlem./Mitglied/Parlamendiliige/Βουλευτής/Member/Membre/Član/Membro/Deputāts/Narys/Képviselő/ Membru/Lid/Członek/Membro/Membru/Člen/Poslanec/Jäsen/Ledamot</w:t>
      </w:r>
    </w:p>
    <w:p w:rsidR="0022027F" w:rsidRPr="00DA3D65" w:rsidRDefault="00C634EF" w:rsidP="00411CD3">
      <w:pPr>
        <w:pStyle w:val="AttendancePVFootnote"/>
      </w:pPr>
      <w:r w:rsidRPr="00DA3D65">
        <w:tab/>
        <w:t>(F)</w:t>
      </w:r>
      <w:r w:rsidRPr="00DA3D65">
        <w:tab/>
        <w:t>=</w:t>
      </w:r>
      <w:r w:rsidRPr="00DA3D65"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  <w:bookmarkStart w:id="1" w:name="_GoBack"/>
      <w:bookmarkEnd w:id="1"/>
    </w:p>
    <w:sectPr w:rsidR="0022027F" w:rsidRPr="00DA3D65" w:rsidSect="001E4EBD">
      <w:footnotePr>
        <w:numRestart w:val="eachSect"/>
      </w:footnotePr>
      <w:pgSz w:w="11907" w:h="16840" w:code="9"/>
      <w:pgMar w:top="1134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8B" w:rsidRPr="0086074A" w:rsidRDefault="0005488B">
      <w:r w:rsidRPr="0086074A">
        <w:separator/>
      </w:r>
    </w:p>
    <w:p w:rsidR="0005488B" w:rsidRPr="0086074A" w:rsidRDefault="0005488B"/>
  </w:endnote>
  <w:endnote w:type="continuationSeparator" w:id="0">
    <w:p w:rsidR="0005488B" w:rsidRPr="0086074A" w:rsidRDefault="0005488B">
      <w:r w:rsidRPr="0086074A">
        <w:continuationSeparator/>
      </w:r>
    </w:p>
    <w:p w:rsidR="0005488B" w:rsidRPr="0086074A" w:rsidRDefault="00054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4A" w:rsidRPr="0086074A" w:rsidRDefault="0086074A" w:rsidP="0086074A">
    <w:pPr>
      <w:pStyle w:val="EPFooter"/>
    </w:pPr>
    <w:r w:rsidRPr="0086074A">
      <w:t>PE</w:t>
    </w:r>
    <w:r w:rsidRPr="0086074A">
      <w:rPr>
        <w:rStyle w:val="HideTWBExt"/>
        <w:noProof w:val="0"/>
      </w:rPr>
      <w:t>&lt;NoPE&gt;</w:t>
    </w:r>
    <w:r w:rsidRPr="0086074A">
      <w:t>654.108</w:t>
    </w:r>
    <w:r w:rsidRPr="0086074A">
      <w:rPr>
        <w:rStyle w:val="HideTWBExt"/>
        <w:noProof w:val="0"/>
      </w:rPr>
      <w:t>&lt;/NoPE&gt;&lt;Version&gt;</w:t>
    </w:r>
    <w:r w:rsidRPr="0086074A">
      <w:t>v01-00</w:t>
    </w:r>
    <w:r w:rsidRPr="0086074A">
      <w:rPr>
        <w:rStyle w:val="HideTWBExt"/>
        <w:noProof w:val="0"/>
      </w:rPr>
      <w:t>&lt;/Version&gt;</w:t>
    </w:r>
    <w:r w:rsidRPr="0086074A">
      <w:tab/>
    </w:r>
    <w:r w:rsidRPr="0086074A">
      <w:fldChar w:fldCharType="begin"/>
    </w:r>
    <w:r w:rsidRPr="0086074A">
      <w:instrText xml:space="preserve"> PAGE  \* MERGEFORMAT </w:instrText>
    </w:r>
    <w:r w:rsidRPr="0086074A">
      <w:fldChar w:fldCharType="separate"/>
    </w:r>
    <w:r w:rsidR="00DA3D65">
      <w:rPr>
        <w:noProof/>
      </w:rPr>
      <w:t>4</w:t>
    </w:r>
    <w:r w:rsidRPr="0086074A">
      <w:fldChar w:fldCharType="end"/>
    </w:r>
    <w:r w:rsidRPr="0086074A">
      <w:t>/</w:t>
    </w:r>
    <w:fldSimple w:instr=" NUMPAGES  \* MERGEFORMAT ">
      <w:r w:rsidR="00DA3D65">
        <w:rPr>
          <w:noProof/>
        </w:rPr>
        <w:t>5</w:t>
      </w:r>
    </w:fldSimple>
    <w:r w:rsidRPr="0086074A">
      <w:tab/>
    </w:r>
    <w:r w:rsidRPr="0086074A">
      <w:rPr>
        <w:rStyle w:val="HideTWBExt"/>
        <w:noProof w:val="0"/>
      </w:rPr>
      <w:t>&lt;PathFdR&gt;</w:t>
    </w:r>
    <w:r w:rsidRPr="0086074A">
      <w:t>PV\1209653PT.docx</w:t>
    </w:r>
    <w:r w:rsidRPr="0086074A">
      <w:rPr>
        <w:rStyle w:val="HideTWBExt"/>
        <w:noProof w:val="0"/>
      </w:rPr>
      <w:t>&lt;/PathFdR&gt;</w:t>
    </w:r>
  </w:p>
  <w:p w:rsidR="00A13D65" w:rsidRPr="0086074A" w:rsidRDefault="0086074A" w:rsidP="0086074A">
    <w:pPr>
      <w:pStyle w:val="EPFooter2"/>
    </w:pPr>
    <w:r w:rsidRPr="0086074A">
      <w:t>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4A" w:rsidRPr="0086074A" w:rsidRDefault="0086074A" w:rsidP="0086074A">
    <w:pPr>
      <w:pStyle w:val="EPFooter"/>
    </w:pPr>
    <w:r w:rsidRPr="0086074A">
      <w:rPr>
        <w:rStyle w:val="HideTWBExt"/>
        <w:noProof w:val="0"/>
      </w:rPr>
      <w:t>&lt;PathFdR&gt;</w:t>
    </w:r>
    <w:r w:rsidRPr="0086074A">
      <w:t>PV\1209653PT.docx</w:t>
    </w:r>
    <w:r w:rsidRPr="0086074A">
      <w:rPr>
        <w:rStyle w:val="HideTWBExt"/>
        <w:noProof w:val="0"/>
      </w:rPr>
      <w:t>&lt;/PathFdR&gt;</w:t>
    </w:r>
    <w:r w:rsidRPr="0086074A">
      <w:tab/>
    </w:r>
    <w:r w:rsidRPr="0086074A">
      <w:fldChar w:fldCharType="begin"/>
    </w:r>
    <w:r w:rsidRPr="0086074A">
      <w:instrText xml:space="preserve"> PAGE  \* MERGEFORMAT </w:instrText>
    </w:r>
    <w:r w:rsidRPr="0086074A">
      <w:fldChar w:fldCharType="separate"/>
    </w:r>
    <w:r w:rsidR="00DA3D65">
      <w:rPr>
        <w:noProof/>
      </w:rPr>
      <w:t>5</w:t>
    </w:r>
    <w:r w:rsidRPr="0086074A">
      <w:fldChar w:fldCharType="end"/>
    </w:r>
    <w:r w:rsidRPr="0086074A">
      <w:t>/</w:t>
    </w:r>
    <w:fldSimple w:instr=" NUMPAGES  \* MERGEFORMAT ">
      <w:r w:rsidR="00DA3D65">
        <w:rPr>
          <w:noProof/>
        </w:rPr>
        <w:t>5</w:t>
      </w:r>
    </w:fldSimple>
    <w:r w:rsidRPr="0086074A">
      <w:tab/>
      <w:t>PE</w:t>
    </w:r>
    <w:r w:rsidRPr="0086074A">
      <w:rPr>
        <w:rStyle w:val="HideTWBExt"/>
        <w:noProof w:val="0"/>
      </w:rPr>
      <w:t>&lt;NoPE&gt;</w:t>
    </w:r>
    <w:r w:rsidRPr="0086074A">
      <w:t>654.108</w:t>
    </w:r>
    <w:r w:rsidRPr="0086074A">
      <w:rPr>
        <w:rStyle w:val="HideTWBExt"/>
        <w:noProof w:val="0"/>
      </w:rPr>
      <w:t>&lt;/NoPE&gt;&lt;Version&gt;</w:t>
    </w:r>
    <w:r w:rsidRPr="0086074A">
      <w:t>v01-00</w:t>
    </w:r>
    <w:r w:rsidRPr="0086074A">
      <w:rPr>
        <w:rStyle w:val="HideTWBExt"/>
        <w:noProof w:val="0"/>
      </w:rPr>
      <w:t>&lt;/Version&gt;</w:t>
    </w:r>
  </w:p>
  <w:p w:rsidR="00A13D65" w:rsidRPr="0086074A" w:rsidRDefault="0086074A" w:rsidP="0086074A">
    <w:pPr>
      <w:pStyle w:val="EPFooter2"/>
    </w:pPr>
    <w:r w:rsidRPr="0086074A">
      <w:tab/>
    </w:r>
    <w:r w:rsidRPr="0086074A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4A" w:rsidRPr="0086074A" w:rsidRDefault="0086074A" w:rsidP="0086074A">
    <w:pPr>
      <w:pStyle w:val="EPFooter"/>
    </w:pPr>
    <w:r w:rsidRPr="0086074A">
      <w:rPr>
        <w:rStyle w:val="HideTWBExt"/>
        <w:noProof w:val="0"/>
      </w:rPr>
      <w:t>&lt;PathFdR&gt;</w:t>
    </w:r>
    <w:r w:rsidRPr="0086074A">
      <w:t>PV\1209653PT.docx</w:t>
    </w:r>
    <w:r w:rsidRPr="0086074A">
      <w:rPr>
        <w:rStyle w:val="HideTWBExt"/>
        <w:noProof w:val="0"/>
      </w:rPr>
      <w:t>&lt;/PathFdR&gt;</w:t>
    </w:r>
    <w:r w:rsidRPr="0086074A">
      <w:tab/>
    </w:r>
    <w:r w:rsidRPr="0086074A">
      <w:tab/>
      <w:t>PE</w:t>
    </w:r>
    <w:r w:rsidRPr="0086074A">
      <w:rPr>
        <w:rStyle w:val="HideTWBExt"/>
        <w:noProof w:val="0"/>
      </w:rPr>
      <w:t>&lt;NoPE&gt;</w:t>
    </w:r>
    <w:r w:rsidRPr="0086074A">
      <w:t>654.108</w:t>
    </w:r>
    <w:r w:rsidRPr="0086074A">
      <w:rPr>
        <w:rStyle w:val="HideTWBExt"/>
        <w:noProof w:val="0"/>
      </w:rPr>
      <w:t>&lt;/NoPE&gt;&lt;Version&gt;</w:t>
    </w:r>
    <w:r w:rsidRPr="0086074A">
      <w:t>v01-00</w:t>
    </w:r>
    <w:r w:rsidRPr="0086074A">
      <w:rPr>
        <w:rStyle w:val="HideTWBExt"/>
        <w:noProof w:val="0"/>
      </w:rPr>
      <w:t>&lt;/Version&gt;</w:t>
    </w:r>
  </w:p>
  <w:p w:rsidR="00A13D65" w:rsidRPr="0086074A" w:rsidRDefault="0086074A" w:rsidP="0086074A">
    <w:pPr>
      <w:pStyle w:val="EPFooter2"/>
    </w:pPr>
    <w:r w:rsidRPr="0086074A">
      <w:t>PT</w:t>
    </w:r>
    <w:r w:rsidRPr="0086074A">
      <w:tab/>
    </w:r>
    <w:r w:rsidRPr="0086074A">
      <w:rPr>
        <w:b w:val="0"/>
        <w:i/>
        <w:color w:val="C0C0C0"/>
        <w:sz w:val="22"/>
      </w:rPr>
      <w:t>Unida na diversidade</w:t>
    </w:r>
    <w:r w:rsidRPr="0086074A"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8B" w:rsidRPr="0086074A" w:rsidRDefault="0005488B">
      <w:r w:rsidRPr="0086074A">
        <w:separator/>
      </w:r>
    </w:p>
    <w:p w:rsidR="0005488B" w:rsidRPr="0086074A" w:rsidRDefault="0005488B"/>
  </w:footnote>
  <w:footnote w:type="continuationSeparator" w:id="0">
    <w:p w:rsidR="0005488B" w:rsidRPr="0086074A" w:rsidRDefault="0005488B">
      <w:r w:rsidRPr="0086074A">
        <w:continuationSeparator/>
      </w:r>
    </w:p>
    <w:p w:rsidR="0005488B" w:rsidRPr="0086074A" w:rsidRDefault="000548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65" w:rsidRDefault="00DA3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65" w:rsidRDefault="00DA3D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65" w:rsidRDefault="00DA3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E5D000"/>
    <w:multiLevelType w:val="multilevel"/>
    <w:tmpl w:val="54D5D13A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ABE96E9"/>
    <w:multiLevelType w:val="multilevel"/>
    <w:tmpl w:val="678B34C0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2"/>
  </w:num>
  <w:num w:numId="25">
    <w:abstractNumId w:val="2"/>
  </w:num>
  <w:num w:numId="26">
    <w:abstractNumId w:val="5"/>
  </w:num>
  <w:num w:numId="27">
    <w:abstractNumId w:val="4"/>
  </w:num>
  <w:num w:numId="28">
    <w:abstractNumId w:val="11"/>
  </w:num>
  <w:num w:numId="29">
    <w:abstractNumId w:val="0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3"/>
  </w:num>
  <w:num w:numId="35">
    <w:abstractNumId w:val="10"/>
  </w:num>
  <w:num w:numId="36">
    <w:abstractNumId w:val="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AFCO"/>
    <w:docVar w:name="LastEditedSection" w:val=" 1"/>
    <w:docVar w:name="MEETMNU" w:val=" 1"/>
    <w:docVar w:name="STOREDT1" w:val="07/07/2020"/>
    <w:docVar w:name="strDocTypeID" w:val="PVx"/>
    <w:docVar w:name="strSubDir" w:val="1209"/>
    <w:docVar w:name="TXTLANGUE" w:val="EN"/>
    <w:docVar w:name="TXTLANGUEMIN" w:val="en"/>
    <w:docVar w:name="TXTNRPE" w:val="654.108"/>
    <w:docVar w:name="TXTPEorAP" w:val="PE"/>
    <w:docVar w:name="TXTROUTE" w:val="PV\1209653EN.docx"/>
    <w:docVar w:name="TXTVERSION" w:val="01-00"/>
  </w:docVars>
  <w:rsids>
    <w:rsidRoot w:val="0005488B"/>
    <w:rsid w:val="00007788"/>
    <w:rsid w:val="00021AD6"/>
    <w:rsid w:val="000265BD"/>
    <w:rsid w:val="00041A79"/>
    <w:rsid w:val="000533F1"/>
    <w:rsid w:val="0005488B"/>
    <w:rsid w:val="000637F3"/>
    <w:rsid w:val="0006514D"/>
    <w:rsid w:val="00092111"/>
    <w:rsid w:val="0009235A"/>
    <w:rsid w:val="000952B6"/>
    <w:rsid w:val="000A769E"/>
    <w:rsid w:val="000B1C1A"/>
    <w:rsid w:val="000B727D"/>
    <w:rsid w:val="000C46ED"/>
    <w:rsid w:val="000D4F53"/>
    <w:rsid w:val="000D5FD7"/>
    <w:rsid w:val="000E082D"/>
    <w:rsid w:val="000F0B40"/>
    <w:rsid w:val="000F6376"/>
    <w:rsid w:val="0011399B"/>
    <w:rsid w:val="00114A86"/>
    <w:rsid w:val="001173AC"/>
    <w:rsid w:val="00143113"/>
    <w:rsid w:val="00155614"/>
    <w:rsid w:val="00164E56"/>
    <w:rsid w:val="00176DCC"/>
    <w:rsid w:val="001813D5"/>
    <w:rsid w:val="001857BA"/>
    <w:rsid w:val="00190F58"/>
    <w:rsid w:val="00194506"/>
    <w:rsid w:val="0019636C"/>
    <w:rsid w:val="001C4040"/>
    <w:rsid w:val="001D14AA"/>
    <w:rsid w:val="001E20EC"/>
    <w:rsid w:val="001E4EBD"/>
    <w:rsid w:val="0020777E"/>
    <w:rsid w:val="0022027F"/>
    <w:rsid w:val="00225BAF"/>
    <w:rsid w:val="00227176"/>
    <w:rsid w:val="0022750E"/>
    <w:rsid w:val="00236A0D"/>
    <w:rsid w:val="00250F5D"/>
    <w:rsid w:val="00251D85"/>
    <w:rsid w:val="0026136B"/>
    <w:rsid w:val="002659A2"/>
    <w:rsid w:val="00273DB4"/>
    <w:rsid w:val="002753C7"/>
    <w:rsid w:val="002870DD"/>
    <w:rsid w:val="002A27BB"/>
    <w:rsid w:val="002D74B5"/>
    <w:rsid w:val="002D7816"/>
    <w:rsid w:val="002E083E"/>
    <w:rsid w:val="002E2B09"/>
    <w:rsid w:val="002E37A9"/>
    <w:rsid w:val="00316C24"/>
    <w:rsid w:val="00323589"/>
    <w:rsid w:val="003345F5"/>
    <w:rsid w:val="0033767A"/>
    <w:rsid w:val="00343EBA"/>
    <w:rsid w:val="003547F9"/>
    <w:rsid w:val="0036013B"/>
    <w:rsid w:val="00367FF0"/>
    <w:rsid w:val="00370637"/>
    <w:rsid w:val="00374A20"/>
    <w:rsid w:val="00383A37"/>
    <w:rsid w:val="003A0A68"/>
    <w:rsid w:val="003A4EA4"/>
    <w:rsid w:val="003B4372"/>
    <w:rsid w:val="003C12C7"/>
    <w:rsid w:val="003C7A12"/>
    <w:rsid w:val="003D1CBB"/>
    <w:rsid w:val="003E0A41"/>
    <w:rsid w:val="003E0BDE"/>
    <w:rsid w:val="003E0D2D"/>
    <w:rsid w:val="003E582C"/>
    <w:rsid w:val="003F18DC"/>
    <w:rsid w:val="00405A95"/>
    <w:rsid w:val="004062E2"/>
    <w:rsid w:val="00411CD3"/>
    <w:rsid w:val="0045430B"/>
    <w:rsid w:val="00467244"/>
    <w:rsid w:val="00472CBA"/>
    <w:rsid w:val="00481465"/>
    <w:rsid w:val="00481807"/>
    <w:rsid w:val="0048229C"/>
    <w:rsid w:val="00497850"/>
    <w:rsid w:val="004A2D31"/>
    <w:rsid w:val="004A4538"/>
    <w:rsid w:val="004A4927"/>
    <w:rsid w:val="004B0762"/>
    <w:rsid w:val="004B094A"/>
    <w:rsid w:val="004B163A"/>
    <w:rsid w:val="004B6286"/>
    <w:rsid w:val="004C1E4A"/>
    <w:rsid w:val="004D6B1E"/>
    <w:rsid w:val="004E577D"/>
    <w:rsid w:val="004F1219"/>
    <w:rsid w:val="004F12D3"/>
    <w:rsid w:val="004F6ED0"/>
    <w:rsid w:val="004F76B3"/>
    <w:rsid w:val="00501D76"/>
    <w:rsid w:val="00543EF6"/>
    <w:rsid w:val="00553CD4"/>
    <w:rsid w:val="00571482"/>
    <w:rsid w:val="00574D4D"/>
    <w:rsid w:val="005828F0"/>
    <w:rsid w:val="005838E8"/>
    <w:rsid w:val="00596A5E"/>
    <w:rsid w:val="005970B3"/>
    <w:rsid w:val="005A28B9"/>
    <w:rsid w:val="005A4857"/>
    <w:rsid w:val="005B7835"/>
    <w:rsid w:val="005D2D78"/>
    <w:rsid w:val="005D4FEF"/>
    <w:rsid w:val="005D5A08"/>
    <w:rsid w:val="005E11B3"/>
    <w:rsid w:val="005E2DEF"/>
    <w:rsid w:val="005E6C44"/>
    <w:rsid w:val="005F6C89"/>
    <w:rsid w:val="006065B8"/>
    <w:rsid w:val="006132D6"/>
    <w:rsid w:val="00615488"/>
    <w:rsid w:val="006275CD"/>
    <w:rsid w:val="00640211"/>
    <w:rsid w:val="006418F2"/>
    <w:rsid w:val="0064227F"/>
    <w:rsid w:val="00643758"/>
    <w:rsid w:val="00650AF2"/>
    <w:rsid w:val="00654687"/>
    <w:rsid w:val="00672690"/>
    <w:rsid w:val="00675887"/>
    <w:rsid w:val="0067649D"/>
    <w:rsid w:val="006B2516"/>
    <w:rsid w:val="006B2AF7"/>
    <w:rsid w:val="006C1AC2"/>
    <w:rsid w:val="006C52AC"/>
    <w:rsid w:val="006C6F0A"/>
    <w:rsid w:val="006D0C4F"/>
    <w:rsid w:val="006D2283"/>
    <w:rsid w:val="006D3CC8"/>
    <w:rsid w:val="006D6EB9"/>
    <w:rsid w:val="006E2C80"/>
    <w:rsid w:val="006F08EE"/>
    <w:rsid w:val="00704D52"/>
    <w:rsid w:val="0070508E"/>
    <w:rsid w:val="00713B78"/>
    <w:rsid w:val="00714F25"/>
    <w:rsid w:val="007153A2"/>
    <w:rsid w:val="00754C89"/>
    <w:rsid w:val="00755125"/>
    <w:rsid w:val="00765523"/>
    <w:rsid w:val="00765E1E"/>
    <w:rsid w:val="0076749D"/>
    <w:rsid w:val="00785E9B"/>
    <w:rsid w:val="00792939"/>
    <w:rsid w:val="00793FC2"/>
    <w:rsid w:val="007A3289"/>
    <w:rsid w:val="007B0C9D"/>
    <w:rsid w:val="007C674A"/>
    <w:rsid w:val="007D1D46"/>
    <w:rsid w:val="007D6B19"/>
    <w:rsid w:val="007E0B3D"/>
    <w:rsid w:val="007E5C31"/>
    <w:rsid w:val="00801684"/>
    <w:rsid w:val="00801A9F"/>
    <w:rsid w:val="00803FD1"/>
    <w:rsid w:val="00804AE1"/>
    <w:rsid w:val="00815A86"/>
    <w:rsid w:val="0082592C"/>
    <w:rsid w:val="0083601E"/>
    <w:rsid w:val="00844D91"/>
    <w:rsid w:val="008452E8"/>
    <w:rsid w:val="0086074A"/>
    <w:rsid w:val="00872F47"/>
    <w:rsid w:val="0088003A"/>
    <w:rsid w:val="0088601A"/>
    <w:rsid w:val="00891C54"/>
    <w:rsid w:val="00896883"/>
    <w:rsid w:val="00897306"/>
    <w:rsid w:val="008978D3"/>
    <w:rsid w:val="008A0730"/>
    <w:rsid w:val="008A5B14"/>
    <w:rsid w:val="008A7874"/>
    <w:rsid w:val="008B0D40"/>
    <w:rsid w:val="008C12BD"/>
    <w:rsid w:val="008C3BBA"/>
    <w:rsid w:val="008D344D"/>
    <w:rsid w:val="008D7AD4"/>
    <w:rsid w:val="008E131C"/>
    <w:rsid w:val="008E4DD5"/>
    <w:rsid w:val="008E6B98"/>
    <w:rsid w:val="008F6F69"/>
    <w:rsid w:val="008F7A17"/>
    <w:rsid w:val="00905F78"/>
    <w:rsid w:val="009119A3"/>
    <w:rsid w:val="00926DB0"/>
    <w:rsid w:val="009408CB"/>
    <w:rsid w:val="009515D1"/>
    <w:rsid w:val="00956466"/>
    <w:rsid w:val="00960270"/>
    <w:rsid w:val="0097066F"/>
    <w:rsid w:val="00972263"/>
    <w:rsid w:val="009853B4"/>
    <w:rsid w:val="0099346B"/>
    <w:rsid w:val="00994629"/>
    <w:rsid w:val="009D17C3"/>
    <w:rsid w:val="009D762D"/>
    <w:rsid w:val="009E0B27"/>
    <w:rsid w:val="009E24B6"/>
    <w:rsid w:val="009E7A82"/>
    <w:rsid w:val="00A00F95"/>
    <w:rsid w:val="00A13D65"/>
    <w:rsid w:val="00A13DDE"/>
    <w:rsid w:val="00A16FC5"/>
    <w:rsid w:val="00A36A4E"/>
    <w:rsid w:val="00A427A6"/>
    <w:rsid w:val="00A44C95"/>
    <w:rsid w:val="00A5325A"/>
    <w:rsid w:val="00A6035E"/>
    <w:rsid w:val="00A65248"/>
    <w:rsid w:val="00A66B35"/>
    <w:rsid w:val="00A81EEA"/>
    <w:rsid w:val="00A87091"/>
    <w:rsid w:val="00A91422"/>
    <w:rsid w:val="00A92F32"/>
    <w:rsid w:val="00AB0669"/>
    <w:rsid w:val="00AB7DBA"/>
    <w:rsid w:val="00AC4D9A"/>
    <w:rsid w:val="00AC5E30"/>
    <w:rsid w:val="00AC660B"/>
    <w:rsid w:val="00AC70F9"/>
    <w:rsid w:val="00AD4CEB"/>
    <w:rsid w:val="00AE1834"/>
    <w:rsid w:val="00AF2827"/>
    <w:rsid w:val="00B01DC3"/>
    <w:rsid w:val="00B15084"/>
    <w:rsid w:val="00B2395C"/>
    <w:rsid w:val="00B408BE"/>
    <w:rsid w:val="00B501B7"/>
    <w:rsid w:val="00B5108D"/>
    <w:rsid w:val="00B51AD5"/>
    <w:rsid w:val="00BA4044"/>
    <w:rsid w:val="00BA464F"/>
    <w:rsid w:val="00BB0B38"/>
    <w:rsid w:val="00BC7215"/>
    <w:rsid w:val="00BD3F38"/>
    <w:rsid w:val="00BF102E"/>
    <w:rsid w:val="00BF288C"/>
    <w:rsid w:val="00BF54D6"/>
    <w:rsid w:val="00C01C42"/>
    <w:rsid w:val="00C13E92"/>
    <w:rsid w:val="00C346F1"/>
    <w:rsid w:val="00C36FC4"/>
    <w:rsid w:val="00C46B37"/>
    <w:rsid w:val="00C634EF"/>
    <w:rsid w:val="00C63594"/>
    <w:rsid w:val="00C63E0B"/>
    <w:rsid w:val="00C64625"/>
    <w:rsid w:val="00C701DE"/>
    <w:rsid w:val="00C76C40"/>
    <w:rsid w:val="00C82F5B"/>
    <w:rsid w:val="00C90B1B"/>
    <w:rsid w:val="00CA2394"/>
    <w:rsid w:val="00CA53ED"/>
    <w:rsid w:val="00CA70CB"/>
    <w:rsid w:val="00CB12EE"/>
    <w:rsid w:val="00CC5762"/>
    <w:rsid w:val="00CC6E1E"/>
    <w:rsid w:val="00CD01A6"/>
    <w:rsid w:val="00CD0CF5"/>
    <w:rsid w:val="00CE29F4"/>
    <w:rsid w:val="00CE3DE8"/>
    <w:rsid w:val="00CE5AEB"/>
    <w:rsid w:val="00CF2D24"/>
    <w:rsid w:val="00CF45C4"/>
    <w:rsid w:val="00CF78F5"/>
    <w:rsid w:val="00D11A34"/>
    <w:rsid w:val="00D30D58"/>
    <w:rsid w:val="00D329C8"/>
    <w:rsid w:val="00D342CE"/>
    <w:rsid w:val="00D374CC"/>
    <w:rsid w:val="00D45997"/>
    <w:rsid w:val="00D6668F"/>
    <w:rsid w:val="00DA3D65"/>
    <w:rsid w:val="00DB2330"/>
    <w:rsid w:val="00DB5CC6"/>
    <w:rsid w:val="00DB7BC4"/>
    <w:rsid w:val="00DC061F"/>
    <w:rsid w:val="00DC629C"/>
    <w:rsid w:val="00DC63A9"/>
    <w:rsid w:val="00DC7AF1"/>
    <w:rsid w:val="00DD64B7"/>
    <w:rsid w:val="00DF0DC8"/>
    <w:rsid w:val="00E14108"/>
    <w:rsid w:val="00E17EDA"/>
    <w:rsid w:val="00E21182"/>
    <w:rsid w:val="00E2213D"/>
    <w:rsid w:val="00E2660A"/>
    <w:rsid w:val="00E352CD"/>
    <w:rsid w:val="00E413A9"/>
    <w:rsid w:val="00E64BA6"/>
    <w:rsid w:val="00E6537C"/>
    <w:rsid w:val="00E8424C"/>
    <w:rsid w:val="00E85748"/>
    <w:rsid w:val="00E92D38"/>
    <w:rsid w:val="00EA0B23"/>
    <w:rsid w:val="00EA74BF"/>
    <w:rsid w:val="00EA7E10"/>
    <w:rsid w:val="00EB4FBD"/>
    <w:rsid w:val="00EC7932"/>
    <w:rsid w:val="00EE0704"/>
    <w:rsid w:val="00EE1928"/>
    <w:rsid w:val="00EE3F96"/>
    <w:rsid w:val="00EF2B19"/>
    <w:rsid w:val="00F0068D"/>
    <w:rsid w:val="00F05E49"/>
    <w:rsid w:val="00F21D18"/>
    <w:rsid w:val="00F24FAF"/>
    <w:rsid w:val="00F262FB"/>
    <w:rsid w:val="00F267B4"/>
    <w:rsid w:val="00F31226"/>
    <w:rsid w:val="00F36557"/>
    <w:rsid w:val="00F4356E"/>
    <w:rsid w:val="00F51C97"/>
    <w:rsid w:val="00F5491E"/>
    <w:rsid w:val="00F60A98"/>
    <w:rsid w:val="00F64B87"/>
    <w:rsid w:val="00F84353"/>
    <w:rsid w:val="00F87059"/>
    <w:rsid w:val="00F909BF"/>
    <w:rsid w:val="00F97A4F"/>
    <w:rsid w:val="00FA0152"/>
    <w:rsid w:val="00FA6AF5"/>
    <w:rsid w:val="00FB09D1"/>
    <w:rsid w:val="00FB3DF0"/>
    <w:rsid w:val="00FC1B11"/>
    <w:rsid w:val="00FD183B"/>
    <w:rsid w:val="00FF04B4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07B3-80D0-4F76-8159-9605CB3D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27"/>
      </w:numPr>
      <w:tabs>
        <w:tab w:val="right" w:pos="9072"/>
      </w:tabs>
      <w:spacing w:before="240" w:after="240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customStyle="1" w:styleId="NormalIndent12a">
    <w:name w:val="Normal Indent 12a"/>
    <w:basedOn w:val="NormalIndent"/>
    <w:rsid w:val="006065B8"/>
    <w:pPr>
      <w:snapToGrid w:val="0"/>
      <w:spacing w:after="240"/>
    </w:pPr>
    <w:rPr>
      <w:snapToGrid/>
    </w:rPr>
  </w:style>
  <w:style w:type="paragraph" w:styleId="NormalIndent">
    <w:name w:val="Normal Indent"/>
    <w:basedOn w:val="Normal"/>
    <w:rsid w:val="006065B8"/>
    <w:pPr>
      <w:ind w:left="720"/>
    </w:pPr>
  </w:style>
  <w:style w:type="paragraph" w:styleId="Footer">
    <w:name w:val="footer"/>
    <w:basedOn w:val="Normal"/>
    <w:link w:val="FooterChar"/>
    <w:rsid w:val="00411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1CD3"/>
    <w:rPr>
      <w:snapToGrid w:val="0"/>
      <w:sz w:val="24"/>
      <w:lang w:eastAsia="en-US"/>
    </w:rPr>
  </w:style>
  <w:style w:type="paragraph" w:customStyle="1" w:styleId="BodyB">
    <w:name w:val="Body B"/>
    <w:rsid w:val="009853B4"/>
    <w:pPr>
      <w:shd w:val="clear" w:color="auto" w:fill="FFFFFF"/>
      <w:spacing w:after="160" w:line="254" w:lineRule="auto"/>
      <w:jc w:val="both"/>
    </w:pPr>
    <w:rPr>
      <w:rFonts w:ascii="Calibri" w:eastAsia="Calibri" w:hAnsi="Calibri" w:cs="Calibri"/>
      <w:color w:val="000000"/>
      <w:kern w:val="2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rriaga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4C97-D422-4AB8-9CF7-F0CAF38B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PVx.dotx</Template>
  <TotalTime>0</TotalTime>
  <Pages>5</Pages>
  <Words>1075</Words>
  <Characters>11104</Characters>
  <Application>Microsoft Office Word</Application>
  <DocSecurity>0</DocSecurity>
  <Lines>209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12080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ARRIAGA E CUNHA Olga</dc:creator>
  <cp:keywords/>
  <cp:lastModifiedBy>SILVA Carla Marina</cp:lastModifiedBy>
  <cp:revision>2</cp:revision>
  <cp:lastPrinted>2009-06-18T13:43:00Z</cp:lastPrinted>
  <dcterms:created xsi:type="dcterms:W3CDTF">2020-09-29T07:57:00Z</dcterms:created>
  <dcterms:modified xsi:type="dcterms:W3CDTF">2020-09-29T07:57:00Z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9.9.0 Build [20200302]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1209653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\\eiciBRUpr1\pdocep$\DocEP\DOCS\General\PV\PVx.dotx(17/04/2020 19:28:12)</vt:lpwstr>
  </property>
  <property fmtid="{D5CDD505-2E9C-101B-9397-08002B2CF9AE}" pid="7" name="&lt;ModelTra&gt;">
    <vt:lpwstr>\\eiciBRUpr1\pdocep$\DocEP\TRANSFIL\EN\PVx.EN(18/03/2020 12:59:08)</vt:lpwstr>
  </property>
  <property fmtid="{D5CDD505-2E9C-101B-9397-08002B2CF9AE}" pid="8" name="&lt;Model&gt;">
    <vt:lpwstr>PVx</vt:lpwstr>
  </property>
  <property fmtid="{D5CDD505-2E9C-101B-9397-08002B2CF9AE}" pid="9" name="FooterPath">
    <vt:lpwstr>PV\1209653PT.docx</vt:lpwstr>
  </property>
  <property fmtid="{D5CDD505-2E9C-101B-9397-08002B2CF9AE}" pid="10" name="PE number">
    <vt:lpwstr>654.108</vt:lpwstr>
  </property>
  <property fmtid="{D5CDD505-2E9C-101B-9397-08002B2CF9AE}" pid="11" name="SendToEpades">
    <vt:lpwstr>OK - 2020/09/14 17:27</vt:lpwstr>
  </property>
  <property fmtid="{D5CDD505-2E9C-101B-9397-08002B2CF9AE}" pid="12" name="SDLStudio">
    <vt:lpwstr/>
  </property>
  <property fmtid="{D5CDD505-2E9C-101B-9397-08002B2CF9AE}" pid="13" name="&lt;Extension&gt;">
    <vt:lpwstr>PT</vt:lpwstr>
  </property>
  <property fmtid="{D5CDD505-2E9C-101B-9397-08002B2CF9AE}" pid="14" name="Bookout">
    <vt:lpwstr>OK - 2020/09/29 09:57</vt:lpwstr>
  </property>
</Properties>
</file>