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E856D2" w:rsidRPr="0045464D" w:rsidTr="003E2402">
        <w:trPr>
          <w:trHeight w:hRule="exact" w:val="1418"/>
        </w:trPr>
        <w:tc>
          <w:tcPr>
            <w:tcW w:w="6804" w:type="dxa"/>
            <w:shd w:val="clear" w:color="auto" w:fill="auto"/>
            <w:vAlign w:val="center"/>
          </w:tcPr>
          <w:p w:rsidR="00E856D2" w:rsidRPr="0045464D" w:rsidRDefault="0045464D" w:rsidP="003E2402">
            <w:pPr>
              <w:pStyle w:val="EPName"/>
            </w:pPr>
            <w:bookmarkStart w:id="0" w:name="_GoBack"/>
            <w:bookmarkEnd w:id="0"/>
            <w:r>
              <w:t>Euroopa Parlament</w:t>
            </w:r>
          </w:p>
          <w:p w:rsidR="00E856D2" w:rsidRPr="00160320" w:rsidRDefault="00160320" w:rsidP="00160320">
            <w:pPr>
              <w:pStyle w:val="EPTerm"/>
              <w:rPr>
                <w:rStyle w:val="HideTWBExt"/>
                <w:noProof w:val="0"/>
                <w:vanish w:val="0"/>
                <w:color w:val="auto"/>
              </w:rPr>
            </w:pPr>
            <w:r>
              <w:t>2019-2024</w:t>
            </w:r>
          </w:p>
        </w:tc>
        <w:tc>
          <w:tcPr>
            <w:tcW w:w="2268" w:type="dxa"/>
            <w:shd w:val="clear" w:color="auto" w:fill="auto"/>
          </w:tcPr>
          <w:p w:rsidR="00E856D2" w:rsidRPr="0045464D" w:rsidRDefault="00AE180F" w:rsidP="003E2402">
            <w:pPr>
              <w:pStyle w:val="EPLogo"/>
            </w:pPr>
            <w:r w:rsidRPr="0045464D">
              <w:rPr>
                <w:lang w:val="en-GB"/>
              </w:rPr>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1746D0" w:rsidRPr="0045464D" w:rsidRDefault="001746D0" w:rsidP="001746D0">
      <w:pPr>
        <w:pStyle w:val="LineTop"/>
      </w:pPr>
    </w:p>
    <w:p w:rsidR="001746D0" w:rsidRPr="0045464D" w:rsidRDefault="001746D0" w:rsidP="001746D0">
      <w:pPr>
        <w:pStyle w:val="EPBody"/>
      </w:pPr>
      <w:r>
        <w:rPr>
          <w:rStyle w:val="HideTWBExt"/>
          <w:noProof w:val="0"/>
        </w:rPr>
        <w:t>&lt;</w:t>
      </w:r>
      <w:r>
        <w:rPr>
          <w:rStyle w:val="HideTWBExt"/>
          <w:i w:val="0"/>
          <w:noProof w:val="0"/>
        </w:rPr>
        <w:t>Commission</w:t>
      </w:r>
      <w:r>
        <w:rPr>
          <w:rStyle w:val="HideTWBExt"/>
          <w:noProof w:val="0"/>
        </w:rPr>
        <w:t>&gt;</w:t>
      </w:r>
      <w:r>
        <w:rPr>
          <w:rStyle w:val="HideTWBInt"/>
        </w:rPr>
        <w:t>{AGRI}</w:t>
      </w:r>
      <w:r>
        <w:t>Põllumajanduse ja maaelu arengu komisjon</w:t>
      </w:r>
      <w:r>
        <w:rPr>
          <w:rStyle w:val="HideTWBExt"/>
          <w:noProof w:val="0"/>
        </w:rPr>
        <w:t>&lt;/</w:t>
      </w:r>
      <w:r>
        <w:rPr>
          <w:rStyle w:val="HideTWBExt"/>
          <w:i w:val="0"/>
          <w:noProof w:val="0"/>
        </w:rPr>
        <w:t>Commission</w:t>
      </w:r>
      <w:r>
        <w:rPr>
          <w:rStyle w:val="HideTWBExt"/>
          <w:noProof w:val="0"/>
        </w:rPr>
        <w:t>&gt;</w:t>
      </w:r>
    </w:p>
    <w:p w:rsidR="001746D0" w:rsidRPr="0045464D" w:rsidRDefault="001746D0" w:rsidP="001746D0">
      <w:pPr>
        <w:pStyle w:val="LineBottom"/>
      </w:pPr>
    </w:p>
    <w:p w:rsidR="002E2F2E" w:rsidRPr="0045464D" w:rsidRDefault="002E2F2E">
      <w:pPr>
        <w:pStyle w:val="CoverReference"/>
      </w:pPr>
      <w:r>
        <w:rPr>
          <w:rStyle w:val="HideTWBExt"/>
          <w:b w:val="0"/>
          <w:noProof w:val="0"/>
        </w:rPr>
        <w:t>&lt;RefProc&gt;</w:t>
      </w:r>
      <w:r>
        <w:t>2020/2007(INI)</w:t>
      </w:r>
      <w:r>
        <w:rPr>
          <w:rStyle w:val="HideTWBExt"/>
          <w:b w:val="0"/>
          <w:noProof w:val="0"/>
        </w:rPr>
        <w:t>&lt;/RefProc&gt;</w:t>
      </w:r>
    </w:p>
    <w:p w:rsidR="002E2F2E" w:rsidRPr="0045464D" w:rsidRDefault="002E2F2E">
      <w:pPr>
        <w:pStyle w:val="CoverDate"/>
      </w:pPr>
      <w:r>
        <w:rPr>
          <w:rStyle w:val="HideTWBExt"/>
          <w:noProof w:val="0"/>
        </w:rPr>
        <w:t>&lt;Date&gt;</w:t>
      </w:r>
      <w:r>
        <w:rPr>
          <w:rStyle w:val="HideTWBInt"/>
        </w:rPr>
        <w:t>{01/04/2020}</w:t>
      </w:r>
      <w:r>
        <w:t>1.4.2020</w:t>
      </w:r>
      <w:r>
        <w:rPr>
          <w:rStyle w:val="HideTWBExt"/>
          <w:noProof w:val="0"/>
        </w:rPr>
        <w:t>&lt;/Date&gt;</w:t>
      </w:r>
    </w:p>
    <w:p w:rsidR="002E2F2E" w:rsidRPr="0045464D" w:rsidRDefault="002E2F2E">
      <w:pPr>
        <w:pStyle w:val="CoverDocType24a"/>
      </w:pPr>
      <w:r>
        <w:rPr>
          <w:rStyle w:val="HideTWBExt"/>
          <w:b w:val="0"/>
          <w:noProof w:val="0"/>
        </w:rPr>
        <w:t>&lt;TitreType&gt;</w:t>
      </w:r>
      <w:r>
        <w:t>ARVAMUSE PROJEKT</w:t>
      </w:r>
      <w:r>
        <w:rPr>
          <w:rStyle w:val="HideTWBExt"/>
          <w:b w:val="0"/>
          <w:noProof w:val="0"/>
        </w:rPr>
        <w:t>&lt;/TitreType&gt;</w:t>
      </w:r>
    </w:p>
    <w:p w:rsidR="002E2F2E" w:rsidRPr="0045464D" w:rsidRDefault="002E2F2E">
      <w:pPr>
        <w:pStyle w:val="CoverNormal24a"/>
      </w:pPr>
      <w:r>
        <w:rPr>
          <w:rStyle w:val="HideTWBExt"/>
          <w:noProof w:val="0"/>
        </w:rPr>
        <w:t>&lt;CommissionResp&gt;</w:t>
      </w:r>
      <w:r>
        <w:t>Esitaja: põllumajanduse ja maaelu arengu komisjon</w:t>
      </w:r>
      <w:r>
        <w:rPr>
          <w:rStyle w:val="HideTWBExt"/>
          <w:noProof w:val="0"/>
        </w:rPr>
        <w:t>&lt;/CommissionResp&gt;</w:t>
      </w:r>
    </w:p>
    <w:p w:rsidR="002E2F2E" w:rsidRPr="0045464D" w:rsidRDefault="002E2F2E">
      <w:pPr>
        <w:pStyle w:val="CoverNormal24a"/>
      </w:pPr>
      <w:r>
        <w:rPr>
          <w:rStyle w:val="HideTWBExt"/>
          <w:noProof w:val="0"/>
        </w:rPr>
        <w:t>&lt;CommissionInt&gt;</w:t>
      </w:r>
      <w:r>
        <w:t>Saaja: tööhõive- ja sotsiaalkomisjon</w:t>
      </w:r>
      <w:r>
        <w:rPr>
          <w:rStyle w:val="HideTWBExt"/>
          <w:noProof w:val="0"/>
        </w:rPr>
        <w:t>&lt;/CommissionInt&gt;</w:t>
      </w:r>
    </w:p>
    <w:p w:rsidR="002E2F2E" w:rsidRPr="0045464D" w:rsidRDefault="002E2F2E">
      <w:pPr>
        <w:pStyle w:val="CoverNormal"/>
      </w:pPr>
      <w:r>
        <w:rPr>
          <w:rStyle w:val="HideTWBExt"/>
          <w:noProof w:val="0"/>
        </w:rPr>
        <w:t>&lt;Titre&gt;</w:t>
      </w:r>
      <w:r>
        <w:t>ELi eeskirjade mõju kohta töötajate ja teenuste vabale liikumisele: ELi-sisene tööjõu liikuvus kui vahend, mis aitab tööjõuturu vajadusi ja oskusi vastavusse viia</w:t>
      </w:r>
      <w:r>
        <w:rPr>
          <w:rStyle w:val="HideTWBExt"/>
          <w:noProof w:val="0"/>
        </w:rPr>
        <w:t>&lt;/Titre&gt;</w:t>
      </w:r>
    </w:p>
    <w:p w:rsidR="002E2F2E" w:rsidRPr="0045464D" w:rsidRDefault="002E2F2E">
      <w:pPr>
        <w:pStyle w:val="CoverNormal24a"/>
      </w:pPr>
      <w:r>
        <w:rPr>
          <w:rStyle w:val="HideTWBExt"/>
          <w:noProof w:val="0"/>
        </w:rPr>
        <w:t>&lt;DocRef&gt;</w:t>
      </w:r>
      <w:r>
        <w:t>(2020/2007(INI))</w:t>
      </w:r>
      <w:r>
        <w:rPr>
          <w:rStyle w:val="HideTWBExt"/>
          <w:noProof w:val="0"/>
        </w:rPr>
        <w:t>&lt;/DocRef&gt;</w:t>
      </w:r>
    </w:p>
    <w:p w:rsidR="002E2F2E" w:rsidRPr="0045464D" w:rsidRDefault="0045464D">
      <w:pPr>
        <w:pStyle w:val="CoverNormal24a"/>
      </w:pPr>
      <w:r>
        <w:t xml:space="preserve">Arvamuse koostaja: </w:t>
      </w:r>
      <w:r>
        <w:rPr>
          <w:rStyle w:val="HideTWBExt"/>
          <w:noProof w:val="0"/>
        </w:rPr>
        <w:t>&lt;Depute&gt;</w:t>
      </w:r>
      <w:r>
        <w:t>Ruža Tomašić</w:t>
      </w:r>
      <w:r>
        <w:rPr>
          <w:rStyle w:val="HideTWBExt"/>
          <w:noProof w:val="0"/>
        </w:rPr>
        <w:t>&lt;/Depute&gt;</w:t>
      </w:r>
    </w:p>
    <w:p w:rsidR="00A72C35" w:rsidRPr="0045464D" w:rsidRDefault="00A72C35" w:rsidP="00A72C35">
      <w:pPr>
        <w:pStyle w:val="CoverNormal"/>
      </w:pPr>
    </w:p>
    <w:p w:rsidR="002E2F2E" w:rsidRPr="0045464D" w:rsidRDefault="002E2F2E" w:rsidP="00E856D2">
      <w:pPr>
        <w:widowControl/>
        <w:tabs>
          <w:tab w:val="center" w:pos="4677"/>
        </w:tabs>
      </w:pPr>
      <w:r>
        <w:br w:type="page"/>
      </w:r>
      <w:r>
        <w:lastRenderedPageBreak/>
        <w:t>PA_NonLeg</w:t>
      </w:r>
    </w:p>
    <w:p w:rsidR="002E2F2E" w:rsidRPr="0045464D" w:rsidRDefault="002E2F2E">
      <w:pPr>
        <w:pStyle w:val="PageHeadingNotTOC"/>
      </w:pPr>
      <w:r>
        <w:br w:type="page"/>
      </w:r>
      <w:r>
        <w:lastRenderedPageBreak/>
        <w:t>ETTEPANEKUD</w:t>
      </w:r>
    </w:p>
    <w:p w:rsidR="00160320" w:rsidRPr="00660A4B" w:rsidRDefault="00160320" w:rsidP="00160320">
      <w:pPr>
        <w:pStyle w:val="Normal12a"/>
      </w:pPr>
      <w:r>
        <w:t xml:space="preserve">Põllumajanduse ja maaelu arengu komisjon palub vastutaval tööhõive- ja sotsiaalkomisjonil lisada oma resolutsiooni ettepanekusse järgmised ettepanekud: </w:t>
      </w:r>
    </w:p>
    <w:p w:rsidR="00160320" w:rsidRPr="00660A4B" w:rsidRDefault="00160320" w:rsidP="00160320">
      <w:pPr>
        <w:pStyle w:val="NormalHanging12a"/>
      </w:pPr>
      <w:bookmarkStart w:id="1" w:name="restart"/>
      <w:r>
        <w:t>–</w:t>
      </w:r>
      <w:r>
        <w:tab/>
        <w:t>võttes arvesse komisjoni 2018. aasta aruannet ELi-sisese tööjõu liikuvuse kohta,</w:t>
      </w:r>
    </w:p>
    <w:p w:rsidR="00160320" w:rsidRPr="00660A4B" w:rsidRDefault="00160320" w:rsidP="00160320">
      <w:pPr>
        <w:pStyle w:val="NormalHanging12a"/>
      </w:pPr>
      <w:r>
        <w:t>–</w:t>
      </w:r>
      <w:r>
        <w:tab/>
        <w:t>võttes arvesse uuringut „ELi põllumajanduse tööhõive: hetkeprobleemid ja tulevikuväljavaated“, mille liidu sisepoliitika peadirektoraat avaldas 2019. aasta oktoobris</w:t>
      </w:r>
      <w:r>
        <w:rPr>
          <w:rStyle w:val="FootnoteReference"/>
        </w:rPr>
        <w:footnoteReference w:id="1"/>
      </w:r>
      <w:r>
        <w:t>,</w:t>
      </w:r>
    </w:p>
    <w:p w:rsidR="00160320" w:rsidRPr="00660A4B" w:rsidRDefault="00160320" w:rsidP="00160320">
      <w:pPr>
        <w:pStyle w:val="NormalHanging12a"/>
      </w:pPr>
      <w:r>
        <w:t>A.</w:t>
      </w:r>
      <w:r>
        <w:tab/>
        <w:t>arvestades, et töötajate vaba liikumise põhimõte on sätestatud Euroopa Liidu toimimise lepingu artiklis 45;</w:t>
      </w:r>
    </w:p>
    <w:bookmarkEnd w:id="1"/>
    <w:p w:rsidR="00160320" w:rsidRPr="00660A4B" w:rsidRDefault="00160320" w:rsidP="00160320">
      <w:pPr>
        <w:pStyle w:val="NormalHanging12a"/>
      </w:pPr>
      <w:r>
        <w:t>B.</w:t>
      </w:r>
      <w:r>
        <w:tab/>
        <w:t>arvestades, et Eurostati rahvastikustatistika kohaselt oli 2017. aastal ELis 17 miljonit liikujat ELi 28 riigist, kellest 12,4 miljonit olid tööealised (töötavad või tööd otsivad);</w:t>
      </w:r>
    </w:p>
    <w:p w:rsidR="00160320" w:rsidRPr="00660A4B" w:rsidRDefault="00160320" w:rsidP="00160320">
      <w:pPr>
        <w:pStyle w:val="NormalHanging12a"/>
      </w:pPr>
      <w:r>
        <w:t>1.</w:t>
      </w:r>
      <w:r>
        <w:tab/>
        <w:t>peab tervitatavaks komisjoni 2018. aasta märtsi seadusandlikku ettepanekut, millega loodi Euroopa Tööjõuamet ja mille eesmärgiks on tagada, et kõiki</w:t>
      </w:r>
      <w:r w:rsidR="004B0088">
        <w:t xml:space="preserve"> </w:t>
      </w:r>
      <w:r>
        <w:t>ELi norme töötajate liikuvuse kohta kohaldataks õiglaselt, lihtsalt ja tulemuslikult;</w:t>
      </w:r>
    </w:p>
    <w:p w:rsidR="00160320" w:rsidRPr="00660A4B" w:rsidRDefault="00160320" w:rsidP="00160320">
      <w:pPr>
        <w:pStyle w:val="NormalHanging12a"/>
      </w:pPr>
      <w:r>
        <w:t>2.</w:t>
      </w:r>
      <w:r>
        <w:tab/>
        <w:t>on seisukohal, et kiiresti on vaja paremaid õigusraamistikke ja suurema tähelepanu pööramist tööõiguse rakendamisele ja selle täitmise tagamisele, muuhulgas seoses tööõiguste ja sotsiaalkindlustuskattega, eelkõige ebatüüpilise töö ja tööjõu ärakasutamise puhul;</w:t>
      </w:r>
    </w:p>
    <w:p w:rsidR="00160320" w:rsidRPr="00660A4B" w:rsidRDefault="00160320" w:rsidP="00160320">
      <w:pPr>
        <w:pStyle w:val="NormalHanging12a"/>
      </w:pPr>
      <w:r>
        <w:t>3.</w:t>
      </w:r>
      <w:r>
        <w:tab/>
        <w:t>juhib tähelepanu sellele, et töötajate liikuvusele aitaks kaasa ELi rahaliste vahendite parem suunamine, mis võimaldaks paremini kasutada olemasolevat teavet ning parandaks tööjõu liikuvusvooge ja tööturu tasakaalustamatust käsitlevate andmete kogumist ja kasutamist;</w:t>
      </w:r>
    </w:p>
    <w:p w:rsidR="00160320" w:rsidRPr="00660A4B" w:rsidRDefault="00160320" w:rsidP="00160320">
      <w:pPr>
        <w:pStyle w:val="NormalHanging12a"/>
      </w:pPr>
      <w:r>
        <w:t>4.</w:t>
      </w:r>
      <w:r>
        <w:tab/>
        <w:t>on seisukohal, et valdava enamuse Euroopa põllumajanduse tööjõust moodustavad endiselt pereettevõtete töötajad ning ebapiisav põlvkondade vahetumine on üks peamisi probleeme, millega põllumajandussektor kogu ELis silmitsi seisab ja mille tulemusena on selles sektoris aasta-aastalt vähem tootjaid;</w:t>
      </w:r>
    </w:p>
    <w:p w:rsidR="00160320" w:rsidRPr="00660A4B" w:rsidRDefault="00160320" w:rsidP="00160320">
      <w:pPr>
        <w:pStyle w:val="NormalHanging12a"/>
      </w:pPr>
      <w:r>
        <w:t>5.</w:t>
      </w:r>
      <w:r>
        <w:tab/>
        <w:t>juhib tähelepanu asjaolule, et tehnoloogiline innovatsioon soodustab struktuurimuutusi nii põllumajandusettevõtetes kui ka põllumajanduse tööjõuturul ning paljud põllumajandusettevõtted üle Euroopa ei ole oma juhtide vähese põllumajandusalase väljaõppe tõttu</w:t>
      </w:r>
      <w:r w:rsidR="004B0088">
        <w:t xml:space="preserve"> </w:t>
      </w:r>
      <w:r>
        <w:t>tehnoloogiliseks innovatsiooniks piisavalt ette valmistatud, kusjuures tase on liikmesriigiti märkimisväärselt erinev;</w:t>
      </w:r>
    </w:p>
    <w:p w:rsidR="00160320" w:rsidRPr="00660A4B" w:rsidRDefault="00160320" w:rsidP="00160320">
      <w:pPr>
        <w:pStyle w:val="NormalHanging12a"/>
      </w:pPr>
      <w:r>
        <w:t>6.</w:t>
      </w:r>
      <w:r>
        <w:tab/>
        <w:t>tuletab meelde, et põllumajanduse tööhõive säilitamine etendab maapiirkondade majanduse elushoidmisel</w:t>
      </w:r>
      <w:r w:rsidR="004B0088">
        <w:t xml:space="preserve"> </w:t>
      </w:r>
      <w:r>
        <w:t>keskset rolli</w:t>
      </w:r>
      <w:r w:rsidR="004B0088">
        <w:t xml:space="preserve"> </w:t>
      </w:r>
      <w:r>
        <w:t>ja omab seetõttu suurt tähtsust;</w:t>
      </w:r>
    </w:p>
    <w:p w:rsidR="00160320" w:rsidRPr="00660A4B" w:rsidRDefault="00160320" w:rsidP="00160320">
      <w:pPr>
        <w:pStyle w:val="NormalHanging12a"/>
      </w:pPr>
      <w:r>
        <w:lastRenderedPageBreak/>
        <w:t>7.</w:t>
      </w:r>
      <w:r>
        <w:tab/>
        <w:t>on veendunud, et EL ei peaks võtma vastu õigusakte ELi miinimumpalga kohta, kuna see kuulub liikmesriikide pädevusse.</w:t>
      </w:r>
    </w:p>
    <w:sectPr w:rsidR="00160320" w:rsidRPr="00660A4B" w:rsidSect="0052544E">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64D" w:rsidRPr="0045464D" w:rsidRDefault="0045464D">
      <w:r w:rsidRPr="0045464D">
        <w:separator/>
      </w:r>
    </w:p>
  </w:endnote>
  <w:endnote w:type="continuationSeparator" w:id="0">
    <w:p w:rsidR="0045464D" w:rsidRPr="0045464D" w:rsidRDefault="0045464D">
      <w:r w:rsidRPr="0045464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F2E" w:rsidRPr="0045464D" w:rsidRDefault="005D60C6" w:rsidP="00347D2C">
    <w:pPr>
      <w:pStyle w:val="EPFooter"/>
    </w:pPr>
    <w:r w:rsidRPr="0045464D">
      <w:t>PE</w:t>
    </w:r>
    <w:r w:rsidR="002E2F2E" w:rsidRPr="0045464D">
      <w:rPr>
        <w:rStyle w:val="HideTWBExt"/>
        <w:noProof w:val="0"/>
      </w:rPr>
      <w:t>&lt;NoPE&gt;</w:t>
    </w:r>
    <w:r w:rsidR="00160320" w:rsidRPr="00160320">
      <w:t>648.630</w:t>
    </w:r>
    <w:r w:rsidR="002E2F2E" w:rsidRPr="0045464D">
      <w:rPr>
        <w:rStyle w:val="HideTWBExt"/>
        <w:noProof w:val="0"/>
      </w:rPr>
      <w:t>&lt;/NoPE&gt;&lt;Version&gt;</w:t>
    </w:r>
    <w:r w:rsidR="0045464D" w:rsidRPr="0045464D">
      <w:t>v</w:t>
    </w:r>
    <w:r w:rsidR="00160320" w:rsidRPr="00160320">
      <w:t>01-00</w:t>
    </w:r>
    <w:r w:rsidR="002E2F2E" w:rsidRPr="0045464D">
      <w:rPr>
        <w:rStyle w:val="HideTWBExt"/>
        <w:noProof w:val="0"/>
      </w:rPr>
      <w:t>&lt;/Version&gt;</w:t>
    </w:r>
    <w:r w:rsidR="002E2F2E" w:rsidRPr="0045464D">
      <w:tab/>
    </w:r>
    <w:r w:rsidR="006102E7" w:rsidRPr="0045464D">
      <w:fldChar w:fldCharType="begin"/>
    </w:r>
    <w:r w:rsidR="006102E7" w:rsidRPr="0045464D">
      <w:instrText xml:space="preserve"> PAGE </w:instrText>
    </w:r>
    <w:r w:rsidR="006102E7" w:rsidRPr="0045464D">
      <w:fldChar w:fldCharType="separate"/>
    </w:r>
    <w:r w:rsidR="00B73ED0">
      <w:rPr>
        <w:noProof/>
      </w:rPr>
      <w:t>2</w:t>
    </w:r>
    <w:r w:rsidR="006102E7" w:rsidRPr="0045464D">
      <w:fldChar w:fldCharType="end"/>
    </w:r>
    <w:r w:rsidR="006102E7" w:rsidRPr="0045464D">
      <w:t>/</w:t>
    </w:r>
    <w:r w:rsidR="00544869">
      <w:rPr>
        <w:noProof/>
      </w:rPr>
      <w:fldChar w:fldCharType="begin"/>
    </w:r>
    <w:r w:rsidR="00544869">
      <w:rPr>
        <w:noProof/>
      </w:rPr>
      <w:instrText xml:space="preserve"> NUMPAGES </w:instrText>
    </w:r>
    <w:r w:rsidR="00544869">
      <w:rPr>
        <w:noProof/>
      </w:rPr>
      <w:fldChar w:fldCharType="separate"/>
    </w:r>
    <w:r w:rsidR="00B73ED0">
      <w:rPr>
        <w:noProof/>
      </w:rPr>
      <w:t>3</w:t>
    </w:r>
    <w:r w:rsidR="00544869">
      <w:rPr>
        <w:noProof/>
      </w:rPr>
      <w:fldChar w:fldCharType="end"/>
    </w:r>
    <w:r w:rsidR="002E2F2E" w:rsidRPr="0045464D">
      <w:tab/>
    </w:r>
    <w:r w:rsidR="002E2F2E" w:rsidRPr="0045464D">
      <w:rPr>
        <w:rStyle w:val="HideTWBExt"/>
        <w:noProof w:val="0"/>
      </w:rPr>
      <w:t>&lt;PathFdR&gt;</w:t>
    </w:r>
    <w:r w:rsidR="00160320" w:rsidRPr="00160320">
      <w:t>PA\1202015ET.docx</w:t>
    </w:r>
    <w:r w:rsidR="002E2F2E" w:rsidRPr="0045464D">
      <w:rPr>
        <w:rStyle w:val="HideTWBExt"/>
        <w:noProof w:val="0"/>
      </w:rPr>
      <w:t>&lt;/PathFdR&gt;</w:t>
    </w:r>
  </w:p>
  <w:p w:rsidR="002E2F2E" w:rsidRPr="0045464D" w:rsidRDefault="00544869">
    <w:pPr>
      <w:pStyle w:val="EPFooter2"/>
    </w:pPr>
    <w:fldSimple w:instr=" DOCPROPERTY &quot;&lt;Extension&gt;&quot; ">
      <w:r w:rsidR="00B73ED0">
        <w:t>ET</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F2E" w:rsidRPr="0045464D" w:rsidRDefault="002E2F2E" w:rsidP="00347D2C">
    <w:pPr>
      <w:pStyle w:val="EPFooter"/>
    </w:pPr>
    <w:r w:rsidRPr="0045464D">
      <w:rPr>
        <w:rStyle w:val="HideTWBExt"/>
        <w:noProof w:val="0"/>
      </w:rPr>
      <w:t>&lt;PathFdR&gt;</w:t>
    </w:r>
    <w:r w:rsidR="00160320" w:rsidRPr="00160320">
      <w:t>PA\1202015ET.docx</w:t>
    </w:r>
    <w:r w:rsidRPr="0045464D">
      <w:rPr>
        <w:rStyle w:val="HideTWBExt"/>
        <w:noProof w:val="0"/>
      </w:rPr>
      <w:t>&lt;/PathFdR&gt;</w:t>
    </w:r>
    <w:r w:rsidRPr="0045464D">
      <w:tab/>
    </w:r>
    <w:r w:rsidR="006102E7" w:rsidRPr="0045464D">
      <w:fldChar w:fldCharType="begin"/>
    </w:r>
    <w:r w:rsidR="006102E7" w:rsidRPr="0045464D">
      <w:instrText xml:space="preserve"> PAGE </w:instrText>
    </w:r>
    <w:r w:rsidR="006102E7" w:rsidRPr="0045464D">
      <w:fldChar w:fldCharType="separate"/>
    </w:r>
    <w:r w:rsidR="00B73ED0">
      <w:rPr>
        <w:noProof/>
      </w:rPr>
      <w:t>3</w:t>
    </w:r>
    <w:r w:rsidR="006102E7" w:rsidRPr="0045464D">
      <w:fldChar w:fldCharType="end"/>
    </w:r>
    <w:r w:rsidR="006102E7" w:rsidRPr="0045464D">
      <w:t>/</w:t>
    </w:r>
    <w:r w:rsidR="00544869">
      <w:rPr>
        <w:noProof/>
      </w:rPr>
      <w:fldChar w:fldCharType="begin"/>
    </w:r>
    <w:r w:rsidR="00544869">
      <w:rPr>
        <w:noProof/>
      </w:rPr>
      <w:instrText xml:space="preserve"> NUMPAGES </w:instrText>
    </w:r>
    <w:r w:rsidR="00544869">
      <w:rPr>
        <w:noProof/>
      </w:rPr>
      <w:fldChar w:fldCharType="separate"/>
    </w:r>
    <w:r w:rsidR="00B73ED0">
      <w:rPr>
        <w:noProof/>
      </w:rPr>
      <w:t>3</w:t>
    </w:r>
    <w:r w:rsidR="00544869">
      <w:rPr>
        <w:noProof/>
      </w:rPr>
      <w:fldChar w:fldCharType="end"/>
    </w:r>
    <w:r w:rsidRPr="0045464D">
      <w:tab/>
    </w:r>
    <w:r w:rsidR="005D60C6" w:rsidRPr="0045464D">
      <w:t>PE</w:t>
    </w:r>
    <w:r w:rsidRPr="0045464D">
      <w:rPr>
        <w:rStyle w:val="HideTWBExt"/>
        <w:noProof w:val="0"/>
      </w:rPr>
      <w:t>&lt;NoPE&gt;</w:t>
    </w:r>
    <w:r w:rsidR="00160320" w:rsidRPr="00160320">
      <w:t>648.630</w:t>
    </w:r>
    <w:r w:rsidRPr="0045464D">
      <w:rPr>
        <w:rStyle w:val="HideTWBExt"/>
        <w:noProof w:val="0"/>
      </w:rPr>
      <w:t>&lt;/NoPE&gt;&lt;Version&gt;</w:t>
    </w:r>
    <w:r w:rsidR="0045464D" w:rsidRPr="0045464D">
      <w:t>v</w:t>
    </w:r>
    <w:r w:rsidR="00160320" w:rsidRPr="00160320">
      <w:t>01-00</w:t>
    </w:r>
    <w:r w:rsidRPr="0045464D">
      <w:rPr>
        <w:rStyle w:val="HideTWBExt"/>
        <w:noProof w:val="0"/>
      </w:rPr>
      <w:t>&lt;/Version&gt;</w:t>
    </w:r>
  </w:p>
  <w:p w:rsidR="002E2F2E" w:rsidRPr="0045464D" w:rsidRDefault="006102E7">
    <w:pPr>
      <w:pStyle w:val="EPFooter2"/>
    </w:pPr>
    <w:r w:rsidRPr="0045464D">
      <w:tab/>
    </w:r>
    <w:r w:rsidR="002E2F2E" w:rsidRPr="0045464D">
      <w:tab/>
    </w:r>
    <w:fldSimple w:instr=" DOCPROPERTY &quot;&lt;Extension&gt;&quot; ">
      <w:r w:rsidR="00B73ED0">
        <w:t>ET</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F2E" w:rsidRPr="0045464D" w:rsidRDefault="002E2F2E" w:rsidP="00347D2C">
    <w:pPr>
      <w:pStyle w:val="EPFooter"/>
    </w:pPr>
    <w:r w:rsidRPr="0045464D">
      <w:rPr>
        <w:rStyle w:val="HideTWBExt"/>
        <w:noProof w:val="0"/>
      </w:rPr>
      <w:t>&lt;PathFdR&gt;</w:t>
    </w:r>
    <w:r w:rsidR="00160320" w:rsidRPr="00160320">
      <w:t>PA\1202015ET.docx</w:t>
    </w:r>
    <w:r w:rsidRPr="0045464D">
      <w:rPr>
        <w:rStyle w:val="HideTWBExt"/>
        <w:noProof w:val="0"/>
      </w:rPr>
      <w:t>&lt;/PathFdR&gt;</w:t>
    </w:r>
    <w:r w:rsidRPr="0045464D">
      <w:tab/>
    </w:r>
    <w:r w:rsidRPr="0045464D">
      <w:tab/>
    </w:r>
    <w:r w:rsidR="005D60C6" w:rsidRPr="0045464D">
      <w:t>PE</w:t>
    </w:r>
    <w:r w:rsidRPr="0045464D">
      <w:rPr>
        <w:rStyle w:val="HideTWBExt"/>
        <w:noProof w:val="0"/>
      </w:rPr>
      <w:t>&lt;NoPE&gt;</w:t>
    </w:r>
    <w:r w:rsidR="00160320" w:rsidRPr="00160320">
      <w:t>648.630</w:t>
    </w:r>
    <w:r w:rsidRPr="0045464D">
      <w:rPr>
        <w:rStyle w:val="HideTWBExt"/>
        <w:noProof w:val="0"/>
      </w:rPr>
      <w:t>&lt;/NoPE&gt;&lt;Version&gt;</w:t>
    </w:r>
    <w:r w:rsidR="0045464D" w:rsidRPr="0045464D">
      <w:t>v</w:t>
    </w:r>
    <w:r w:rsidR="00160320" w:rsidRPr="00160320">
      <w:t>01-00</w:t>
    </w:r>
    <w:r w:rsidRPr="0045464D">
      <w:rPr>
        <w:rStyle w:val="HideTWBExt"/>
        <w:noProof w:val="0"/>
      </w:rPr>
      <w:t>&lt;/Version&gt;</w:t>
    </w:r>
  </w:p>
  <w:p w:rsidR="002E2F2E" w:rsidRPr="0045464D" w:rsidRDefault="00544869" w:rsidP="001746D0">
    <w:pPr>
      <w:pStyle w:val="EPFooter2"/>
      <w:tabs>
        <w:tab w:val="clear" w:pos="4535"/>
        <w:tab w:val="center" w:pos="4536"/>
      </w:tabs>
    </w:pPr>
    <w:fldSimple w:instr=" DOCPROPERTY &quot;&lt;Extension&gt;&quot; ">
      <w:r w:rsidR="00B73ED0">
        <w:t>ET</w:t>
      </w:r>
    </w:fldSimple>
    <w:r w:rsidR="001746D0" w:rsidRPr="0045464D">
      <w:tab/>
    </w:r>
    <w:r w:rsidR="00160320">
      <w:rPr>
        <w:b w:val="0"/>
        <w:i/>
        <w:color w:val="C0C0C0"/>
        <w:sz w:val="22"/>
        <w:szCs w:val="22"/>
      </w:rPr>
      <w:t>Ühinenud mitmekesisuses</w:t>
    </w:r>
    <w:r w:rsidR="001746D0" w:rsidRPr="0045464D">
      <w:tab/>
    </w:r>
    <w:fldSimple w:instr=" DOCPROPERTY &quot;&lt;Extension&gt;&quot; ">
      <w:r w:rsidR="00B73ED0">
        <w:t>ET</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64D" w:rsidRPr="0045464D" w:rsidRDefault="0045464D">
      <w:r w:rsidRPr="0045464D">
        <w:separator/>
      </w:r>
    </w:p>
  </w:footnote>
  <w:footnote w:type="continuationSeparator" w:id="0">
    <w:p w:rsidR="0045464D" w:rsidRPr="0045464D" w:rsidRDefault="0045464D">
      <w:r w:rsidRPr="0045464D">
        <w:continuationSeparator/>
      </w:r>
    </w:p>
  </w:footnote>
  <w:footnote w:id="1">
    <w:p w:rsidR="00160320" w:rsidRDefault="00160320" w:rsidP="00160320">
      <w:pPr>
        <w:pStyle w:val="FootnoteText"/>
      </w:pPr>
      <w:r>
        <w:rPr>
          <w:rStyle w:val="FootnoteReference"/>
        </w:rPr>
        <w:footnoteRef/>
      </w:r>
      <w:r>
        <w:t xml:space="preserve"> Uuring „ELi põllumajanduse tööhõive: hetkeprobleemid ja tulevikuväljavaated“, Euroopa Parlament, sisepoliitika peadirektoraat, struktuuri- ja ühtekuuluvuspoliitika poliitikaosakond, oktoober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ED0" w:rsidRDefault="00B73E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ED0" w:rsidRDefault="00B73E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ED0" w:rsidRDefault="00B73E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JMNU" w:val="1"/>
    <w:docVar w:name="COM2KEY" w:val="EMPL"/>
    <w:docVar w:name="COMKEY" w:val="AGRI"/>
    <w:docVar w:name="LastEditedSection" w:val=" 1"/>
    <w:docVar w:name="PROCMNU" w:val=" 1"/>
    <w:docVar w:name="RepeatBlock-AmendET"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05\fbidi \froman\fcharset238\fprq2 Times New Roman CE;}{\f306\fbidi \froman\fcharset204\fprq2 Times New Roman Cyr;}_x000d__x000a_{\f308\fbidi \froman\fcharset161\fprq2 Times New Roman Greek;}{\f309\fbidi \froman\fcharset162\fprq2 Times New Roman Tur;}{\f310\fbidi \froman\fcharset177\fprq2 Times New Roman (Hebrew);}{\f311\fbidi \froman\fcharset178\fprq2 Times New Roman (Arabic);}_x000d__x000a_{\f312\fbidi \froman\fcharset186\fprq2 Times New Roman Baltic;}{\f313\fbidi \froman\fcharset163\fprq2 Times New Roman (Vietnamese);}{\f315\fbidi \fswiss\fcharset238\fprq2 Arial CE;}{\f316\fbidi \fswiss\fcharset204\fprq2 Arial Cyr;}_x000d__x000a_{\f318\fbidi \fswiss\fcharset161\fprq2 Arial Greek;}{\f319\fbidi \fswiss\fcharset162\fprq2 Arial Tur;}{\f320\fbidi \fswiss\fcharset177\fprq2 Arial (Hebrew);}{\f321\fbidi \fswiss\fcharset178\fprq2 Arial (Arabic);}_x000d__x000a_{\f322\fbidi \fswiss\fcharset186\fprq2 Arial Baltic;}{\f323\fbidi \fswiss\fcharset163\fprq2 Arial (Vietnamese);}{\f645\fbidi \froman\fcharset238\fprq2 Cambria Math CE;}{\f646\fbidi \froman\fcharset204\fprq2 Cambria Math Cyr;}_x000d__x000a_{\f648\fbidi \froman\fcharset161\fprq2 Cambria Math Greek;}{\f649\fbidi \froman\fcharset162\fprq2 Cambria Math Tur;}{\f652\fbidi \froman\fcharset186\fprq2 Cambria Math Baltic;}{\f65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colortbl;\red0\green0\blue0;_x000d__x000a_\red0\green0\blue255;\red0\green255\blue255;\red0\green255\blue0;\red255\green0\blue255;\red255\green0\blue0;\red255\green255\blue0;\red255\green255\blue255;\red0\green0\blue128;\red0\green128\blue128;\red0\green128\blue0;\red128\green0\blue128;_x000d__x000a_\red128\green0\blue0;\red128\green128\blue0;\red128\green128\blue128;\red192\green192\blue192;\caccentone\ctint255\cshade191\red46\green116\blue181;}{\*\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styrsid7823322 Normal;}{\s1\ql \li0\ri0\sb240\keep\keepn\widctlpar\wrapdefault\aspalpha\aspnum\faauto\outlinelevel0\adjustright\rin0\lin0\itap0 \rtlch\fcs1 _x000d__x000a_\af31503\afs32\alang1025 \ltrch\fcs0 \fs32\cf17\lang2057\langfe2057\loch\f31502\hich\af31502\dbch\af31501\cgrid\langnp2057\langfenp2057 \sbasedon0 \snext0 \slink15 \ssemihidden \sqformat \spriority0 \styrsid223860 heading 1;}{\*\cs10 \additive _x000d__x000a_\ssemihidden \sunhideused \spriority1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15 \spriority0 \styrsid3439402 HideTWBInt;}{_x000d__x000a_\s18\ql \fi-567\li567\ri0\sa240\nowidctlpar\wrapdefault\aspalpha\aspnum\faauto\adjustright\rin0\lin567\itap0 \rtlch\fcs1 \af0\afs20\alang1025 \ltrch\fcs0 \fs24\lang1061\langfe2057\cgrid\langnp1061\langfenp2057 _x000d__x000a_\sbasedon0 \snext18 \spriority0 \styrsid3439402 NormalHanging12a;}}{\*\rsidtbl \rsid24658\rsid223860\rsid735077\rsid1718133\rsid2892074\rsid3439402\rsid3565327\rsid4666813\rsid6641733\rsid7823322\rsid9636012\rsid10377208\rsid11215221\rsid11549030_x000d__x000a_\rsid12154954\rsid14382809\rsid14424199\rsid15204470\rsid15285974\rsid15950462\rsid16017999\rsid16324206\rsid16662270}{\mmathPr\mmathFont34\mbrkBin0\mbrkBinSub0\msmallFrac0\mdispDef1\mlMargin0\mrMargin0\mdefJc1\mwrapIndent1440\mintLim0\mnaryLim1}{\info_x000d__x000a_{\author METS-GAMREKELI Egle}{\operator METS-GAMREKELI Egle}{\creatim\yr2020\mo4\dy2\hr13\min5}{\revtim\yr2020\mo4\dy2\hr13\min5}{\version1}{\edmins0}{\nofpages1}{\nofwords1}{\nofchars12}{\nofcharsws12}{\vern57447}}{\*\xmlnstbl {\xmlns1 http://schemas.mic_x000d__x000a_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3439402\newtblstyruls\nogrowautofit\usenormstyforlist\noindnmbrts\felnbrelev\nocxsptable\indrlsweleven\noafcnsttbl\afelev\utinl\hwelev\spltpgpar\notcvasp\notbrkcnstfrctbl\notvatxbx\krnprsnet\cachedcolbal _x000d__x000a_\nouicompat \fet0{\*\wgrffmtfilter 013f}\nofeaturethrottle1\ilfomacatclnup0{\*\template D:\\USERS\\emets\\AppData\\Local\\Temp\\Blank1.dotx}{\*\ftnsep \ltrpar \pard\plain \ltrpar_x000d__x000a_\ql \li0\ri0\widctlpar\wrapdefault\aspalpha\aspnum\faauto\adjustright\rin0\lin0\itap0 \rtlch\fcs1 \af0\afs20\alang1025 \ltrch\fcs0 \fs24\lang2057\langfe2057\cgrid\langnp2057\langfenp2057 {\rtlch\fcs1 \af0 \ltrch\fcs0 \insrsid16017999 \chftnsep _x000d__x000a_\par }}{\*\ftnsepc \ltrpar \pard\plain \ltrpar\ql \li0\ri0\widctlpar\wrapdefault\aspalpha\aspnum\faauto\adjustright\rin0\lin0\itap0 \rtlch\fcs1 \af0\afs20\alang1025 \ltrch\fcs0 \fs24\lang2057\langfe2057\cgrid\langnp2057\langfenp2057 {\rtlch\fcs1 \af0 _x000d__x000a_\ltrch\fcs0 \insrsid16017999 \chftnsepc _x000d__x000a_\par }}{\*\aftnsep \ltrpar \pard\plain \ltrpar\ql \li0\ri0\widctlpar\wrapdefault\aspalpha\aspnum\faauto\adjustright\rin0\lin0\itap0 \rtlch\fcs1 \af0\afs20\alang1025 \ltrch\fcs0 \fs24\lang2057\langfe2057\cgrid\langnp2057\langfenp2057 {\rtlch\fcs1 \af0 _x000d__x000a_\ltrch\fcs0 \insrsid16017999 \chftnsep _x000d__x000a_\par }}{\*\aftnsepc \ltrpar \pard\plain \ltrpar\ql \li0\ri0\widctlpar\wrapdefault\aspalpha\aspnum\faauto\adjustright\rin0\lin0\itap0 \rtlch\fcs1 \af0\afs20\alang1025 \ltrch\fcs0 \fs24\lang2057\langfe2057\cgrid\langnp2057\langfenp2057 {\rtlch\fcs1 \af0 _x000d__x000a_\ltrch\fcs0 \insrsid16017999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8\ql \fi-567\li567\ri0\sa240\nowidctlpar\wrapdefault\aspalpha\aspnum\faauto\adjustright\rin0\lin567\itap0\pararsid3439402 \rtlch\fcs1 \af0\afs20\alang1025 \ltrch\fcs0 \fs24\lang1061\langfe2057\cgrid\langnp1061\langfenp2057 {\rtlch\fcs1 \af0 _x000d__x000a_\ltrch\fcs0 \insrsid3439402\charrsid4539981 {\*\bkmkstart restart}#}{\rtlch\fcs1 \af1 \ltrch\fcs0 \cs17\v\f1\fs20\cf15\insrsid3439402\charrsid4539981 NRMSG}{\rtlch\fcs1 \af0 \ltrch\fcs0 \insrsid3439402\charrsid4539981 #.\tab ##_x000d__x000a_\par }\pard\plain \ltrpar\ql \li0\ri0\widctlpar\wrapdefault\aspalpha\aspnum\faauto\adjustright\rin0\lin0\itap0\pararsid16324206 \rtlch\fcs1 \af0\afs20\alang1025 \ltrch\fcs0 \fs24\lang2057\langfe2057\cgrid\langnp2057\langfenp2057 {\rtlch\fcs1 \af0 \ltrch\fcs0 _x000d__x000a_\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ec_x000d__x000a_4893de08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276\fbidi \froman\fcharset238\fprq2 Times New Roman CE;}_x000d__x000a_{\f277\fbidi \froman\fcharset204\fprq2 Times New Roman Cyr;}{\f279\fbidi \froman\fcharset161\fprq2 Times New Roman Greek;}{\f280\fbidi \froman\fcharset162\fprq2 Times New Roman Tur;}{\f281\fbidi \froman\fcharset177\fprq2 Times New Roman (Hebrew);}_x000d__x000a_{\f282\fbidi \froman\fcharset178\fprq2 Times New Roman (Arabic);}{\f283\fbidi \froman\fcharset186\fprq2 Times New Roman Baltic;}{\f284\fbidi \froman\fcharset163\fprq2 Times New Roman (Vietnamese);}{\f616\fbidi \froman\fcharset238\fprq2 Cambria Math CE;}_x000d__x000a_{\f617\fbidi \froman\fcharset204\fprq2 Cambria Math Cyr;}{\f619\fbidi \froman\fcharset161\fprq2 Cambria Math Greek;}{\f620\fbidi \froman\fcharset162\fprq2 Cambria Math Tur;}{\f623\fbidi \froman\fcharset186\fprq2 Cambria Math Baltic;}_x000d__x000a_{\f624\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3\fbidi \fswiss\fcharset177\fprq2 Calibri (Hebrew);}_x000d__x000a_{\fhiminor\f31574\fbidi \fswiss\fcharset178\fprq2 Calibri (Arabic);}{\fhiminor\f31575\fbidi \fswiss\fcharset186\fprq2 Calibri Baltic;}{\fhiminor\f31576\fbidi \fswiss\fcharset163\fprq2 Calibri (Vietnamese);}_x000d__x000a_{\fbiminor\f31578\fbidi \froman\fcharset238\fprq2 Times New Roman CE;}{\fbiminor\f31579\fbidi \froman\fcharset204\fprq2 Times New Roman Cyr;}{\fbiminor\f31581\fbidi \froman\fcharset161\fprq2 Times New Roman Greek;}_x000d__x000a_{\fbiminor\f31582\fbidi \froman\fcharset162\fprq2 Times New Roman Tur;}{\fbiminor\f31583\fbidi \froman\fcharset177\fprq2 Times New Roman (Hebrew);}{\fbiminor\f31584\fbidi \froman\fcharset178\fprq2 Times New Roman (Arabic);}_x000d__x000a_{\fbiminor\f31585\fbidi \froman\fcharset186\fprq2 Times New Roman Baltic;}{\fbiminor\f31586\fbidi \froman\fcharset163\fprq2 Times New Roman (Vietnamese);}}{\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defchp }{\*\defpap \ql \li0\ri0\widctlpar\wrapdefault\aspalpha\aspnum\faauto\adjustright\rin0\lin0\itap0 }\noqfpromote {\stylesheet{\ql \li0\ri0\widctlpar\wrapdefault\aspalpha\aspnum\faauto\adjustright\rin0\lin0\itap0 _x000d__x000a_\rtlch\fcs1 \af0\afs20\alang1025 \ltrch\fcs0 \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s15\ql \fi-567\li567\ri0\sa240\nowidctlpar\wrapdefault\aspalpha\aspnum\faauto\adjustright\rin0\lin567\itap0 \rtlch\fcs1 \af0\afs20\alang1025 \ltrch\fcs0 \fs24\lang2057\langfe2057\cgrid\langnp2057\langfenp2057 _x000d__x000a_\sbasedon0 \snext15 \spriority0 \styrsid2039872 NormalHanging12a;}}{\*\rsidtbl \rsid24658\rsid358857\rsid735077\rsid787282\rsid2039872\rsid2892074\rsid3622648\rsid4666813\rsid5708216\rsid6641733\rsid7368735\rsid7553164\rsid8465581\rsid8681905\rsid8724649_x000d__x000a_\rsid9636012\rsid9862312\rsid11215221\rsid11370291\rsid11434737\rsid11607138\rsid11824949\rsid12154954\rsid14424199\rsid15204470\rsid15285974\rsid15535219\rsid15950462\rsid16324206\rsid16662270}{\mmathPr\mmathFont34\mbrkBin0\mbrkBinSub0\msmallFrac0_x000d__x000a_\mdispDef1\mlMargin0\mrMargin0\mdefJc1\mwrapIndent1440\mintLim0\mnaryLim1}{\info{\author FELIX Karina}{\operator FELIX Karina}{\creatim\yr2019\mo7\dy4\hr16\min16}{\revtim\yr2019\mo7\dy4\hr16\min16}{\version1}{\edmins0}{\nofpages1}{\nofwords5}{\nofchars30}_x000d__x000a_{\*\company European Parliament}{\nofcharsws34}{\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2039872\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736873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7368735 \chftnsepc _x000d__x000a_\par }}{\*\aftnsep \ltrpar \pard\plain \ltrpar\ql \li0\ri0\widctlpar\wrapdefault\aspalpha\aspnum\faauto\adjustright\rin0\lin0\itap0 \rtlch\fcs1 \af0\afs20\alang1025 \ltrch\fcs0 \fs24\lang2057\langfe2057\cgrid\langnp2057\langfenp2057 {\rtlch\fcs1 \af0 _x000d__x000a_\ltrch\fcs0 \insrsid7368735 \chftnsep _x000d__x000a_\par }}{\*\aftnsepc \ltrpar \pard\plain \ltrpar\ql \li0\ri0\widctlpar\wrapdefault\aspalpha\aspnum\faauto\adjustright\rin0\lin0\itap0 \rtlch\fcs1 \af0\afs20\alang1025 \ltrch\fcs0 \fs24\lang2057\langfe2057\cgrid\langnp2057\langfenp2057 {\rtlch\fcs1 \af0 _x000d__x000a_\ltrch\fcs0 \insrsid7368735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5\ql \fi-567\li567\ri0\sa240\nowidctlpar\wrapdefault\aspalpha\aspnum\faauto\adjustright\rin0\lin567\itap0\pararsid2039872 \rtlch\fcs1 \af0\afs20\alang1025 \ltrch\fcs0 \fs24\lang2057\langfe2057\cgrid\langnp2057\langfenp2057 {\rtlch\fcs1 \af0 _x000d__x000a_\ltrch\fcs0 \insrsid2039872\charrsid1525456 {\*\bkmkstart restart}[ZSUGGESTIONNR]\tab [ZSUGGESTIONTEX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50_x000d__x000a_f70c733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202"/>
    <w:docVar w:name="TXTLANGUE" w:val="ET"/>
    <w:docVar w:name="TXTLANGUEMIN" w:val="et"/>
    <w:docVar w:name="TXTNRPE" w:val="648.630"/>
    <w:docVar w:name="TXTNRPROC" w:val="2020/2007"/>
    <w:docVar w:name="TXTPEorAP" w:val="PE"/>
    <w:docVar w:name="TXTROUTE" w:val="PA\1202015ET.docx"/>
    <w:docVar w:name="TXTTITLE" w:val=" on impacts of EU rules on the free movements of workers and services: intra-EU labour mobility as a tool to match labour market needs and skills "/>
    <w:docVar w:name="TXTVERSION" w:val="01-00"/>
  </w:docVars>
  <w:rsids>
    <w:rsidRoot w:val="0045464D"/>
    <w:rsid w:val="000E7EBF"/>
    <w:rsid w:val="00124F60"/>
    <w:rsid w:val="00135121"/>
    <w:rsid w:val="00140BE6"/>
    <w:rsid w:val="00147F4E"/>
    <w:rsid w:val="00160320"/>
    <w:rsid w:val="0016635E"/>
    <w:rsid w:val="001746D0"/>
    <w:rsid w:val="001B7393"/>
    <w:rsid w:val="001D2ED9"/>
    <w:rsid w:val="002D28A7"/>
    <w:rsid w:val="002E2F2E"/>
    <w:rsid w:val="002E6F98"/>
    <w:rsid w:val="00325BCB"/>
    <w:rsid w:val="00331944"/>
    <w:rsid w:val="00332AD9"/>
    <w:rsid w:val="00347D2C"/>
    <w:rsid w:val="0037356F"/>
    <w:rsid w:val="00390EB2"/>
    <w:rsid w:val="00396A0E"/>
    <w:rsid w:val="003E2402"/>
    <w:rsid w:val="0045464D"/>
    <w:rsid w:val="00466763"/>
    <w:rsid w:val="004B0088"/>
    <w:rsid w:val="004C28FB"/>
    <w:rsid w:val="004C44C0"/>
    <w:rsid w:val="0052544E"/>
    <w:rsid w:val="00544869"/>
    <w:rsid w:val="005940C3"/>
    <w:rsid w:val="00594C48"/>
    <w:rsid w:val="005B2F11"/>
    <w:rsid w:val="005C0BDF"/>
    <w:rsid w:val="005D60C6"/>
    <w:rsid w:val="006102E7"/>
    <w:rsid w:val="00616196"/>
    <w:rsid w:val="00640C1B"/>
    <w:rsid w:val="00657AFB"/>
    <w:rsid w:val="006D5BF7"/>
    <w:rsid w:val="008313E7"/>
    <w:rsid w:val="008A32C5"/>
    <w:rsid w:val="008C6203"/>
    <w:rsid w:val="008D61E7"/>
    <w:rsid w:val="008F7002"/>
    <w:rsid w:val="0099493F"/>
    <w:rsid w:val="00A16BEA"/>
    <w:rsid w:val="00A312B3"/>
    <w:rsid w:val="00A72C35"/>
    <w:rsid w:val="00AE180F"/>
    <w:rsid w:val="00B362F7"/>
    <w:rsid w:val="00B5456B"/>
    <w:rsid w:val="00B73ED0"/>
    <w:rsid w:val="00B74B53"/>
    <w:rsid w:val="00BC26E4"/>
    <w:rsid w:val="00BD1EAA"/>
    <w:rsid w:val="00C52739"/>
    <w:rsid w:val="00C827FF"/>
    <w:rsid w:val="00CD34AC"/>
    <w:rsid w:val="00DE19FF"/>
    <w:rsid w:val="00E81BA6"/>
    <w:rsid w:val="00E856D2"/>
    <w:rsid w:val="00E929A7"/>
    <w:rsid w:val="00F02A5C"/>
    <w:rsid w:val="00F64F04"/>
    <w:rsid w:val="00FC6460"/>
    <w:rsid w:val="00FD0D14"/>
    <w:rsid w:val="00FD4BC4"/>
    <w:rsid w:val="00FF4B50"/>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36E4BCE1-20D0-4931-90F6-BA2D5548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944"/>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paragraph" w:styleId="TOC1">
    <w:name w:val="toc 1"/>
    <w:basedOn w:val="Normal12a"/>
    <w:next w:val="Normal12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NotTOC">
    <w:name w:val="PageHeadingNotTOC"/>
    <w:basedOn w:val="Normal"/>
    <w:pPr>
      <w:keepNext/>
      <w:spacing w:after="480"/>
      <w:jc w:val="center"/>
    </w:pPr>
    <w:rPr>
      <w:rFonts w:ascii="Arial" w:hAnsi="Arial" w:cs="Arial"/>
      <w:b/>
    </w:rPr>
  </w:style>
  <w:style w:type="paragraph" w:customStyle="1" w:styleId="EPName">
    <w:name w:val="EPName"/>
    <w:basedOn w:val="Normal"/>
    <w:rsid w:val="00E856D2"/>
    <w:pPr>
      <w:spacing w:before="80" w:after="80"/>
    </w:pPr>
    <w:rPr>
      <w:rFonts w:ascii="Arial Narrow" w:hAnsi="Arial Narrow" w:cs="Arial"/>
      <w:b/>
      <w:sz w:val="32"/>
      <w:szCs w:val="22"/>
    </w:rPr>
  </w:style>
  <w:style w:type="paragraph" w:customStyle="1" w:styleId="CoverNormal24a">
    <w:name w:val="CoverNormal24a"/>
    <w:basedOn w:val="Normal"/>
    <w:rsid w:val="00347D2C"/>
    <w:pPr>
      <w:spacing w:after="480"/>
      <w:ind w:left="1417"/>
    </w:pPr>
  </w:style>
  <w:style w:type="paragraph" w:customStyle="1" w:styleId="CoverNormal">
    <w:name w:val="CoverNormal"/>
    <w:basedOn w:val="Normal"/>
    <w:pPr>
      <w:ind w:left="1418"/>
    </w:pPr>
  </w:style>
  <w:style w:type="paragraph" w:styleId="Header">
    <w:name w:val="header"/>
    <w:basedOn w:val="Normal"/>
    <w:link w:val="HeaderChar"/>
    <w:semiHidden/>
    <w:rsid w:val="005C0BDF"/>
    <w:pPr>
      <w:tabs>
        <w:tab w:val="center" w:pos="4513"/>
        <w:tab w:val="right" w:pos="9026"/>
      </w:tabs>
    </w:pPr>
  </w:style>
  <w:style w:type="paragraph" w:customStyle="1" w:styleId="CoverReference">
    <w:name w:val="CoverReference"/>
    <w:basedOn w:val="Normal"/>
    <w:rsid w:val="00E81BA6"/>
    <w:pPr>
      <w:spacing w:before="1080"/>
      <w:jc w:val="right"/>
    </w:pPr>
    <w:rPr>
      <w:rFonts w:ascii="Arial" w:hAnsi="Arial" w:cs="Arial"/>
      <w:b/>
    </w:rPr>
  </w:style>
  <w:style w:type="paragraph" w:customStyle="1" w:styleId="CoverDocType24a">
    <w:name w:val="CoverDocType24a"/>
    <w:basedOn w:val="Normal"/>
    <w:rsid w:val="00347D2C"/>
    <w:pPr>
      <w:spacing w:after="480"/>
      <w:ind w:left="1418"/>
    </w:pPr>
    <w:rPr>
      <w:rFonts w:ascii="Arial" w:hAnsi="Arial"/>
      <w:b/>
      <w:sz w:val="48"/>
    </w:rPr>
  </w:style>
  <w:style w:type="paragraph" w:customStyle="1" w:styleId="CoverDate">
    <w:name w:val="CoverDate"/>
    <w:basedOn w:val="Normal"/>
    <w:pPr>
      <w:spacing w:before="240"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1746D0"/>
    <w:pPr>
      <w:jc w:val="center"/>
    </w:pPr>
    <w:rPr>
      <w:rFonts w:ascii="Arial" w:hAnsi="Arial" w:cs="Arial"/>
      <w:i/>
      <w:sz w:val="22"/>
      <w:szCs w:val="22"/>
    </w:rPr>
  </w:style>
  <w:style w:type="paragraph" w:customStyle="1" w:styleId="LineTop">
    <w:name w:val="LineTop"/>
    <w:basedOn w:val="Normal"/>
    <w:next w:val="Normal"/>
    <w:rsid w:val="001746D0"/>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1746D0"/>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customStyle="1" w:styleId="NormalHanging12a">
    <w:name w:val="NormalHanging12a"/>
    <w:basedOn w:val="Normal"/>
    <w:rsid w:val="008313E7"/>
    <w:pPr>
      <w:spacing w:after="240"/>
      <w:ind w:left="567" w:hanging="567"/>
    </w:pPr>
  </w:style>
  <w:style w:type="paragraph" w:customStyle="1" w:styleId="EPFooter">
    <w:name w:val="EPFooter"/>
    <w:basedOn w:val="Normal"/>
    <w:rsid w:val="00347D2C"/>
    <w:pPr>
      <w:tabs>
        <w:tab w:val="center" w:pos="4535"/>
        <w:tab w:val="right" w:pos="9071"/>
      </w:tabs>
      <w:spacing w:before="240" w:after="240"/>
    </w:pPr>
    <w:rPr>
      <w:sz w:val="22"/>
    </w:rPr>
  </w:style>
  <w:style w:type="character" w:customStyle="1" w:styleId="HeaderChar">
    <w:name w:val="Header Char"/>
    <w:basedOn w:val="DefaultParagraphFont"/>
    <w:link w:val="Header"/>
    <w:semiHidden/>
    <w:rsid w:val="005C0BDF"/>
    <w:rPr>
      <w:sz w:val="24"/>
    </w:rPr>
  </w:style>
  <w:style w:type="paragraph" w:styleId="FootnoteText">
    <w:name w:val="footnote text"/>
    <w:basedOn w:val="Normal"/>
    <w:link w:val="FootnoteTextChar"/>
    <w:rsid w:val="00160320"/>
    <w:rPr>
      <w:sz w:val="20"/>
    </w:rPr>
  </w:style>
  <w:style w:type="character" w:customStyle="1" w:styleId="FootnoteTextChar">
    <w:name w:val="Footnote Text Char"/>
    <w:basedOn w:val="DefaultParagraphFont"/>
    <w:link w:val="FootnoteText"/>
    <w:rsid w:val="00160320"/>
  </w:style>
  <w:style w:type="character" w:styleId="FootnoteReference">
    <w:name w:val="footnote reference"/>
    <w:basedOn w:val="DefaultParagraphFont"/>
    <w:rsid w:val="00160320"/>
    <w:rPr>
      <w:vertAlign w:val="superscript"/>
    </w:rPr>
  </w:style>
  <w:style w:type="paragraph" w:styleId="Footer">
    <w:name w:val="footer"/>
    <w:basedOn w:val="Normal"/>
    <w:link w:val="FooterChar"/>
    <w:semiHidden/>
    <w:rsid w:val="004B0088"/>
    <w:pPr>
      <w:tabs>
        <w:tab w:val="center" w:pos="4536"/>
        <w:tab w:val="right" w:pos="9072"/>
      </w:tabs>
    </w:pPr>
  </w:style>
  <w:style w:type="character" w:customStyle="1" w:styleId="FooterChar">
    <w:name w:val="Footer Char"/>
    <w:basedOn w:val="DefaultParagraphFont"/>
    <w:link w:val="Footer"/>
    <w:semiHidden/>
    <w:rsid w:val="004B008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72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F188F138.dotm</Template>
  <TotalTime>0</TotalTime>
  <Pages>4</Pages>
  <Words>339</Words>
  <Characters>2741</Characters>
  <Application>Microsoft Office Word</Application>
  <DocSecurity>0</DocSecurity>
  <Lines>124</Lines>
  <Paragraphs>47</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METS-GAMREKELI Egle</dc:creator>
  <cp:keywords/>
  <dc:description/>
  <cp:lastModifiedBy>LEVERTAND Reet</cp:lastModifiedBy>
  <cp:revision>2</cp:revision>
  <cp:lastPrinted>2004-10-28T10:33:00Z</cp:lastPrinted>
  <dcterms:created xsi:type="dcterms:W3CDTF">2020-04-20T08:12:00Z</dcterms:created>
  <dcterms:modified xsi:type="dcterms:W3CDTF">2020-04-20T08:12:00Z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9.8.0 Build [20191010]</vt:lpwstr>
  </property>
  <property fmtid="{D5CDD505-2E9C-101B-9397-08002B2CF9AE}" pid="3" name="LastEdited with">
    <vt:lpwstr>9.8.0 Build [20191010]</vt:lpwstr>
  </property>
  <property fmtid="{D5CDD505-2E9C-101B-9397-08002B2CF9AE}" pid="4" name="&lt;FdR&gt;">
    <vt:lpwstr>1202015</vt:lpwstr>
  </property>
  <property fmtid="{D5CDD505-2E9C-101B-9397-08002B2CF9AE}" pid="5" name="&lt;Type&gt;">
    <vt:lpwstr>PA</vt:lpwstr>
  </property>
  <property fmtid="{D5CDD505-2E9C-101B-9397-08002B2CF9AE}" pid="6" name="&lt;ModelCod&gt;">
    <vt:lpwstr>\\eiciLUXpr1\pdocep$\DocEP\DOCS\General\PA\PA_NonLeg.dotx(15/10/2019 07:17:18)</vt:lpwstr>
  </property>
  <property fmtid="{D5CDD505-2E9C-101B-9397-08002B2CF9AE}" pid="7" name="&lt;ModelTra&gt;">
    <vt:lpwstr>\\eiciLUXpr1\pdocep$\DocEP\TRANSFIL\ET\PA_NonLeg.ET(26/09/2019 14:51:03)</vt:lpwstr>
  </property>
  <property fmtid="{D5CDD505-2E9C-101B-9397-08002B2CF9AE}" pid="8" name="&lt;Model&gt;">
    <vt:lpwstr>PA_NonLeg</vt:lpwstr>
  </property>
  <property fmtid="{D5CDD505-2E9C-101B-9397-08002B2CF9AE}" pid="9" name="FooterPath">
    <vt:lpwstr>PA\1202015ET.docx</vt:lpwstr>
  </property>
  <property fmtid="{D5CDD505-2E9C-101B-9397-08002B2CF9AE}" pid="10" name="PE number">
    <vt:lpwstr>648.630</vt:lpwstr>
  </property>
  <property fmtid="{D5CDD505-2E9C-101B-9397-08002B2CF9AE}" pid="11" name="SDLStudio">
    <vt:lpwstr/>
  </property>
  <property fmtid="{D5CDD505-2E9C-101B-9397-08002B2CF9AE}" pid="12" name="&lt;Extension&gt;">
    <vt:lpwstr>ET</vt:lpwstr>
  </property>
  <property fmtid="{D5CDD505-2E9C-101B-9397-08002B2CF9AE}" pid="13" name="Bookout">
    <vt:lpwstr>OK - 2020/04/20 10:10</vt:lpwstr>
  </property>
  <property fmtid="{D5CDD505-2E9C-101B-9397-08002B2CF9AE}" pid="14" name="SubscribeElise">
    <vt:lpwstr/>
  </property>
</Properties>
</file>