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94922" w:rsidRPr="00901A19" w14:paraId="1230DD18" w14:textId="77777777" w:rsidTr="009A1B70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850541C" w14:textId="77777777" w:rsidR="00494922" w:rsidRPr="00901A19" w:rsidRDefault="00D127FF" w:rsidP="009A1B70">
            <w:pPr>
              <w:pStyle w:val="EPName"/>
            </w:pPr>
            <w:r w:rsidRPr="00901A19">
              <w:t>Parlamentul European</w:t>
            </w:r>
          </w:p>
          <w:p w14:paraId="6CB7B46C" w14:textId="77777777" w:rsidR="00494922" w:rsidRPr="00901A19" w:rsidRDefault="0068641F" w:rsidP="0068641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01A19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E9195E8" w14:textId="2F329710" w:rsidR="00494922" w:rsidRPr="00901A19" w:rsidRDefault="004F48CC" w:rsidP="009A1B70">
            <w:pPr>
              <w:pStyle w:val="EPLogo"/>
            </w:pPr>
            <w:r w:rsidRPr="00901A19">
              <w:rPr>
                <w:lang w:val="en-GB" w:eastAsia="en-GB" w:bidi="ar-SA"/>
              </w:rPr>
              <w:drawing>
                <wp:inline distT="0" distB="0" distL="0" distR="0" wp14:anchorId="62A7AAB9" wp14:editId="3BB87A24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EA633" w14:textId="77777777" w:rsidR="000C7B89" w:rsidRPr="00901A19" w:rsidRDefault="000C7B89" w:rsidP="000C7B89">
      <w:pPr>
        <w:pStyle w:val="LineTop"/>
      </w:pPr>
    </w:p>
    <w:p w14:paraId="1C5AF37B" w14:textId="0140E811" w:rsidR="000C7B89" w:rsidRPr="00901A19" w:rsidRDefault="0068641F" w:rsidP="000C7B89">
      <w:pPr>
        <w:pStyle w:val="ZSessionDoc"/>
      </w:pPr>
      <w:r w:rsidRPr="00901A19">
        <w:t xml:space="preserve">Document de </w:t>
      </w:r>
      <w:r w:rsidR="006514A8">
        <w:t>ș</w:t>
      </w:r>
      <w:r w:rsidRPr="00901A19">
        <w:t>edin</w:t>
      </w:r>
      <w:r w:rsidR="006514A8">
        <w:t>ț</w:t>
      </w:r>
      <w:r w:rsidRPr="00901A19">
        <w:t>ă</w:t>
      </w:r>
    </w:p>
    <w:p w14:paraId="683B8063" w14:textId="77777777" w:rsidR="004B2734" w:rsidRPr="00901A19" w:rsidRDefault="004B2734" w:rsidP="004B2734">
      <w:pPr>
        <w:pStyle w:val="LineBottom"/>
      </w:pPr>
    </w:p>
    <w:p w14:paraId="4DB9337A" w14:textId="0B555C15" w:rsidR="004B2734" w:rsidRPr="00901A19" w:rsidRDefault="004B2734" w:rsidP="004B2734">
      <w:pPr>
        <w:pStyle w:val="RefProc"/>
      </w:pPr>
      <w:r w:rsidRPr="00901A19">
        <w:rPr>
          <w:rStyle w:val="HideTWBExt"/>
          <w:b w:val="0"/>
          <w:noProof w:val="0"/>
        </w:rPr>
        <w:t>&lt;NoDocSe&gt;</w:t>
      </w:r>
      <w:r w:rsidRPr="00901A19">
        <w:t>B8-1088/2016</w:t>
      </w:r>
      <w:r w:rsidRPr="00901A19">
        <w:rPr>
          <w:rStyle w:val="HideTWBExt"/>
          <w:b w:val="0"/>
          <w:noProof w:val="0"/>
        </w:rPr>
        <w:t>&lt;/NoDocSe&gt;</w:t>
      </w:r>
    </w:p>
    <w:p w14:paraId="54F89D2B" w14:textId="6FC85549" w:rsidR="004B2734" w:rsidRPr="00901A19" w:rsidRDefault="004B2734" w:rsidP="004B2734">
      <w:pPr>
        <w:pStyle w:val="ZDate"/>
      </w:pPr>
      <w:r w:rsidRPr="00901A19">
        <w:rPr>
          <w:rStyle w:val="HideTWBExt"/>
          <w:noProof w:val="0"/>
        </w:rPr>
        <w:t>&lt;Date&gt;</w:t>
      </w:r>
      <w:r w:rsidRPr="00901A19">
        <w:rPr>
          <w:rStyle w:val="HideTWBInt"/>
        </w:rPr>
        <w:t>{03/10/2016}</w:t>
      </w:r>
      <w:r w:rsidRPr="00901A19">
        <w:t>3.10.2016</w:t>
      </w:r>
      <w:r w:rsidRPr="00901A19">
        <w:rPr>
          <w:rStyle w:val="HideTWBExt"/>
          <w:noProof w:val="0"/>
        </w:rPr>
        <w:t>&lt;/Date&gt;</w:t>
      </w:r>
    </w:p>
    <w:p w14:paraId="60B27042" w14:textId="4F0324AE" w:rsidR="00211FEF" w:rsidRPr="00901A19" w:rsidRDefault="00211FEF" w:rsidP="00211FEF">
      <w:pPr>
        <w:pStyle w:val="TypeDoc"/>
      </w:pPr>
      <w:r w:rsidRPr="00901A19">
        <w:rPr>
          <w:rStyle w:val="HideTWBExt"/>
          <w:b w:val="0"/>
          <w:noProof w:val="0"/>
        </w:rPr>
        <w:t>&lt;TitreType&gt;</w:t>
      </w:r>
      <w:r w:rsidRPr="00901A19">
        <w:t>PROPUNERE DE REZOLU</w:t>
      </w:r>
      <w:r w:rsidR="006514A8">
        <w:t>Ț</w:t>
      </w:r>
      <w:r w:rsidRPr="00901A19">
        <w:t>IE</w:t>
      </w:r>
      <w:r w:rsidRPr="00901A19">
        <w:rPr>
          <w:rStyle w:val="HideTWBExt"/>
          <w:b w:val="0"/>
          <w:noProof w:val="0"/>
        </w:rPr>
        <w:t>&lt;/TitreType&gt;</w:t>
      </w:r>
    </w:p>
    <w:p w14:paraId="3889748F" w14:textId="65DC5099" w:rsidR="00211FEF" w:rsidRPr="00901A19" w:rsidRDefault="00211FEF" w:rsidP="00211FEF">
      <w:pPr>
        <w:pStyle w:val="Cover12"/>
      </w:pPr>
      <w:r w:rsidRPr="00901A19">
        <w:rPr>
          <w:rStyle w:val="HideTWBExt"/>
          <w:noProof w:val="0"/>
        </w:rPr>
        <w:t>&lt;TitreRecueil&gt;</w:t>
      </w:r>
      <w:r w:rsidRPr="00901A19">
        <w:t xml:space="preserve">depusă în conformitate cu articolul 106 alineatele (2) </w:t>
      </w:r>
      <w:r w:rsidR="006514A8">
        <w:t>ș</w:t>
      </w:r>
      <w:r w:rsidRPr="00901A19">
        <w:t>i (3) din Regulamentul de procedură</w:t>
      </w:r>
      <w:r w:rsidRPr="00901A19">
        <w:rPr>
          <w:rStyle w:val="HideTWBExt"/>
          <w:noProof w:val="0"/>
        </w:rPr>
        <w:t>&lt;/TitreRecueil&gt;</w:t>
      </w:r>
    </w:p>
    <w:p w14:paraId="0C4970F6" w14:textId="10BF7C0F" w:rsidR="00211FEF" w:rsidRPr="00901A19" w:rsidRDefault="00211FEF" w:rsidP="00211FEF">
      <w:pPr>
        <w:pStyle w:val="CoverNormal"/>
      </w:pPr>
      <w:r w:rsidRPr="00901A19">
        <w:rPr>
          <w:rStyle w:val="HideTWBExt"/>
          <w:noProof w:val="0"/>
        </w:rPr>
        <w:t>&lt;Titre&gt;</w:t>
      </w:r>
      <w:r w:rsidRPr="00901A19">
        <w:t>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>in, constau în sau sunt fabricate din bumbac</w:t>
      </w:r>
      <w:bookmarkStart w:id="0" w:name="_GoBack"/>
      <w:bookmarkEnd w:id="0"/>
      <w:r w:rsidRPr="00901A19">
        <w:t xml:space="preserve"> modificat genetic 281-24-236 × 3006-210-23 × MON 88913 (DAS-24236-5×DAS-21Ø23-5×MON-88913-8), în temeiul Regulamentului (CE) nr. 1829/2003 al Parlamentului European </w:t>
      </w:r>
      <w:r w:rsidR="006514A8">
        <w:t>ș</w:t>
      </w:r>
      <w:r w:rsidRPr="00901A19">
        <w:t>i al Consiliului</w:t>
      </w:r>
      <w:r w:rsidRPr="00901A19">
        <w:rPr>
          <w:rStyle w:val="HideTWBExt"/>
          <w:noProof w:val="0"/>
        </w:rPr>
        <w:t>&lt;/Titre&gt;</w:t>
      </w:r>
    </w:p>
    <w:p w14:paraId="787F4D21" w14:textId="77777777" w:rsidR="00211FEF" w:rsidRPr="00901A19" w:rsidRDefault="00211FEF" w:rsidP="00F67498">
      <w:pPr>
        <w:pStyle w:val="Cover24"/>
      </w:pPr>
      <w:r w:rsidRPr="00901A19">
        <w:rPr>
          <w:rStyle w:val="HideTWBExt"/>
          <w:noProof w:val="0"/>
        </w:rPr>
        <w:t>&lt;DocRef&gt;</w:t>
      </w:r>
      <w:r w:rsidRPr="00901A19">
        <w:t>(D046168/00 – 2016/2923(RSP))</w:t>
      </w:r>
      <w:r w:rsidRPr="00901A19">
        <w:rPr>
          <w:rStyle w:val="HideTWBExt"/>
          <w:noProof w:val="0"/>
        </w:rPr>
        <w:t>&lt;/DocRef&gt;</w:t>
      </w:r>
    </w:p>
    <w:p w14:paraId="22E1C4B0" w14:textId="7D4C6D27" w:rsidR="0068641F" w:rsidRPr="00901A19" w:rsidRDefault="00B05174" w:rsidP="00441432">
      <w:pPr>
        <w:pStyle w:val="Cover24"/>
      </w:pPr>
      <w:r w:rsidRPr="00901A19">
        <w:t xml:space="preserve">depusă de: </w:t>
      </w:r>
      <w:r w:rsidRPr="00901A19">
        <w:rPr>
          <w:rStyle w:val="HideTWBExt"/>
          <w:noProof w:val="0"/>
        </w:rPr>
        <w:t>&lt;Depute&gt;</w:t>
      </w:r>
      <w:r w:rsidRPr="00901A19">
        <w:t>Bart Staes, Lynn Boylan, Guillaume Balas, Sirpa Pietikäinen, Eleonora Evi</w:t>
      </w:r>
      <w:r w:rsidRPr="00901A19">
        <w:rPr>
          <w:rStyle w:val="HideTWBExt"/>
          <w:noProof w:val="0"/>
        </w:rPr>
        <w:t>&lt;/Depute&gt;</w:t>
      </w:r>
    </w:p>
    <w:p w14:paraId="2D28452C" w14:textId="32B061C7" w:rsidR="003340B3" w:rsidRPr="00901A19" w:rsidRDefault="003340B3" w:rsidP="003340B3">
      <w:pPr>
        <w:pStyle w:val="CoverBold24"/>
      </w:pPr>
      <w:r w:rsidRPr="00901A19">
        <w:rPr>
          <w:rStyle w:val="HideTWBExt"/>
          <w:b w:val="0"/>
          <w:noProof w:val="0"/>
        </w:rPr>
        <w:t>&lt;Commission&gt;</w:t>
      </w:r>
      <w:r w:rsidRPr="00901A19">
        <w:rPr>
          <w:rStyle w:val="HideTWBInt"/>
        </w:rPr>
        <w:t>{ENVI}</w:t>
      </w:r>
      <w:r w:rsidRPr="00901A19">
        <w:t xml:space="preserve">Comisia pentru mediu, sănătate publică </w:t>
      </w:r>
      <w:r w:rsidR="006514A8">
        <w:t>ș</w:t>
      </w:r>
      <w:r w:rsidRPr="00901A19">
        <w:t>i siguran</w:t>
      </w:r>
      <w:r w:rsidR="006514A8">
        <w:t>ț</w:t>
      </w:r>
      <w:r w:rsidRPr="00901A19">
        <w:t>ă alimentară</w:t>
      </w:r>
      <w:r w:rsidRPr="00901A19">
        <w:rPr>
          <w:rStyle w:val="HideTWBExt"/>
          <w:b w:val="0"/>
          <w:noProof w:val="0"/>
        </w:rPr>
        <w:t>&lt;/Commission&gt;</w:t>
      </w:r>
    </w:p>
    <w:p w14:paraId="31B51A09" w14:textId="5B6C9249" w:rsidR="00A93F71" w:rsidRPr="00901A19" w:rsidRDefault="00A93F71" w:rsidP="00A93F71">
      <w:pPr>
        <w:pStyle w:val="Normal12Bold"/>
      </w:pPr>
      <w:r w:rsidRPr="00901A19">
        <w:br w:type="page"/>
      </w:r>
      <w:r w:rsidRPr="00901A19">
        <w:lastRenderedPageBreak/>
        <w:t>B8-1088/2016</w:t>
      </w:r>
    </w:p>
    <w:p w14:paraId="0BB4A569" w14:textId="3EFCFF64" w:rsidR="000F1377" w:rsidRPr="00901A19" w:rsidRDefault="00D127FF" w:rsidP="000F1377">
      <w:pPr>
        <w:pStyle w:val="NormalBold"/>
      </w:pPr>
      <w:r w:rsidRPr="00901A19">
        <w:t>Rezolu</w:t>
      </w:r>
      <w:r w:rsidR="006514A8">
        <w:t>ț</w:t>
      </w:r>
      <w:r w:rsidRPr="00901A19">
        <w:t>ia Parlamentului European 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bumbac modificat genetic 281-24-236 × 3006-210-23 × MON 88913 (DAS-24236-5×DAS-21Ø23-5×MON-88913-8), în temeiul Regulamentului (CE) nr. 1829/2003 al Parlamentului European </w:t>
      </w:r>
      <w:r w:rsidR="006514A8">
        <w:t>ș</w:t>
      </w:r>
      <w:r w:rsidRPr="00901A19">
        <w:t>i al Consiliului</w:t>
      </w:r>
    </w:p>
    <w:p w14:paraId="2C3A7454" w14:textId="77777777" w:rsidR="000F1377" w:rsidRPr="00901A19" w:rsidRDefault="00D127FF" w:rsidP="000F1377">
      <w:pPr>
        <w:pStyle w:val="NormalBold"/>
      </w:pPr>
      <w:r w:rsidRPr="00901A19">
        <w:t>(D046168/00 – 2016/2923(RSP))</w:t>
      </w:r>
    </w:p>
    <w:p w14:paraId="598D836B" w14:textId="77777777" w:rsidR="000F1377" w:rsidRPr="00901A19" w:rsidRDefault="000F1377" w:rsidP="000F1377">
      <w:pPr>
        <w:pStyle w:val="Normal12"/>
      </w:pPr>
    </w:p>
    <w:p w14:paraId="24F795F6" w14:textId="77777777" w:rsidR="00A93F71" w:rsidRPr="00901A19" w:rsidRDefault="00D127FF" w:rsidP="00A93F71">
      <w:pPr>
        <w:pStyle w:val="Normal12"/>
      </w:pPr>
      <w:r w:rsidRPr="00901A19">
        <w:rPr>
          <w:i/>
        </w:rPr>
        <w:t>Parlamentul European,</w:t>
      </w:r>
    </w:p>
    <w:p w14:paraId="4940BC08" w14:textId="5F3B8B60" w:rsidR="0068641F" w:rsidRPr="00901A19" w:rsidRDefault="003A4E29" w:rsidP="0068641F">
      <w:pPr>
        <w:pStyle w:val="Normal12Hanging"/>
      </w:pPr>
      <w:r w:rsidRPr="00901A19">
        <w:t>–</w:t>
      </w:r>
      <w:r w:rsidRPr="00901A19">
        <w:tab/>
        <w:t>având în vedere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bumbac modificat genetic 281-24-236 × 3006-210-23 × MON 88913 (DAS-24236-5×DAS-21Ø23-5×MON-88913-8), în temeiul Regulamentului (CE) nr. 1829/2003 al Parlamentului European </w:t>
      </w:r>
      <w:r w:rsidR="006514A8">
        <w:t>ș</w:t>
      </w:r>
      <w:r w:rsidRPr="00901A19">
        <w:t>i al Consiliului (D046168/00),</w:t>
      </w:r>
    </w:p>
    <w:p w14:paraId="537A6B8D" w14:textId="130A6127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 xml:space="preserve">având în vedere Regulamentul (CE) nr. 1829/2003 al Parlamentului European </w:t>
      </w:r>
      <w:r w:rsidR="006514A8">
        <w:t>ș</w:t>
      </w:r>
      <w:r w:rsidRPr="00901A19">
        <w:t xml:space="preserve">i al Consiliului din 22 septembrie 2003 privind produsele alimentare </w:t>
      </w:r>
      <w:r w:rsidR="006514A8">
        <w:t>ș</w:t>
      </w:r>
      <w:r w:rsidRPr="00901A19">
        <w:t>i furajele modificate genetic</w:t>
      </w:r>
      <w:r w:rsidRPr="00901A19">
        <w:rPr>
          <w:rStyle w:val="FootnoteReference"/>
        </w:rPr>
        <w:footnoteReference w:id="1"/>
      </w:r>
      <w:r w:rsidRPr="00901A19">
        <w:t xml:space="preserve">, în special articolul 7 alineatul (3) </w:t>
      </w:r>
      <w:r w:rsidR="006514A8">
        <w:t>ș</w:t>
      </w:r>
      <w:r w:rsidRPr="00901A19">
        <w:t>i articolul 19 alineatul (3),</w:t>
      </w:r>
    </w:p>
    <w:p w14:paraId="1A7CE89A" w14:textId="701D6419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 xml:space="preserve">având în vedere articolele 11 </w:t>
      </w:r>
      <w:r w:rsidR="006514A8">
        <w:t>ș</w:t>
      </w:r>
      <w:r w:rsidRPr="00901A19">
        <w:t xml:space="preserve">i 13 din Regulamentul (UE) nr. 182/2011 al Parlamentului European </w:t>
      </w:r>
      <w:r w:rsidR="006514A8">
        <w:t>ș</w:t>
      </w:r>
      <w:r w:rsidRPr="00901A19">
        <w:t xml:space="preserve">i al Consiliului din 16 februarie 2011 de stabilire a normelor </w:t>
      </w:r>
      <w:r w:rsidR="006514A8">
        <w:t>ș</w:t>
      </w:r>
      <w:r w:rsidRPr="00901A19">
        <w:t>i principiilor generale privind mecanismele de control de către statele membre al exercitării competen</w:t>
      </w:r>
      <w:r w:rsidR="006514A8">
        <w:t>ț</w:t>
      </w:r>
      <w:r w:rsidRPr="00901A19">
        <w:t>elor de executare de către Comisie</w:t>
      </w:r>
      <w:r w:rsidRPr="00901A19">
        <w:rPr>
          <w:rStyle w:val="FootnoteReference"/>
        </w:rPr>
        <w:footnoteReference w:id="2"/>
      </w:r>
      <w:r w:rsidRPr="00901A19">
        <w:t>,</w:t>
      </w:r>
    </w:p>
    <w:p w14:paraId="44F41065" w14:textId="5088D6C3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votul care a avut loc la 8 iulie 2016 în cadrul Comitetului permanent pentru lan</w:t>
      </w:r>
      <w:r w:rsidR="006514A8">
        <w:t>ț</w:t>
      </w:r>
      <w:r w:rsidRPr="00901A19">
        <w:t xml:space="preserve">ul alimentar </w:t>
      </w:r>
      <w:r w:rsidR="006514A8">
        <w:t>ș</w:t>
      </w:r>
      <w:r w:rsidRPr="00901A19">
        <w:t>i sănătatea animală men</w:t>
      </w:r>
      <w:r w:rsidR="006514A8">
        <w:t>ț</w:t>
      </w:r>
      <w:r w:rsidRPr="00901A19">
        <w:t>ionat la articolul 35 din Regulamentul (CE) nr. 1829/2003, unde nu s-a emis niciun aviz,</w:t>
      </w:r>
    </w:p>
    <w:p w14:paraId="6225D239" w14:textId="636C9EAA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avizul Autorită</w:t>
      </w:r>
      <w:r w:rsidR="006514A8">
        <w:t>ț</w:t>
      </w:r>
      <w:r w:rsidRPr="00901A19">
        <w:t>ii Europene pentru Siguran</w:t>
      </w:r>
      <w:r w:rsidR="006514A8">
        <w:t>ț</w:t>
      </w:r>
      <w:r w:rsidRPr="00901A19">
        <w:t>a Alimentară (EFSA) din 9 martie 2016,</w:t>
      </w:r>
    </w:p>
    <w:p w14:paraId="5FFEC53F" w14:textId="719556EA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Rezolu</w:t>
      </w:r>
      <w:r w:rsidR="006514A8">
        <w:t>ț</w:t>
      </w:r>
      <w:r w:rsidRPr="00901A19">
        <w:t>ia sa din 16 decembrie 2015 referitoare la Decizia de punere în aplicare (UE) 2015/2279 a Comisiei din 4 decembrie 2015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porumb modificat genetic NK603 × T25 (MON-ØØ6Ø3-6 × ACS-ZMØØ3-2), în temeiul Regulamentului (CE) nr. 1829/2003 al Parlamentului European </w:t>
      </w:r>
      <w:r w:rsidR="006514A8">
        <w:t>ș</w:t>
      </w:r>
      <w:r w:rsidRPr="00901A19">
        <w:t>i al Consiliului</w:t>
      </w:r>
      <w:r w:rsidRPr="00901A19">
        <w:rPr>
          <w:rStyle w:val="FootnoteReference"/>
        </w:rPr>
        <w:footnoteReference w:id="3"/>
      </w:r>
      <w:r w:rsidRPr="00901A19">
        <w:t>,</w:t>
      </w:r>
    </w:p>
    <w:p w14:paraId="4BE1FB58" w14:textId="45414A2F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Rezolu</w:t>
      </w:r>
      <w:r w:rsidR="006514A8">
        <w:t>ț</w:t>
      </w:r>
      <w:r w:rsidRPr="00901A19">
        <w:t>ia sa din 3 februarie 2016 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soia modificată genetic MON 87705 × MON 89788 (MON-877Ø5-6 × MON-89788-1), în temeiul Regulamentului (CE) nr. </w:t>
      </w:r>
      <w:r w:rsidRPr="00901A19">
        <w:lastRenderedPageBreak/>
        <w:t xml:space="preserve">1829/2003 al Parlamentului European </w:t>
      </w:r>
      <w:r w:rsidR="006514A8">
        <w:t>ș</w:t>
      </w:r>
      <w:r w:rsidRPr="00901A19">
        <w:t>i al Consiliului</w:t>
      </w:r>
      <w:r w:rsidRPr="00901A19">
        <w:rPr>
          <w:rStyle w:val="FootnoteReference"/>
        </w:rPr>
        <w:footnoteReference w:id="4"/>
      </w:r>
      <w:r w:rsidRPr="00901A19">
        <w:t>,</w:t>
      </w:r>
    </w:p>
    <w:p w14:paraId="377449AB" w14:textId="7870BBA4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Rezolu</w:t>
      </w:r>
      <w:r w:rsidR="006514A8">
        <w:t>ț</w:t>
      </w:r>
      <w:r w:rsidRPr="00901A19">
        <w:t>ia sa din 3 februarie 2016 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soia modificată genetic MON 87708 × MON 89788 (MON-877Ø8-9 × MON-89788-1), în temeiul Regulamentului (CE) nr. 1829/2003 al Parlamentului European </w:t>
      </w:r>
      <w:r w:rsidR="006514A8">
        <w:t>ș</w:t>
      </w:r>
      <w:r w:rsidRPr="00901A19">
        <w:t>i al Consiliului</w:t>
      </w:r>
      <w:r w:rsidRPr="00901A19">
        <w:rPr>
          <w:rStyle w:val="FootnoteReference"/>
        </w:rPr>
        <w:footnoteReference w:id="5"/>
      </w:r>
      <w:r w:rsidRPr="00901A19">
        <w:t>,</w:t>
      </w:r>
    </w:p>
    <w:p w14:paraId="033AF1C7" w14:textId="02E8DC40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Rezolu</w:t>
      </w:r>
      <w:r w:rsidR="006514A8">
        <w:t>ț</w:t>
      </w:r>
      <w:r w:rsidRPr="00901A19">
        <w:t>ia sa din 3 februarie 2016 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constau în sau sunt fabricate din soia modificată genetic FG72 (MST-FGØ72-2), în temeiul Regulamentului (CE) nr. 1829/2003 al Parlamentului European </w:t>
      </w:r>
      <w:r w:rsidR="006514A8">
        <w:t>ș</w:t>
      </w:r>
      <w:r w:rsidRPr="00901A19">
        <w:t>i al Consiliului</w:t>
      </w:r>
      <w:r w:rsidRPr="00901A19">
        <w:rPr>
          <w:rStyle w:val="FootnoteReference"/>
        </w:rPr>
        <w:footnoteReference w:id="6"/>
      </w:r>
      <w:r w:rsidRPr="00901A19">
        <w:t xml:space="preserve">, </w:t>
      </w:r>
    </w:p>
    <w:p w14:paraId="075A0BCE" w14:textId="426B3491" w:rsidR="0068641F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Rezolu</w:t>
      </w:r>
      <w:r w:rsidR="006514A8">
        <w:t>ț</w:t>
      </w:r>
      <w:r w:rsidRPr="00901A19">
        <w:t>ia sa din 8 iunie 2016 referitoare la proiectul de decizie de punere în aplicare a Comisiei de autorizare a introducerii pe pia</w:t>
      </w:r>
      <w:r w:rsidR="006514A8">
        <w:t>ț</w:t>
      </w:r>
      <w:r w:rsidRPr="00901A19">
        <w:t>ă a produselor care con</w:t>
      </w:r>
      <w:r w:rsidR="006514A8">
        <w:t>ț</w:t>
      </w:r>
      <w:r w:rsidRPr="00901A19">
        <w:t xml:space="preserve">in, sunt compuse sau fabricate din porumb modificat genetic Bt11 × MIR162 × MIR604 × GA21 </w:t>
      </w:r>
      <w:r w:rsidR="006514A8">
        <w:t>ș</w:t>
      </w:r>
      <w:r w:rsidRPr="00901A19">
        <w:t xml:space="preserve">i din soiuri de porumb modificat genetic care combină două sau trei dintre evenimentele Bt11, MIR162, MIR604 </w:t>
      </w:r>
      <w:r w:rsidR="006514A8">
        <w:t>ș</w:t>
      </w:r>
      <w:r w:rsidRPr="00901A19">
        <w:t xml:space="preserve">i GA21 </w:t>
      </w:r>
      <w:r w:rsidR="006514A8">
        <w:t>ș</w:t>
      </w:r>
      <w:r w:rsidRPr="00901A19">
        <w:t xml:space="preserve">i de abrogare a Deciziilor 2010/426/UE, 2011/893/UE, 2011/892/UE </w:t>
      </w:r>
      <w:r w:rsidR="006514A8">
        <w:t>ș</w:t>
      </w:r>
      <w:r w:rsidRPr="00901A19">
        <w:t>i 2011/894/UE</w:t>
      </w:r>
      <w:r w:rsidRPr="00901A19">
        <w:rPr>
          <w:rStyle w:val="FootnoteReference"/>
        </w:rPr>
        <w:footnoteReference w:id="7"/>
      </w:r>
      <w:r w:rsidRPr="00901A19">
        <w:t>,</w:t>
      </w:r>
    </w:p>
    <w:p w14:paraId="24838D45" w14:textId="106722AE" w:rsidR="00A64D80" w:rsidRPr="00901A19" w:rsidRDefault="0068641F" w:rsidP="0068641F">
      <w:pPr>
        <w:pStyle w:val="Normal12Hanging"/>
      </w:pPr>
      <w:r w:rsidRPr="00901A19">
        <w:t>–</w:t>
      </w:r>
      <w:r w:rsidRPr="00901A19">
        <w:tab/>
        <w:t>având în vedere propunerea de rezolu</w:t>
      </w:r>
      <w:r w:rsidR="006514A8">
        <w:t>ț</w:t>
      </w:r>
      <w:r w:rsidRPr="00901A19">
        <w:t xml:space="preserve">ie a Comisiei pentru mediu, sănătate publică </w:t>
      </w:r>
      <w:r w:rsidR="006514A8">
        <w:t>ș</w:t>
      </w:r>
      <w:r w:rsidRPr="00901A19">
        <w:t>i siguran</w:t>
      </w:r>
      <w:r w:rsidR="006514A8">
        <w:t>ț</w:t>
      </w:r>
      <w:r w:rsidRPr="00901A19">
        <w:t>ă alimentară,</w:t>
      </w:r>
    </w:p>
    <w:p w14:paraId="65CF59B6" w14:textId="05C20A5F" w:rsidR="003A4E29" w:rsidRPr="00901A19" w:rsidRDefault="003A4E29" w:rsidP="003A4E29">
      <w:pPr>
        <w:pStyle w:val="Normal12Hanging"/>
      </w:pPr>
      <w:r w:rsidRPr="00901A19">
        <w:t>–</w:t>
      </w:r>
      <w:r w:rsidRPr="00901A19">
        <w:tab/>
        <w:t xml:space="preserve">având în vedere articolul 106 alineatele (2) </w:t>
      </w:r>
      <w:r w:rsidR="006514A8">
        <w:t>ș</w:t>
      </w:r>
      <w:r w:rsidRPr="00901A19">
        <w:t>i (3) din Regulamentul său de procedură,</w:t>
      </w:r>
    </w:p>
    <w:p w14:paraId="5EB17AE9" w14:textId="6B1AAC73" w:rsidR="0068641F" w:rsidRPr="00901A19" w:rsidRDefault="003A4E29" w:rsidP="0068641F">
      <w:pPr>
        <w:pStyle w:val="Normal12Hanging"/>
      </w:pPr>
      <w:r w:rsidRPr="00901A19">
        <w:t>A.</w:t>
      </w:r>
      <w:r w:rsidRPr="00901A19">
        <w:tab/>
        <w:t>întrucât, la 12 martie 2009, Dow AgroSciences Europe a prezentat autorită</w:t>
      </w:r>
      <w:r w:rsidR="006514A8">
        <w:t>ț</w:t>
      </w:r>
      <w:r w:rsidRPr="00901A19">
        <w:t xml:space="preserve">ii competente din </w:t>
      </w:r>
      <w:r w:rsidR="006514A8">
        <w:t>Ț</w:t>
      </w:r>
      <w:r w:rsidRPr="00901A19">
        <w:t xml:space="preserve">ările de Jos, în conformitate cu articolele 5 </w:t>
      </w:r>
      <w:r w:rsidR="006514A8">
        <w:t>ș</w:t>
      </w:r>
      <w:r w:rsidRPr="00901A19">
        <w:t>i 17 din Regulamentul (CE) nr. 1829/2003, o cerere de introducere pe pia</w:t>
      </w:r>
      <w:r w:rsidR="006514A8">
        <w:t>ț</w:t>
      </w:r>
      <w:r w:rsidRPr="00901A19">
        <w:t xml:space="preserve">ă a produselor </w:t>
      </w:r>
      <w:r w:rsidR="006514A8">
        <w:t>ș</w:t>
      </w:r>
      <w:r w:rsidRPr="00901A19">
        <w:t xml:space="preserve">i ingredientelor alimentare </w:t>
      </w:r>
      <w:r w:rsidR="006514A8">
        <w:t>ș</w:t>
      </w:r>
      <w:r w:rsidRPr="00901A19">
        <w:t>i a furajelor care con</w:t>
      </w:r>
      <w:r w:rsidR="006514A8">
        <w:t>ț</w:t>
      </w:r>
      <w:r w:rsidRPr="00901A19">
        <w:t>in, constau în sau sunt fabricate din bumbac 281-24-236 × 3006-210-23 × MON 88913;</w:t>
      </w:r>
    </w:p>
    <w:p w14:paraId="59C5326E" w14:textId="5165BE90" w:rsidR="0068641F" w:rsidRPr="00901A19" w:rsidRDefault="0068641F" w:rsidP="0068641F">
      <w:pPr>
        <w:pStyle w:val="Normal12Hanging"/>
      </w:pPr>
      <w:r w:rsidRPr="00901A19">
        <w:t>B.</w:t>
      </w:r>
      <w:r w:rsidRPr="00901A19">
        <w:tab/>
        <w:t>întrucât bumbacul modificat genetic DAS-24236-5×DAS-21Ø23-5×MON-88913-8, astfel cum este descris în cerere, exprimă proteina fosfinotricin acetil transferază (PAT), care conferă toleran</w:t>
      </w:r>
      <w:r w:rsidR="006514A8">
        <w:t>ț</w:t>
      </w:r>
      <w:r w:rsidRPr="00901A19">
        <w:t xml:space="preserve">ă la erbicidele pe bază de glufosinat de amoniu, </w:t>
      </w:r>
      <w:r w:rsidR="006514A8">
        <w:t>ș</w:t>
      </w:r>
      <w:r w:rsidRPr="00901A19">
        <w:t>i proteina modificată CP4 5-enolpiruvil-sikimat-3-fosfat sintază (CP4EPSPS), care conferă toleran</w:t>
      </w:r>
      <w:r w:rsidR="006514A8">
        <w:t>ț</w:t>
      </w:r>
      <w:r w:rsidRPr="00901A19">
        <w:t xml:space="preserve">ă la erbicidele pe bază de glifosat, proteinele Cry1F </w:t>
      </w:r>
      <w:r w:rsidR="006514A8">
        <w:t>ș</w:t>
      </w:r>
      <w:r w:rsidRPr="00901A19">
        <w:t>i Cry1Ac, care conferă protec</w:t>
      </w:r>
      <w:r w:rsidR="006514A8">
        <w:t>ț</w:t>
      </w:r>
      <w:r w:rsidRPr="00901A19">
        <w:t xml:space="preserve">ie împotriva anumitor insecte lepidoptere dăunătoare, </w:t>
      </w:r>
      <w:r w:rsidR="006514A8">
        <w:t>ș</w:t>
      </w:r>
      <w:r w:rsidRPr="00901A19">
        <w:t>i întrucât Agen</w:t>
      </w:r>
      <w:r w:rsidR="006514A8">
        <w:t>ț</w:t>
      </w:r>
      <w:r w:rsidRPr="00901A19">
        <w:t>ia Interna</w:t>
      </w:r>
      <w:r w:rsidR="006514A8">
        <w:t>ț</w:t>
      </w:r>
      <w:r w:rsidRPr="00901A19">
        <w:t>ională pentru Cercetare în Domeniul Cancerului – agen</w:t>
      </w:r>
      <w:r w:rsidR="006514A8">
        <w:t>ț</w:t>
      </w:r>
      <w:r w:rsidRPr="00901A19">
        <w:t>ia specializată în domeniul cancerului în cadrul Organiza</w:t>
      </w:r>
      <w:r w:rsidR="006514A8">
        <w:t>ț</w:t>
      </w:r>
      <w:r w:rsidRPr="00901A19">
        <w:t>iei Mondiale a Sănătă</w:t>
      </w:r>
      <w:r w:rsidR="006514A8">
        <w:t>ț</w:t>
      </w:r>
      <w:r w:rsidRPr="00901A19">
        <w:t>ii –</w:t>
      </w:r>
      <w:r w:rsidR="006514A8">
        <w:t xml:space="preserve"> </w:t>
      </w:r>
      <w:r w:rsidRPr="00901A19">
        <w:t>a clasificat glifosatul drept substan</w:t>
      </w:r>
      <w:r w:rsidR="006514A8">
        <w:t>ț</w:t>
      </w:r>
      <w:r w:rsidRPr="00901A19">
        <w:t>ă probabil cancerigenă pentru oameni la 20 martie 2015</w:t>
      </w:r>
      <w:r w:rsidRPr="00901A19">
        <w:rPr>
          <w:vertAlign w:val="superscript"/>
        </w:rPr>
        <w:footnoteReference w:id="8"/>
      </w:r>
      <w:r w:rsidRPr="00901A19">
        <w:t>;</w:t>
      </w:r>
    </w:p>
    <w:p w14:paraId="7D2C947A" w14:textId="786EE600" w:rsidR="0068641F" w:rsidRPr="00901A19" w:rsidRDefault="0068641F" w:rsidP="0068641F">
      <w:pPr>
        <w:pStyle w:val="Normal12Hanging"/>
      </w:pPr>
      <w:r w:rsidRPr="00901A19">
        <w:lastRenderedPageBreak/>
        <w:t>C.</w:t>
      </w:r>
      <w:r w:rsidRPr="00901A19">
        <w:tab/>
        <w:t>întrucât, la 8 iulie 2016, proiectul de decizie de punere în aplicare a Comisiei a fost supus la vot în cadrul comitetului permanent, dar nu s-a emis niciun aviz;</w:t>
      </w:r>
    </w:p>
    <w:p w14:paraId="32490974" w14:textId="27677685" w:rsidR="0068641F" w:rsidRPr="00901A19" w:rsidRDefault="0068641F" w:rsidP="0068641F">
      <w:pPr>
        <w:pStyle w:val="Normal12Hanging"/>
      </w:pPr>
      <w:r w:rsidRPr="00901A19">
        <w:t>D.</w:t>
      </w:r>
      <w:r w:rsidRPr="00901A19">
        <w:tab/>
        <w:t xml:space="preserve">întrucât proiectul de decizie de punere în aplicare a Comisiei a fost votat în cadrul comitetului de apel la 15 septembrie 2016 </w:t>
      </w:r>
      <w:r w:rsidR="006514A8">
        <w:t>ș</w:t>
      </w:r>
      <w:r w:rsidRPr="00901A19">
        <w:t>i nici atunci nu s-a emis un aviz; 11 state membre reprezentând 38,66 % din popula</w:t>
      </w:r>
      <w:r w:rsidR="006514A8">
        <w:t>ț</w:t>
      </w:r>
      <w:r w:rsidRPr="00901A19">
        <w:t>ia UE au exprimat un vot favorabil, 14 state membre reprezentând 33,17 % din popula</w:t>
      </w:r>
      <w:r w:rsidR="006514A8">
        <w:t>ț</w:t>
      </w:r>
      <w:r w:rsidRPr="00901A19">
        <w:t>ia UE au votat împotrivă, 2 state membre reprezentând 28 % din popula</w:t>
      </w:r>
      <w:r w:rsidR="006514A8">
        <w:t>ț</w:t>
      </w:r>
      <w:r w:rsidRPr="00901A19">
        <w:t>ia UE s-au ab</w:t>
      </w:r>
      <w:r w:rsidR="006514A8">
        <w:t>ț</w:t>
      </w:r>
      <w:r w:rsidRPr="00901A19">
        <w:t>inut, iar un stat membru reprezentând 0,17 % din popula</w:t>
      </w:r>
      <w:r w:rsidR="006514A8">
        <w:t>ț</w:t>
      </w:r>
      <w:r w:rsidRPr="00901A19">
        <w:t>ia UE a fost absent de la vot;</w:t>
      </w:r>
    </w:p>
    <w:p w14:paraId="36FC67CE" w14:textId="4C08230A" w:rsidR="0068641F" w:rsidRPr="00901A19" w:rsidRDefault="0068641F" w:rsidP="0068641F">
      <w:pPr>
        <w:pStyle w:val="Normal12Hanging"/>
      </w:pPr>
      <w:r w:rsidRPr="00901A19">
        <w:t>E.</w:t>
      </w:r>
      <w:r w:rsidRPr="00901A19">
        <w:tab/>
        <w:t>întrucât, la 22 aprilie 2015, Comisia a deplâns, în expunerea de motive a propunerii sale legislative de modificare a Regulamentului (CE) nr. 1829/2003, faptul că, de la intrarea în vigoare a Regulamentului (CE) nr. 1829/2003, deciziile de autorizare au fost adoptate de Comisie, în conformitate cu legisla</w:t>
      </w:r>
      <w:r w:rsidR="006514A8">
        <w:t>ț</w:t>
      </w:r>
      <w:r w:rsidRPr="00901A19">
        <w:t xml:space="preserve">ia aplicabilă, fără sprijinul avizelor comitetelor statelor membre </w:t>
      </w:r>
      <w:r w:rsidR="006514A8">
        <w:t>ș</w:t>
      </w:r>
      <w:r w:rsidRPr="00901A19">
        <w:t>i că returnarea dosarului către Comisie în vederea adoptării unei decizii finale, care constituie de fapt o excep</w:t>
      </w:r>
      <w:r w:rsidR="006514A8">
        <w:t>ț</w:t>
      </w:r>
      <w:r w:rsidRPr="00901A19">
        <w:t>ie în cadrul procedurii în ansamblu, a devenit o normă în procesul decizional relativ la autoriza</w:t>
      </w:r>
      <w:r w:rsidR="006514A8">
        <w:t>ț</w:t>
      </w:r>
      <w:r w:rsidRPr="00901A19">
        <w:t xml:space="preserve">iile privind produsele alimentare </w:t>
      </w:r>
      <w:r w:rsidR="006514A8">
        <w:t>ș</w:t>
      </w:r>
      <w:r w:rsidRPr="00901A19">
        <w:t>i furajele modificate genetic;</w:t>
      </w:r>
    </w:p>
    <w:p w14:paraId="0C271A50" w14:textId="0501F730" w:rsidR="003A4E29" w:rsidRPr="00901A19" w:rsidRDefault="0068641F" w:rsidP="0068641F">
      <w:pPr>
        <w:pStyle w:val="Normal12Hanging"/>
      </w:pPr>
      <w:r w:rsidRPr="00901A19">
        <w:t>F.</w:t>
      </w:r>
      <w:r w:rsidRPr="00901A19">
        <w:tab/>
        <w:t>întrucât propunerea legislativă din 22 aprilie 2015 de modificare a Regulamentului (CE) nr. 1829/2003 a fost respinsă de Parlament la 28 octombrie 2015</w:t>
      </w:r>
      <w:r w:rsidRPr="00901A19">
        <w:rPr>
          <w:rStyle w:val="FootnoteReference"/>
        </w:rPr>
        <w:footnoteReference w:id="9"/>
      </w:r>
      <w:r w:rsidRPr="00901A19">
        <w:t xml:space="preserve"> deoarece, în timp ce cultivarea se face în mod obligatoriu pe teritoriul unui stat membru, comer</w:t>
      </w:r>
      <w:r w:rsidR="006514A8">
        <w:t>ț</w:t>
      </w:r>
      <w:r w:rsidRPr="00901A19">
        <w:t xml:space="preserve">ul cu OMG-uri nu </w:t>
      </w:r>
      <w:r w:rsidR="006514A8">
        <w:t>ț</w:t>
      </w:r>
      <w:r w:rsidRPr="00901A19">
        <w:t>ine cont de frontiere, ceea ce înseamnă că o interzicere la nivel na</w:t>
      </w:r>
      <w:r w:rsidR="006514A8">
        <w:t>ț</w:t>
      </w:r>
      <w:r w:rsidRPr="00901A19">
        <w:t xml:space="preserve">ional a „vânzării </w:t>
      </w:r>
      <w:r w:rsidR="006514A8">
        <w:t>ș</w:t>
      </w:r>
      <w:r w:rsidRPr="00901A19">
        <w:t xml:space="preserve">i utilizării”, astfel cum a propus Comisia, ar fi fost imposibil de pus în aplicare fără a reintroduce verificarea la frontieră a importurilor; întrucât Parlamentul a respins propunerea legislativă de modificare a Regulamentului (CE) nr. 1829/2003 </w:t>
      </w:r>
      <w:r w:rsidR="006514A8">
        <w:t>ș</w:t>
      </w:r>
      <w:r w:rsidRPr="00901A19">
        <w:t>i a invitat Comisia să î</w:t>
      </w:r>
      <w:r w:rsidR="006514A8">
        <w:t>ș</w:t>
      </w:r>
      <w:r w:rsidRPr="00901A19">
        <w:t xml:space="preserve">i retragă propunerea </w:t>
      </w:r>
      <w:r w:rsidR="006514A8">
        <w:t>ș</w:t>
      </w:r>
      <w:r w:rsidRPr="00901A19">
        <w:t>i să prezinte o propunere nouă,</w:t>
      </w:r>
    </w:p>
    <w:p w14:paraId="532925AF" w14:textId="11249A4D" w:rsidR="0068641F" w:rsidRPr="00901A19" w:rsidRDefault="003A4E29" w:rsidP="0068641F">
      <w:pPr>
        <w:pStyle w:val="Normal12Hanging"/>
      </w:pPr>
      <w:r w:rsidRPr="00901A19">
        <w:t>1.</w:t>
      </w:r>
      <w:r w:rsidRPr="00901A19">
        <w:tab/>
        <w:t>consideră că acest proiect de decizie de punere în aplicare a Comisiei depă</w:t>
      </w:r>
      <w:r w:rsidR="006514A8">
        <w:t>ș</w:t>
      </w:r>
      <w:r w:rsidRPr="00901A19">
        <w:t>e</w:t>
      </w:r>
      <w:r w:rsidR="006514A8">
        <w:t>ș</w:t>
      </w:r>
      <w:r w:rsidRPr="00901A19">
        <w:t>te competen</w:t>
      </w:r>
      <w:r w:rsidR="006514A8">
        <w:t>ț</w:t>
      </w:r>
      <w:r w:rsidRPr="00901A19">
        <w:t>ele de executare prevăzute în Regulamentul (CE) nr. 1829/2003;</w:t>
      </w:r>
    </w:p>
    <w:p w14:paraId="6C97945F" w14:textId="35D823B3" w:rsidR="0068641F" w:rsidRPr="00901A19" w:rsidRDefault="0068641F" w:rsidP="0068641F">
      <w:pPr>
        <w:pStyle w:val="Normal12Hanging"/>
      </w:pPr>
      <w:r w:rsidRPr="00901A19">
        <w:t>2.</w:t>
      </w:r>
      <w:r w:rsidRPr="00901A19">
        <w:tab/>
        <w:t>consideră că acest proiect de decizie de punere în aplicare a Comisiei nu este în conformitate cu dreptul Uniunii, prin faptul că nu este compatibil cu obiectivul Regulamentului (CE) nr. 1829/2003, care, în conformitate cu principiile generale prevăzute de Regulamentul (CE) nr. 178/2002, constă în asigurarea unei baze prin care să se asigure un nivel ridicat de protec</w:t>
      </w:r>
      <w:r w:rsidR="006514A8">
        <w:t>ț</w:t>
      </w:r>
      <w:r w:rsidRPr="00901A19">
        <w:t>ie a vie</w:t>
      </w:r>
      <w:r w:rsidR="006514A8">
        <w:t>ț</w:t>
      </w:r>
      <w:r w:rsidRPr="00901A19">
        <w:t xml:space="preserve">ii </w:t>
      </w:r>
      <w:r w:rsidR="006514A8">
        <w:t>ș</w:t>
      </w:r>
      <w:r w:rsidRPr="00901A19">
        <w:t>i sănătă</w:t>
      </w:r>
      <w:r w:rsidR="006514A8">
        <w:t>ț</w:t>
      </w:r>
      <w:r w:rsidRPr="00901A19">
        <w:t>ii umane, a sănătă</w:t>
      </w:r>
      <w:r w:rsidR="006514A8">
        <w:t>ț</w:t>
      </w:r>
      <w:r w:rsidRPr="00901A19">
        <w:t xml:space="preserve">ii </w:t>
      </w:r>
      <w:r w:rsidR="006514A8">
        <w:t>ș</w:t>
      </w:r>
      <w:r w:rsidRPr="00901A19">
        <w:t xml:space="preserve">i bunăstării animale, a intereselor de mediu </w:t>
      </w:r>
      <w:r w:rsidR="006514A8">
        <w:t>ș</w:t>
      </w:r>
      <w:r w:rsidRPr="00901A19">
        <w:t>i ale consumatorilor în ceea ce prive</w:t>
      </w:r>
      <w:r w:rsidR="006514A8">
        <w:t>ș</w:t>
      </w:r>
      <w:r w:rsidRPr="00901A19">
        <w:t xml:space="preserve">te produsele alimentare </w:t>
      </w:r>
      <w:r w:rsidR="006514A8">
        <w:t>ș</w:t>
      </w:r>
      <w:r w:rsidRPr="00901A19">
        <w:t>i furajele modificate genetic, asigurând în acela</w:t>
      </w:r>
      <w:r w:rsidR="006514A8">
        <w:t>ș</w:t>
      </w:r>
      <w:r w:rsidRPr="00901A19">
        <w:t>i timp func</w:t>
      </w:r>
      <w:r w:rsidR="006514A8">
        <w:t>ț</w:t>
      </w:r>
      <w:r w:rsidRPr="00901A19">
        <w:t>ionarea eficientă a pie</w:t>
      </w:r>
      <w:r w:rsidR="006514A8">
        <w:t>ț</w:t>
      </w:r>
      <w:r w:rsidRPr="00901A19">
        <w:t xml:space="preserve">ei interne; </w:t>
      </w:r>
    </w:p>
    <w:p w14:paraId="0E23ECA3" w14:textId="2DF678AA" w:rsidR="0068641F" w:rsidRPr="00901A19" w:rsidRDefault="0068641F" w:rsidP="0068641F">
      <w:pPr>
        <w:pStyle w:val="Normal12Hanging"/>
      </w:pPr>
      <w:r w:rsidRPr="00901A19">
        <w:t>3.</w:t>
      </w:r>
      <w:r w:rsidRPr="00901A19">
        <w:tab/>
        <w:t>solicită Comisiei să î</w:t>
      </w:r>
      <w:r w:rsidR="006514A8">
        <w:t>ș</w:t>
      </w:r>
      <w:r w:rsidRPr="00901A19">
        <w:t>i retragă proiectul de decizie de punere în aplicare;</w:t>
      </w:r>
    </w:p>
    <w:p w14:paraId="1339E0E4" w14:textId="1924E040" w:rsidR="0068641F" w:rsidRPr="00901A19" w:rsidRDefault="0068641F" w:rsidP="0068641F">
      <w:pPr>
        <w:pStyle w:val="Normal12Hanging"/>
      </w:pPr>
      <w:r w:rsidRPr="00901A19">
        <w:t xml:space="preserve">4. </w:t>
      </w:r>
      <w:r w:rsidRPr="00901A19">
        <w:tab/>
        <w:t>solicită Comisiei să prezinte o nouă propunere legislativă în temeiul Tratatului privind func</w:t>
      </w:r>
      <w:r w:rsidR="006514A8">
        <w:t>ț</w:t>
      </w:r>
      <w:r w:rsidRPr="00901A19">
        <w:t xml:space="preserve">ionarea Uniunii Europene, în vederea modificării Regulamentului (CE) nr. 1829/2003 pentru a </w:t>
      </w:r>
      <w:r w:rsidR="006514A8">
        <w:t>ț</w:t>
      </w:r>
      <w:r w:rsidRPr="00901A19">
        <w:t>ine seama de preocupările na</w:t>
      </w:r>
      <w:r w:rsidR="006514A8">
        <w:t>ț</w:t>
      </w:r>
      <w:r w:rsidRPr="00901A19">
        <w:t>ionale exprimate frecvent, care nu se referă numai la aspectele siguran</w:t>
      </w:r>
      <w:r w:rsidR="006514A8">
        <w:t>ț</w:t>
      </w:r>
      <w:r w:rsidRPr="00901A19">
        <w:t xml:space="preserve">ei organismelor modificate genetic pentru sănătate sau </w:t>
      </w:r>
      <w:r w:rsidRPr="00901A19">
        <w:lastRenderedPageBreak/>
        <w:t>mediu;</w:t>
      </w:r>
    </w:p>
    <w:p w14:paraId="2E753CBB" w14:textId="7988A07E" w:rsidR="00F9151F" w:rsidRPr="00901A19" w:rsidRDefault="0068641F" w:rsidP="0068641F">
      <w:pPr>
        <w:pStyle w:val="Normal12Hanging"/>
      </w:pPr>
      <w:r w:rsidRPr="00901A19">
        <w:t>5.</w:t>
      </w:r>
      <w:r w:rsidRPr="00901A19">
        <w:tab/>
        <w:t>încredin</w:t>
      </w:r>
      <w:r w:rsidR="006514A8">
        <w:t>ț</w:t>
      </w:r>
      <w:r w:rsidRPr="00901A19">
        <w:t>ează Pre</w:t>
      </w:r>
      <w:r w:rsidR="006514A8">
        <w:t>ș</w:t>
      </w:r>
      <w:r w:rsidRPr="00901A19">
        <w:t>edintelui sarcina de a transmite prezenta rezolu</w:t>
      </w:r>
      <w:r w:rsidR="006514A8">
        <w:t>ț</w:t>
      </w:r>
      <w:r w:rsidRPr="00901A19">
        <w:t xml:space="preserve">ie Consiliului </w:t>
      </w:r>
      <w:r w:rsidR="006514A8">
        <w:t>ș</w:t>
      </w:r>
      <w:r w:rsidRPr="00901A19">
        <w:t xml:space="preserve">i Comisiei, precum </w:t>
      </w:r>
      <w:r w:rsidR="006514A8">
        <w:t>ș</w:t>
      </w:r>
      <w:r w:rsidRPr="00901A19">
        <w:t xml:space="preserve">i guvernelor </w:t>
      </w:r>
      <w:r w:rsidR="006514A8">
        <w:t>ș</w:t>
      </w:r>
      <w:r w:rsidRPr="00901A19">
        <w:t>i parlamentelor statelor membre.</w:t>
      </w:r>
    </w:p>
    <w:sectPr w:rsidR="00F9151F" w:rsidRPr="00901A19" w:rsidSect="00901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191E" w14:textId="77777777" w:rsidR="00D127FF" w:rsidRPr="00901A19" w:rsidRDefault="00D127FF">
      <w:r w:rsidRPr="00901A19">
        <w:separator/>
      </w:r>
    </w:p>
  </w:endnote>
  <w:endnote w:type="continuationSeparator" w:id="0">
    <w:p w14:paraId="4E6C00A3" w14:textId="77777777" w:rsidR="00D127FF" w:rsidRPr="00901A19" w:rsidRDefault="00D127FF">
      <w:r w:rsidRPr="00901A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40AF" w14:textId="77777777" w:rsidR="00901A19" w:rsidRPr="00901A19" w:rsidRDefault="00901A19" w:rsidP="00901A19">
    <w:pPr>
      <w:pStyle w:val="Footer"/>
    </w:pPr>
    <w:r w:rsidRPr="00901A19">
      <w:t>PE</w:t>
    </w:r>
    <w:r w:rsidRPr="00901A19">
      <w:rPr>
        <w:rStyle w:val="HideTWBExt"/>
        <w:noProof w:val="0"/>
      </w:rPr>
      <w:t>&lt;NoPE&gt;</w:t>
    </w:r>
    <w:r w:rsidRPr="00901A19">
      <w:t>589.677</w:t>
    </w:r>
    <w:r w:rsidRPr="00901A19">
      <w:rPr>
        <w:rStyle w:val="HideTWBExt"/>
        <w:noProof w:val="0"/>
      </w:rPr>
      <w:t>&lt;/NoPE&gt;&lt;Version&gt;</w:t>
    </w:r>
    <w:r w:rsidRPr="00901A19">
      <w:t>v01-00</w:t>
    </w:r>
    <w:r w:rsidRPr="00901A19">
      <w:rPr>
        <w:rStyle w:val="HideTWBExt"/>
        <w:noProof w:val="0"/>
      </w:rPr>
      <w:t>&lt;/Version&gt;</w:t>
    </w:r>
    <w:r w:rsidRPr="00901A19">
      <w:tab/>
    </w:r>
    <w:r w:rsidRPr="00901A19">
      <w:fldChar w:fldCharType="begin"/>
    </w:r>
    <w:r w:rsidRPr="00901A19">
      <w:instrText xml:space="preserve"> PAGE  \* MERGEFORMAT </w:instrText>
    </w:r>
    <w:r w:rsidRPr="00901A19">
      <w:fldChar w:fldCharType="separate"/>
    </w:r>
    <w:r w:rsidR="003A1B2F">
      <w:rPr>
        <w:noProof/>
      </w:rPr>
      <w:t>4</w:t>
    </w:r>
    <w:r w:rsidRPr="00901A19">
      <w:fldChar w:fldCharType="end"/>
    </w:r>
    <w:r w:rsidRPr="00901A19">
      <w:t>/</w:t>
    </w:r>
    <w:r w:rsidR="003A1B2F">
      <w:fldChar w:fldCharType="begin"/>
    </w:r>
    <w:r w:rsidR="003A1B2F">
      <w:instrText xml:space="preserve"> NUMPAGES  \* MERGEFORMAT </w:instrText>
    </w:r>
    <w:r w:rsidR="003A1B2F">
      <w:fldChar w:fldCharType="separate"/>
    </w:r>
    <w:r w:rsidR="003A1B2F">
      <w:rPr>
        <w:noProof/>
      </w:rPr>
      <w:t>5</w:t>
    </w:r>
    <w:r w:rsidR="003A1B2F">
      <w:rPr>
        <w:noProof/>
      </w:rPr>
      <w:fldChar w:fldCharType="end"/>
    </w:r>
    <w:r w:rsidRPr="00901A19">
      <w:tab/>
    </w:r>
    <w:r w:rsidRPr="00901A19">
      <w:rPr>
        <w:rStyle w:val="HideTWBExt"/>
        <w:noProof w:val="0"/>
      </w:rPr>
      <w:t>&lt;PathFdR&gt;</w:t>
    </w:r>
    <w:r w:rsidRPr="00901A19">
      <w:t>RE\1105974RO.docx</w:t>
    </w:r>
    <w:r w:rsidRPr="00901A19">
      <w:rPr>
        <w:rStyle w:val="HideTWBExt"/>
        <w:noProof w:val="0"/>
      </w:rPr>
      <w:t>&lt;/PathFdR&gt;</w:t>
    </w:r>
  </w:p>
  <w:p w14:paraId="5961317B" w14:textId="63945EA9" w:rsidR="00F17D74" w:rsidRPr="00901A19" w:rsidRDefault="00901A19" w:rsidP="00901A19">
    <w:pPr>
      <w:pStyle w:val="Footer2"/>
    </w:pPr>
    <w:r w:rsidRPr="00901A19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1F66" w14:textId="77777777" w:rsidR="00901A19" w:rsidRPr="00901A19" w:rsidRDefault="00901A19" w:rsidP="00901A19">
    <w:pPr>
      <w:pStyle w:val="Footer"/>
    </w:pPr>
    <w:r w:rsidRPr="00901A19">
      <w:rPr>
        <w:rStyle w:val="HideTWBExt"/>
        <w:noProof w:val="0"/>
      </w:rPr>
      <w:t>&lt;PathFdR&gt;</w:t>
    </w:r>
    <w:r w:rsidRPr="00901A19">
      <w:t>RE\1105974RO.docx</w:t>
    </w:r>
    <w:r w:rsidRPr="00901A19">
      <w:rPr>
        <w:rStyle w:val="HideTWBExt"/>
        <w:noProof w:val="0"/>
      </w:rPr>
      <w:t>&lt;/PathFdR&gt;</w:t>
    </w:r>
    <w:r w:rsidRPr="00901A19">
      <w:tab/>
    </w:r>
    <w:r w:rsidRPr="00901A19">
      <w:fldChar w:fldCharType="begin"/>
    </w:r>
    <w:r w:rsidRPr="00901A19">
      <w:instrText xml:space="preserve"> PAGE  \* MERGEFORMAT </w:instrText>
    </w:r>
    <w:r w:rsidRPr="00901A19">
      <w:fldChar w:fldCharType="separate"/>
    </w:r>
    <w:r w:rsidR="003A1B2F">
      <w:rPr>
        <w:noProof/>
      </w:rPr>
      <w:t>3</w:t>
    </w:r>
    <w:r w:rsidRPr="00901A19">
      <w:fldChar w:fldCharType="end"/>
    </w:r>
    <w:r w:rsidRPr="00901A19">
      <w:t>/</w:t>
    </w:r>
    <w:r w:rsidR="003A1B2F">
      <w:fldChar w:fldCharType="begin"/>
    </w:r>
    <w:r w:rsidR="003A1B2F">
      <w:instrText xml:space="preserve"> NUMPAGES  \* MERGEFORMAT </w:instrText>
    </w:r>
    <w:r w:rsidR="003A1B2F">
      <w:fldChar w:fldCharType="separate"/>
    </w:r>
    <w:r w:rsidR="003A1B2F">
      <w:rPr>
        <w:noProof/>
      </w:rPr>
      <w:t>5</w:t>
    </w:r>
    <w:r w:rsidR="003A1B2F">
      <w:rPr>
        <w:noProof/>
      </w:rPr>
      <w:fldChar w:fldCharType="end"/>
    </w:r>
    <w:r w:rsidRPr="00901A19">
      <w:tab/>
      <w:t>PE</w:t>
    </w:r>
    <w:r w:rsidRPr="00901A19">
      <w:rPr>
        <w:rStyle w:val="HideTWBExt"/>
        <w:noProof w:val="0"/>
      </w:rPr>
      <w:t>&lt;NoPE&gt;</w:t>
    </w:r>
    <w:r w:rsidRPr="00901A19">
      <w:t>589.677</w:t>
    </w:r>
    <w:r w:rsidRPr="00901A19">
      <w:rPr>
        <w:rStyle w:val="HideTWBExt"/>
        <w:noProof w:val="0"/>
      </w:rPr>
      <w:t>&lt;/NoPE&gt;&lt;Version&gt;</w:t>
    </w:r>
    <w:r w:rsidRPr="00901A19">
      <w:t>v01-00</w:t>
    </w:r>
    <w:r w:rsidRPr="00901A19">
      <w:rPr>
        <w:rStyle w:val="HideTWBExt"/>
        <w:noProof w:val="0"/>
      </w:rPr>
      <w:t>&lt;/Version&gt;</w:t>
    </w:r>
  </w:p>
  <w:p w14:paraId="4323EF0E" w14:textId="0A5DE470" w:rsidR="00F17D74" w:rsidRPr="00901A19" w:rsidRDefault="00901A19" w:rsidP="00901A19">
    <w:pPr>
      <w:pStyle w:val="Footer2"/>
    </w:pPr>
    <w:r w:rsidRPr="00901A19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F43E" w14:textId="77777777" w:rsidR="00901A19" w:rsidRPr="00901A19" w:rsidRDefault="00901A19" w:rsidP="00901A19">
    <w:pPr>
      <w:pStyle w:val="Footer"/>
    </w:pPr>
    <w:r w:rsidRPr="00901A19">
      <w:rPr>
        <w:rStyle w:val="HideTWBExt"/>
        <w:noProof w:val="0"/>
      </w:rPr>
      <w:t>&lt;PathFdR&gt;</w:t>
    </w:r>
    <w:r w:rsidRPr="00901A19">
      <w:t>RE\1105974RO.docx</w:t>
    </w:r>
    <w:r w:rsidRPr="00901A19">
      <w:rPr>
        <w:rStyle w:val="HideTWBExt"/>
        <w:noProof w:val="0"/>
      </w:rPr>
      <w:t>&lt;/PathFdR&gt;</w:t>
    </w:r>
    <w:r w:rsidRPr="00901A19">
      <w:tab/>
    </w:r>
    <w:r w:rsidRPr="00901A19">
      <w:tab/>
      <w:t>PE</w:t>
    </w:r>
    <w:r w:rsidRPr="00901A19">
      <w:rPr>
        <w:rStyle w:val="HideTWBExt"/>
        <w:noProof w:val="0"/>
      </w:rPr>
      <w:t>&lt;NoPE&gt;</w:t>
    </w:r>
    <w:r w:rsidRPr="00901A19">
      <w:t>589.677</w:t>
    </w:r>
    <w:r w:rsidRPr="00901A19">
      <w:rPr>
        <w:rStyle w:val="HideTWBExt"/>
        <w:noProof w:val="0"/>
      </w:rPr>
      <w:t>&lt;/NoPE&gt;&lt;Version&gt;</w:t>
    </w:r>
    <w:r w:rsidRPr="00901A19">
      <w:t>v01-00</w:t>
    </w:r>
    <w:r w:rsidRPr="00901A19">
      <w:rPr>
        <w:rStyle w:val="HideTWBExt"/>
        <w:noProof w:val="0"/>
      </w:rPr>
      <w:t>&lt;/Version&gt;</w:t>
    </w:r>
  </w:p>
  <w:p w14:paraId="250B1DF9" w14:textId="12C20E61" w:rsidR="00F17D74" w:rsidRPr="00901A19" w:rsidRDefault="00901A19" w:rsidP="00901A19">
    <w:pPr>
      <w:pStyle w:val="Footer2"/>
      <w:tabs>
        <w:tab w:val="center" w:pos="4535"/>
      </w:tabs>
    </w:pPr>
    <w:r w:rsidRPr="00901A19">
      <w:t>RO</w:t>
    </w:r>
    <w:r w:rsidRPr="00901A19">
      <w:tab/>
    </w:r>
    <w:r w:rsidRPr="00901A19">
      <w:rPr>
        <w:b w:val="0"/>
        <w:i/>
        <w:color w:val="C0C0C0"/>
        <w:sz w:val="22"/>
      </w:rPr>
      <w:t>Unită în diversitate</w:t>
    </w:r>
    <w:r w:rsidRPr="00901A19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0787" w14:textId="77777777" w:rsidR="00D127FF" w:rsidRPr="00901A19" w:rsidRDefault="00D127FF">
      <w:r w:rsidRPr="00901A19">
        <w:separator/>
      </w:r>
    </w:p>
  </w:footnote>
  <w:footnote w:type="continuationSeparator" w:id="0">
    <w:p w14:paraId="7D553CCD" w14:textId="77777777" w:rsidR="00D127FF" w:rsidRPr="00901A19" w:rsidRDefault="00D127FF">
      <w:r w:rsidRPr="00901A19">
        <w:continuationSeparator/>
      </w:r>
    </w:p>
  </w:footnote>
  <w:footnote w:id="1">
    <w:p w14:paraId="71D67EB5" w14:textId="4046452A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JO L 268, 18.10.2003, p. 1.</w:t>
      </w:r>
    </w:p>
  </w:footnote>
  <w:footnote w:id="2">
    <w:p w14:paraId="4CC7EC40" w14:textId="62D83B57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JO L 55, 28.2.2011, p. 13.</w:t>
      </w:r>
    </w:p>
  </w:footnote>
  <w:footnote w:id="3">
    <w:p w14:paraId="409318B5" w14:textId="2C2A24F0" w:rsidR="00557DDE" w:rsidRPr="00901A19" w:rsidRDefault="00557DDE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P8_TA(2015)0456.</w:t>
      </w:r>
    </w:p>
  </w:footnote>
  <w:footnote w:id="4">
    <w:p w14:paraId="3D7699ED" w14:textId="71355AD6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</w:t>
      </w:r>
      <w:r w:rsidRPr="00901A19">
        <w:rPr>
          <w:rStyle w:val="contents"/>
        </w:rPr>
        <w:t>P8_TA(2016)0040.</w:t>
      </w:r>
    </w:p>
  </w:footnote>
  <w:footnote w:id="5">
    <w:p w14:paraId="09FBDC50" w14:textId="26EAAF7E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</w:t>
      </w:r>
      <w:r w:rsidRPr="00901A19">
        <w:rPr>
          <w:rStyle w:val="contents"/>
        </w:rPr>
        <w:t>P8_TA(2016)0039.</w:t>
      </w:r>
    </w:p>
  </w:footnote>
  <w:footnote w:id="6">
    <w:p w14:paraId="1E3F99EB" w14:textId="145B300B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</w:t>
      </w:r>
      <w:r w:rsidRPr="00901A19">
        <w:rPr>
          <w:rStyle w:val="contents"/>
        </w:rPr>
        <w:t>P8_TA(2016)0038.</w:t>
      </w:r>
    </w:p>
  </w:footnote>
  <w:footnote w:id="7">
    <w:p w14:paraId="09009056" w14:textId="094EE37A" w:rsidR="0068641F" w:rsidRPr="00901A19" w:rsidRDefault="0068641F" w:rsidP="0068641F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P8_TA(2016)0271.</w:t>
      </w:r>
    </w:p>
  </w:footnote>
  <w:footnote w:id="8">
    <w:p w14:paraId="75ADDD0D" w14:textId="5B872615" w:rsidR="0068641F" w:rsidRPr="00901A19" w:rsidRDefault="0068641F" w:rsidP="0068641F">
      <w:pPr>
        <w:widowControl/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901A19">
        <w:rPr>
          <w:rStyle w:val="FootnoteReference"/>
        </w:rPr>
        <w:footnoteRef/>
      </w:r>
      <w:r w:rsidRPr="00901A19">
        <w:t xml:space="preserve"> </w:t>
      </w:r>
      <w:r w:rsidRPr="00901A19">
        <w:rPr>
          <w:sz w:val="20"/>
        </w:rPr>
        <w:t xml:space="preserve">Volumul 112 de monografii ale IARC: </w:t>
      </w:r>
      <w:r w:rsidRPr="00901A19">
        <w:t xml:space="preserve">evaluarea a cinci insecticide </w:t>
      </w:r>
      <w:r w:rsidR="006514A8">
        <w:t>ș</w:t>
      </w:r>
      <w:r w:rsidRPr="00901A19">
        <w:t xml:space="preserve">i erbicide organofosforice, 20 martie 2015 </w:t>
      </w:r>
      <w:hyperlink r:id="rId1">
        <w:r w:rsidRPr="00901A19">
          <w:rPr>
            <w:rStyle w:val="Hyperlink"/>
            <w:sz w:val="20"/>
          </w:rPr>
          <w:t>http://www.iarc.fr/en/media-centre/iarcnews/pdf/MonographVolume112.pdf</w:t>
        </w:r>
      </w:hyperlink>
      <w:r w:rsidRPr="00901A19">
        <w:rPr>
          <w:rFonts w:ascii="TimesNewRoman" w:hAnsi="TimesNewRoman"/>
        </w:rPr>
        <w:t xml:space="preserve"> </w:t>
      </w:r>
    </w:p>
  </w:footnote>
  <w:footnote w:id="9">
    <w:p w14:paraId="5B33471C" w14:textId="660D2C74" w:rsidR="00F62461" w:rsidRPr="00901A19" w:rsidRDefault="00F62461">
      <w:pPr>
        <w:pStyle w:val="FootnoteText"/>
      </w:pPr>
      <w:r w:rsidRPr="00901A19">
        <w:rPr>
          <w:rStyle w:val="FootnoteReference"/>
        </w:rPr>
        <w:footnoteRef/>
      </w:r>
      <w:r w:rsidRPr="00901A19">
        <w:t xml:space="preserve"> Texte adoptate, P8_TA(2015)0379.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DFC1" w14:textId="77777777" w:rsidR="006514A8" w:rsidRDefault="00651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90FC" w14:textId="77777777" w:rsidR="006514A8" w:rsidRDefault="00651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57E2" w14:textId="77777777" w:rsidR="006514A8" w:rsidRDefault="00651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MNU" w:val=" 1"/>
    <w:docVar w:name="AUTHORMNU" w:val=" 1"/>
    <w:docVar w:name="COMKEY" w:val="ENVI"/>
    <w:docVar w:name="CopyToNetwork" w:val="-1"/>
    <w:docVar w:name="DOCMNU" w:val=" 3"/>
    <w:docVar w:name="DOCTYPEMNU" w:val=" 2"/>
    <w:docVar w:name="INSTMNU" w:val=" 1"/>
    <w:docVar w:name="LastEditedSection" w:val=" 1"/>
    <w:docVar w:name="strDocTypeID" w:val="RE_RegProc_Objections"/>
    <w:docVar w:name="strSubDir" w:val="1105"/>
    <w:docVar w:name="TXTLANGUE" w:val="RO"/>
    <w:docVar w:name="TXTLANGUEMIN" w:val="ro"/>
    <w:docVar w:name="TXTNRB" w:val="1088/2016"/>
    <w:docVar w:name="TXTNRD" w:val="046168/2016"/>
    <w:docVar w:name="TXTNRPE" w:val="589.677"/>
    <w:docVar w:name="TXTNRREG" w:val="1829/2003"/>
    <w:docVar w:name="TXTNRRPS" w:val="2016/2923"/>
    <w:docVar w:name="TXTPEorAP" w:val="PE"/>
    <w:docVar w:name="TXTROUTE" w:val="RE\1105974RO.docx"/>
    <w:docVar w:name="TXTTITLE" w:val="on the draft Commission implementing decision authorising the placing on the market of products containing, consisting of, or produced from genetically modified cotton 281-24-236 × 3006-210-23 × MON 88913 (DAS-24236-5×DAS-21Ø23-5×MON-88913-8) pursuant to Regulation (EC) No 1829/2003 of the European Parliament and of the Council"/>
    <w:docVar w:name="TXTVERSION" w:val="01-00"/>
  </w:docVars>
  <w:rsids>
    <w:rsidRoot w:val="00D127FF"/>
    <w:rsid w:val="00005AFD"/>
    <w:rsid w:val="000C7B89"/>
    <w:rsid w:val="000F1377"/>
    <w:rsid w:val="000F3EC4"/>
    <w:rsid w:val="000F617C"/>
    <w:rsid w:val="00105F8B"/>
    <w:rsid w:val="00152F37"/>
    <w:rsid w:val="00161525"/>
    <w:rsid w:val="001E693A"/>
    <w:rsid w:val="00203489"/>
    <w:rsid w:val="00211FEF"/>
    <w:rsid w:val="00221D66"/>
    <w:rsid w:val="00322804"/>
    <w:rsid w:val="003340B3"/>
    <w:rsid w:val="0035784B"/>
    <w:rsid w:val="003A0210"/>
    <w:rsid w:val="003A1B2F"/>
    <w:rsid w:val="003A4E29"/>
    <w:rsid w:val="003C19D7"/>
    <w:rsid w:val="0042638B"/>
    <w:rsid w:val="00441432"/>
    <w:rsid w:val="004512DF"/>
    <w:rsid w:val="00494922"/>
    <w:rsid w:val="004B2734"/>
    <w:rsid w:val="004F48CC"/>
    <w:rsid w:val="00557DDE"/>
    <w:rsid w:val="00560E87"/>
    <w:rsid w:val="005610C7"/>
    <w:rsid w:val="00593BD5"/>
    <w:rsid w:val="00594254"/>
    <w:rsid w:val="005C01A1"/>
    <w:rsid w:val="005E0BC3"/>
    <w:rsid w:val="006008EF"/>
    <w:rsid w:val="00615B88"/>
    <w:rsid w:val="006514A8"/>
    <w:rsid w:val="00680747"/>
    <w:rsid w:val="0068641F"/>
    <w:rsid w:val="006D2B61"/>
    <w:rsid w:val="00743556"/>
    <w:rsid w:val="00765B61"/>
    <w:rsid w:val="00786EDA"/>
    <w:rsid w:val="007965E0"/>
    <w:rsid w:val="007974DD"/>
    <w:rsid w:val="007B50DB"/>
    <w:rsid w:val="007E5206"/>
    <w:rsid w:val="00824B90"/>
    <w:rsid w:val="008D62D4"/>
    <w:rsid w:val="008E4163"/>
    <w:rsid w:val="00901A19"/>
    <w:rsid w:val="00907E38"/>
    <w:rsid w:val="00916BC3"/>
    <w:rsid w:val="009A1B70"/>
    <w:rsid w:val="009A7755"/>
    <w:rsid w:val="00A40A21"/>
    <w:rsid w:val="00A64D80"/>
    <w:rsid w:val="00A81067"/>
    <w:rsid w:val="00A93F71"/>
    <w:rsid w:val="00AF587B"/>
    <w:rsid w:val="00B05174"/>
    <w:rsid w:val="00B07715"/>
    <w:rsid w:val="00B13BF7"/>
    <w:rsid w:val="00B40239"/>
    <w:rsid w:val="00B414CC"/>
    <w:rsid w:val="00B65E68"/>
    <w:rsid w:val="00C03AB9"/>
    <w:rsid w:val="00C351B6"/>
    <w:rsid w:val="00C53EF3"/>
    <w:rsid w:val="00C966C7"/>
    <w:rsid w:val="00CC325B"/>
    <w:rsid w:val="00CE526D"/>
    <w:rsid w:val="00D127FF"/>
    <w:rsid w:val="00D32B3B"/>
    <w:rsid w:val="00D462E2"/>
    <w:rsid w:val="00D60FF7"/>
    <w:rsid w:val="00D86C50"/>
    <w:rsid w:val="00D90D8D"/>
    <w:rsid w:val="00DF4E26"/>
    <w:rsid w:val="00E044AD"/>
    <w:rsid w:val="00E15842"/>
    <w:rsid w:val="00E323D6"/>
    <w:rsid w:val="00E435BC"/>
    <w:rsid w:val="00E93DB3"/>
    <w:rsid w:val="00EF6FC0"/>
    <w:rsid w:val="00F17D74"/>
    <w:rsid w:val="00F62461"/>
    <w:rsid w:val="00F67498"/>
    <w:rsid w:val="00F75D46"/>
    <w:rsid w:val="00F9151F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74A7D"/>
  <w15:chartTrackingRefBased/>
  <w15:docId w15:val="{719143D9-2D6D-4DE5-8D8C-7297180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locked/>
    <w:rsid w:val="000F1377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221D6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RefProc">
    <w:name w:val="RefProc"/>
    <w:basedOn w:val="Normal"/>
    <w:rsid w:val="004B2734"/>
    <w:pPr>
      <w:spacing w:before="240" w:after="240"/>
      <w:jc w:val="right"/>
    </w:pPr>
    <w:rPr>
      <w:rFonts w:ascii="Arial" w:hAnsi="Arial"/>
      <w:b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4B2734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49492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49492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494922"/>
    <w:pPr>
      <w:jc w:val="right"/>
    </w:pPr>
  </w:style>
  <w:style w:type="paragraph" w:customStyle="1" w:styleId="ZDate">
    <w:name w:val="ZDate"/>
    <w:basedOn w:val="Normal"/>
    <w:rsid w:val="004B2734"/>
    <w:pPr>
      <w:spacing w:after="1200"/>
    </w:pPr>
  </w:style>
  <w:style w:type="paragraph" w:styleId="FootnoteText">
    <w:name w:val="footnote text"/>
    <w:basedOn w:val="Normal"/>
    <w:link w:val="FootnoteTextChar"/>
    <w:rsid w:val="0068641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8641F"/>
  </w:style>
  <w:style w:type="character" w:styleId="FootnoteReference">
    <w:name w:val="footnote reference"/>
    <w:basedOn w:val="DefaultParagraphFont"/>
    <w:rsid w:val="0068641F"/>
    <w:rPr>
      <w:vertAlign w:val="superscript"/>
    </w:rPr>
  </w:style>
  <w:style w:type="character" w:customStyle="1" w:styleId="contents">
    <w:name w:val="contents"/>
    <w:rsid w:val="0068641F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641F"/>
  </w:style>
  <w:style w:type="paragraph" w:styleId="CommentSubject">
    <w:name w:val="annotation subject"/>
    <w:basedOn w:val="CommentText"/>
    <w:next w:val="CommentText"/>
    <w:link w:val="CommentSubjectChar"/>
    <w:rsid w:val="0068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41F"/>
    <w:rPr>
      <w:b/>
      <w:bCs/>
    </w:rPr>
  </w:style>
  <w:style w:type="paragraph" w:styleId="BalloonText">
    <w:name w:val="Balloon Text"/>
    <w:basedOn w:val="Normal"/>
    <w:link w:val="BalloonTextChar"/>
    <w:rsid w:val="00686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41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8641F"/>
    <w:rPr>
      <w:color w:val="0563C1"/>
      <w:u w:val="single"/>
    </w:rPr>
  </w:style>
  <w:style w:type="character" w:styleId="FollowedHyperlink">
    <w:name w:val="FollowedHyperlink"/>
    <w:basedOn w:val="DefaultParagraphFont"/>
    <w:rsid w:val="00F62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rc.fr/en/media-centre/iarcnews/pdf/MonographVolume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4CB4-5C45-4EC9-B876-D9F7326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F29EE497.dotm</Template>
  <TotalTime>0</TotalTime>
  <Pages>5</Pages>
  <Words>1340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RE_RegProc_Objections</vt:lpstr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RE_RegProc_Objections</dc:title>
  <dc:subject/>
  <dc:creator>DE WILDE Alice</dc:creator>
  <cp:keywords/>
  <dc:description/>
  <cp:lastModifiedBy>RUGE Loredana-Florentina</cp:lastModifiedBy>
  <cp:revision>2</cp:revision>
  <cp:lastPrinted>2016-10-04T12:18:00Z</cp:lastPrinted>
  <dcterms:created xsi:type="dcterms:W3CDTF">2016-10-05T15:16:00Z</dcterms:created>
  <dcterms:modified xsi:type="dcterms:W3CDTF">2016-10-05T15:16:00Z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1105974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\\eiciLUXpr1\pdocep$\DocEP\DOCS\General\RE\RE_ImplAct\RE_RegProc_Objections.dot(17/02/2016 11:46:05)</vt:lpwstr>
  </property>
  <property fmtid="{D5CDD505-2E9C-101B-9397-08002B2CF9AE}" pid="7" name="&lt;ModelTra&gt;">
    <vt:lpwstr>\\eiciLUXpr1\pdocep$\DocEP\TRANSFIL\EN\RE_RegProc_Objections.EN(21/09/2015 07:36:41)</vt:lpwstr>
  </property>
  <property fmtid="{D5CDD505-2E9C-101B-9397-08002B2CF9AE}" pid="8" name="&lt;Model&gt;">
    <vt:lpwstr>RE_RegProc_Objections</vt:lpwstr>
  </property>
  <property fmtid="{D5CDD505-2E9C-101B-9397-08002B2CF9AE}" pid="9" name="FooterPath">
    <vt:lpwstr>RE\1105974RO.docx</vt:lpwstr>
  </property>
  <property fmtid="{D5CDD505-2E9C-101B-9397-08002B2CF9AE}" pid="10" name="PE Number">
    <vt:lpwstr>589.677</vt:lpwstr>
  </property>
  <property fmtid="{D5CDD505-2E9C-101B-9397-08002B2CF9AE}" pid="11" name="Bookout">
    <vt:lpwstr>OK - 2016/10/5 17:14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