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955B16" w:rsidRPr="006F798F" w:rsidTr="0009153D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955B16" w:rsidRPr="006F798F" w:rsidRDefault="006F798F" w:rsidP="0009153D">
            <w:pPr>
              <w:pStyle w:val="EPName"/>
            </w:pPr>
            <w:r>
              <w:t>Európai Parlament</w:t>
            </w:r>
          </w:p>
          <w:p w:rsidR="00955B16" w:rsidRPr="002D1767" w:rsidRDefault="002D1767" w:rsidP="002D1767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>
              <w:t>2014-2019</w:t>
            </w:r>
          </w:p>
        </w:tc>
        <w:tc>
          <w:tcPr>
            <w:tcW w:w="2268" w:type="dxa"/>
            <w:shd w:val="clear" w:color="auto" w:fill="auto"/>
          </w:tcPr>
          <w:p w:rsidR="00955B16" w:rsidRPr="006F798F" w:rsidRDefault="00356238" w:rsidP="0009153D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7" o:title="EP logo RGB_Mute"/>
                </v:shape>
              </w:pict>
            </w:r>
          </w:p>
        </w:tc>
      </w:tr>
    </w:tbl>
    <w:p w:rsidR="000C7B89" w:rsidRPr="006F798F" w:rsidRDefault="000C7B89" w:rsidP="000C7B89">
      <w:pPr>
        <w:pStyle w:val="LineTop"/>
      </w:pPr>
    </w:p>
    <w:p w:rsidR="000C7B89" w:rsidRPr="006F798F" w:rsidRDefault="002D1767" w:rsidP="000C7B89">
      <w:pPr>
        <w:pStyle w:val="ZSessionDoc"/>
      </w:pPr>
      <w:r>
        <w:t>Plenárisülés-dokumentum</w:t>
      </w:r>
    </w:p>
    <w:p w:rsidR="0095383A" w:rsidRPr="006F798F" w:rsidRDefault="0095383A" w:rsidP="0095383A">
      <w:pPr>
        <w:pStyle w:val="LineBottom"/>
      </w:pPr>
    </w:p>
    <w:p w:rsidR="0095383A" w:rsidRPr="006F798F" w:rsidRDefault="0095383A" w:rsidP="0095383A">
      <w:pPr>
        <w:pStyle w:val="RefProc"/>
      </w:pPr>
      <w:r>
        <w:rPr>
          <w:rStyle w:val="HideTWBExt"/>
          <w:b w:val="0"/>
          <w:noProof w:val="0"/>
        </w:rPr>
        <w:t>&lt;NoDocSe&gt;</w:t>
      </w:r>
      <w:r>
        <w:t>B8-0066/2018</w:t>
      </w:r>
      <w:r>
        <w:rPr>
          <w:rStyle w:val="HideTWBExt"/>
          <w:b w:val="0"/>
          <w:noProof w:val="0"/>
        </w:rPr>
        <w:t>&lt;/NoDocSe&gt;</w:t>
      </w:r>
    </w:p>
    <w:p w:rsidR="0095383A" w:rsidRPr="006F798F" w:rsidRDefault="0095383A" w:rsidP="0095383A">
      <w:pPr>
        <w:pStyle w:val="ZDate"/>
      </w:pPr>
      <w:r>
        <w:rPr>
          <w:rStyle w:val="HideTWBExt"/>
          <w:noProof w:val="0"/>
        </w:rPr>
        <w:t>&lt;Date&gt;</w:t>
      </w:r>
      <w:r>
        <w:rPr>
          <w:rStyle w:val="HideTWBInt"/>
        </w:rPr>
        <w:t>{26/01/2018}</w:t>
      </w:r>
      <w:r>
        <w:t>26.1.2018</w:t>
      </w:r>
      <w:r>
        <w:rPr>
          <w:rStyle w:val="HideTWBExt"/>
          <w:noProof w:val="0"/>
        </w:rPr>
        <w:t>&lt;/Date&gt;</w:t>
      </w:r>
    </w:p>
    <w:p w:rsidR="00211FEF" w:rsidRPr="006F798F" w:rsidRDefault="00211FEF" w:rsidP="00211FEF">
      <w:pPr>
        <w:pStyle w:val="TypeDoc"/>
      </w:pPr>
      <w:r>
        <w:rPr>
          <w:rStyle w:val="HideTWBExt"/>
          <w:b w:val="0"/>
          <w:noProof w:val="0"/>
        </w:rPr>
        <w:t>&lt;TitreType&gt;</w:t>
      </w:r>
      <w:r>
        <w:t>HATÁROZATRA IRÁNYULÓ AJÁNLÁS</w:t>
      </w:r>
      <w:r>
        <w:rPr>
          <w:rStyle w:val="HideTWBExt"/>
          <w:b w:val="0"/>
          <w:noProof w:val="0"/>
        </w:rPr>
        <w:t>&lt;/TitreType&gt;</w:t>
      </w:r>
    </w:p>
    <w:p w:rsidR="00211FEF" w:rsidRPr="006F798F" w:rsidRDefault="00211FEF" w:rsidP="00211FEF">
      <w:pPr>
        <w:pStyle w:val="Cover12"/>
      </w:pPr>
      <w:r>
        <w:rPr>
          <w:rStyle w:val="HideTWBExt"/>
          <w:noProof w:val="0"/>
        </w:rPr>
        <w:t>&lt;TitreRecueil&gt;</w:t>
      </w:r>
      <w:r>
        <w:t>az eljárási szabályzat 106. cikke (4) bekezdésének d) pontja és 105. cikkének (6) bekezdésével összhangban benyújtva</w:t>
      </w:r>
      <w:r>
        <w:rPr>
          <w:rStyle w:val="HideTWBExt"/>
          <w:noProof w:val="0"/>
        </w:rPr>
        <w:t>&lt;/TitreRecueil&gt;</w:t>
      </w:r>
      <w:bookmarkStart w:id="0" w:name="_GoBack"/>
      <w:bookmarkEnd w:id="0"/>
    </w:p>
    <w:p w:rsidR="00211FEF" w:rsidRPr="006F798F" w:rsidRDefault="00211FEF" w:rsidP="00211FEF">
      <w:pPr>
        <w:pStyle w:val="CoverNormal"/>
      </w:pPr>
      <w:r>
        <w:rPr>
          <w:rStyle w:val="HideTWBExt"/>
          <w:noProof w:val="0"/>
        </w:rPr>
        <w:t>&lt;Titre&gt;</w:t>
      </w:r>
      <w:r>
        <w:t>az 1606/2002/EK európai parlamenti és tanácsi rendelettel összhangban egyes nemzetközi számviteli standardok elfogadásáról szóló 1126/2008/EK rendeletnek az IFRS 9 nemzetközi pénzügyi beszámolási standard módosításai tekintetében történő módosításáról szóló bizottsági rendelet tervezetével szembeni kifogás mellőzéséről</w:t>
      </w:r>
      <w:r>
        <w:rPr>
          <w:rStyle w:val="HideTWBExt"/>
          <w:noProof w:val="0"/>
        </w:rPr>
        <w:t>&lt;/Titre&gt;</w:t>
      </w:r>
    </w:p>
    <w:p w:rsidR="00211FEF" w:rsidRPr="006F798F" w:rsidRDefault="00211FEF" w:rsidP="00387543">
      <w:pPr>
        <w:pStyle w:val="Cover24"/>
      </w:pPr>
      <w:r>
        <w:rPr>
          <w:rStyle w:val="HideTWBExt"/>
          <w:noProof w:val="0"/>
        </w:rPr>
        <w:t>&lt;DocRef&gt;</w:t>
      </w:r>
      <w:r>
        <w:t>(D54380/02 – 2017/3018(RPS))</w:t>
      </w:r>
      <w:r>
        <w:rPr>
          <w:rStyle w:val="HideTWBExt"/>
          <w:noProof w:val="0"/>
        </w:rPr>
        <w:t>&lt;/DocRef&gt;</w:t>
      </w:r>
    </w:p>
    <w:p w:rsidR="009C5778" w:rsidRPr="006F798F" w:rsidRDefault="009C5778" w:rsidP="009C5778">
      <w:pPr>
        <w:pStyle w:val="CoverBold24"/>
      </w:pPr>
      <w:r>
        <w:rPr>
          <w:rStyle w:val="HideTWBExt"/>
          <w:b w:val="0"/>
          <w:noProof w:val="0"/>
        </w:rPr>
        <w:t>&lt;Commission&gt;</w:t>
      </w:r>
      <w:r>
        <w:rPr>
          <w:rStyle w:val="HideTWBInt"/>
        </w:rPr>
        <w:t>{ECON}</w:t>
      </w:r>
      <w:r>
        <w:t>Gazdasági és Monetáris Bizottság</w:t>
      </w:r>
      <w:r>
        <w:rPr>
          <w:rStyle w:val="HideTWBExt"/>
          <w:b w:val="0"/>
          <w:noProof w:val="0"/>
        </w:rPr>
        <w:t>&lt;/Commission&gt;</w:t>
      </w:r>
    </w:p>
    <w:p w:rsidR="009C5778" w:rsidRPr="006F798F" w:rsidRDefault="002D1767" w:rsidP="009C5778">
      <w:pPr>
        <w:pStyle w:val="Cover24"/>
      </w:pPr>
      <w:r>
        <w:t xml:space="preserve">Illetékes képviselő: </w:t>
      </w:r>
      <w:r>
        <w:rPr>
          <w:rStyle w:val="HideTWBExt"/>
          <w:noProof w:val="0"/>
        </w:rPr>
        <w:t>&lt;Depute&gt;</w:t>
      </w:r>
      <w:r>
        <w:t>Theodor Dumitru Stolojan</w:t>
      </w:r>
      <w:r>
        <w:rPr>
          <w:rStyle w:val="HideTWBExt"/>
          <w:noProof w:val="0"/>
        </w:rPr>
        <w:t>&lt;/Depute&gt;</w:t>
      </w:r>
    </w:p>
    <w:p w:rsidR="00A93F71" w:rsidRPr="006F798F" w:rsidRDefault="00A93F71" w:rsidP="00A93F71">
      <w:pPr>
        <w:pStyle w:val="Cover12"/>
      </w:pPr>
    </w:p>
    <w:p w:rsidR="00A93F71" w:rsidRPr="006F798F" w:rsidRDefault="00A93F71" w:rsidP="00A93F71">
      <w:pPr>
        <w:pStyle w:val="Normal12Bold"/>
      </w:pPr>
      <w:r>
        <w:br w:type="page"/>
      </w:r>
      <w:r>
        <w:lastRenderedPageBreak/>
        <w:t>B8-0066/2018</w:t>
      </w:r>
    </w:p>
    <w:p w:rsidR="00726E4F" w:rsidRPr="006F798F" w:rsidRDefault="002D1767" w:rsidP="00726E4F">
      <w:pPr>
        <w:pStyle w:val="NormalBold"/>
      </w:pPr>
      <w:r>
        <w:t>Az Európai Parlament határozattervezete az 1606/2002/EK európai parlamenti és tanácsi rendelettel összhangban egyes nemzetközi számviteli standardok elfogadásáról szóló 1126/2008/EK rendeletnek az IFRS 9 nemzetközi pénzügyi beszámolási standard módosításai tekintetében történő módosításáról szóló bizottsági rendelet tervezetével szembeni kifogás mellőzéséről</w:t>
      </w:r>
    </w:p>
    <w:p w:rsidR="00726E4F" w:rsidRPr="006F798F" w:rsidRDefault="006F798F" w:rsidP="00726E4F">
      <w:pPr>
        <w:pStyle w:val="NormalBold"/>
      </w:pPr>
      <w:r>
        <w:t>(D54380/02 – 2017/3018(RPS))</w:t>
      </w:r>
    </w:p>
    <w:p w:rsidR="00726E4F" w:rsidRPr="006F798F" w:rsidRDefault="00726E4F" w:rsidP="00726E4F">
      <w:pPr>
        <w:pStyle w:val="Normal12"/>
      </w:pPr>
    </w:p>
    <w:p w:rsidR="00A93F71" w:rsidRPr="006F798F" w:rsidRDefault="006F798F" w:rsidP="00A93F71">
      <w:pPr>
        <w:pStyle w:val="Normal12"/>
      </w:pPr>
      <w:r>
        <w:rPr>
          <w:i/>
        </w:rPr>
        <w:t>Az Európai Parlament</w:t>
      </w:r>
      <w:r>
        <w:t>,</w:t>
      </w:r>
    </w:p>
    <w:p w:rsidR="003A4E29" w:rsidRPr="006F798F" w:rsidRDefault="003A4E29" w:rsidP="003A4E29">
      <w:pPr>
        <w:pStyle w:val="Normal12Hanging"/>
      </w:pPr>
      <w:r>
        <w:t>–</w:t>
      </w:r>
      <w:r>
        <w:tab/>
        <w:t>tekintettel a bizottsági rendelet tervezetére (D54380/02),</w:t>
      </w:r>
    </w:p>
    <w:p w:rsidR="00582A49" w:rsidRDefault="003A4E29" w:rsidP="00582A49">
      <w:pPr>
        <w:pStyle w:val="Normal12Hanging"/>
      </w:pPr>
      <w:r>
        <w:t>–</w:t>
      </w:r>
      <w:r>
        <w:tab/>
        <w:t>tekintettel a nemzetközi számviteli standardok alkalmazásáról szóló, 2002. július 19-i 1606/2002/EK európai parlamenti és tanácsi rendeletre</w:t>
      </w:r>
      <w:r w:rsidR="00582A49">
        <w:rPr>
          <w:rStyle w:val="FootnoteReference"/>
        </w:rPr>
        <w:footnoteReference w:id="1"/>
      </w:r>
      <w:r>
        <w:t xml:space="preserve"> és különösen annak 3. cikke (1) bekezdésére,</w:t>
      </w:r>
    </w:p>
    <w:p w:rsidR="00582A49" w:rsidRDefault="00582A49" w:rsidP="00582A49">
      <w:pPr>
        <w:pStyle w:val="Normal12Hanging"/>
      </w:pPr>
      <w:r>
        <w:t>–</w:t>
      </w:r>
      <w:r>
        <w:tab/>
        <w:t>tekintettel a Bizottság 2017. december 18-i levelére, amelyben annak kinyilvánítására kéri az Európai Parlamentet, hogy nem ellenzi a rendelet tervezetét,</w:t>
      </w:r>
    </w:p>
    <w:p w:rsidR="007B2F61" w:rsidRPr="006F798F" w:rsidRDefault="00582A49" w:rsidP="00582A49">
      <w:pPr>
        <w:pStyle w:val="Normal12Hanging"/>
      </w:pPr>
      <w:r>
        <w:t>–</w:t>
      </w:r>
      <w:r>
        <w:tab/>
        <w:t>tekintettel a Gazdasági és Monetáris Bizottság által a Bizottsági Elnökök Értekezletének elnökéhez intézett 2018. január 24-i levélre,</w:t>
      </w:r>
    </w:p>
    <w:p w:rsidR="003A4E29" w:rsidRPr="006F798F" w:rsidRDefault="003A4E29" w:rsidP="003A4E29">
      <w:pPr>
        <w:pStyle w:val="Normal12Hanging"/>
      </w:pPr>
      <w:r>
        <w:t>–</w:t>
      </w:r>
      <w:r>
        <w:tab/>
        <w:t>tekintettel a Bizottságra ruházott végrehajtási hatáskörök gyakorlására vonatkozó eljárások megállapításáról szóló, 1999. június 28-i 1999/468/EK tanácsi határozat</w:t>
      </w:r>
      <w:r w:rsidR="00582A49">
        <w:rPr>
          <w:rStyle w:val="FootnoteReference"/>
        </w:rPr>
        <w:footnoteReference w:id="2"/>
      </w:r>
      <w:r>
        <w:t xml:space="preserve"> 5a. cikkére,</w:t>
      </w:r>
    </w:p>
    <w:p w:rsidR="00E17B7E" w:rsidRPr="006F798F" w:rsidRDefault="00E17B7E" w:rsidP="00E17B7E">
      <w:pPr>
        <w:pStyle w:val="Normal12Hanging"/>
      </w:pPr>
      <w:r>
        <w:t>–</w:t>
      </w:r>
      <w:r>
        <w:tab/>
        <w:t>tekintettel a Gazdasági és Monetáris Bizottság határozatra vonatkozó ajánlására,</w:t>
      </w:r>
    </w:p>
    <w:p w:rsidR="003A4E29" w:rsidRPr="006F798F" w:rsidRDefault="003A4E29" w:rsidP="003A4E29">
      <w:pPr>
        <w:pStyle w:val="Normal12Hanging"/>
      </w:pPr>
      <w:r>
        <w:t>–</w:t>
      </w:r>
      <w:r>
        <w:tab/>
        <w:t>tekintettel eljárási szabályzata 106. cikke (4) bekezdésének d) pontjára és 105. cikkének (6) bekezdésére,</w:t>
      </w:r>
    </w:p>
    <w:p w:rsidR="00582A49" w:rsidRDefault="003A4E29" w:rsidP="00582A49">
      <w:pPr>
        <w:pStyle w:val="Normal12Hanging"/>
      </w:pPr>
      <w:r>
        <w:t>A.</w:t>
      </w:r>
      <w:r>
        <w:tab/>
        <w:t>mivel a Nemzetközi Számviteli Standard Testület (IASB) 2017. október 12-én módosította az IFRS 9 Pénzügyi eszközök nemzetközi pénzügyi beszámolási standardot; mivel e módosítás célja az volt, hogy egyértelművé és következetessé tegyék a hitelviszonyt megtestesítő, negatív előtörlesztési lehetőségeket kínáló instrumentumok besorolását;</w:t>
      </w:r>
    </w:p>
    <w:p w:rsidR="00582A49" w:rsidRDefault="00582A49" w:rsidP="00582A49">
      <w:pPr>
        <w:pStyle w:val="Normal12Hanging"/>
      </w:pPr>
      <w:r>
        <w:t>B.</w:t>
      </w:r>
      <w:r>
        <w:tab/>
        <w:t>mivel az Európai Pénzügyi Beszámolási Tanácsadó Csoport (EFRAG) 2017. november 10-én kedvező szakvéleményt adott a Bizottság számára; mivel az EFRAG szakvéleménye foglalkozik az Európai Központi Bank EFRAG-nak küldött 2017. november 8-i levelében felvetett néhány kérdéssel;</w:t>
      </w:r>
    </w:p>
    <w:p w:rsidR="00582A49" w:rsidRDefault="00582A49" w:rsidP="00582A49">
      <w:pPr>
        <w:pStyle w:val="Normal12Hanging"/>
      </w:pPr>
      <w:r>
        <w:t>C.</w:t>
      </w:r>
      <w:r>
        <w:tab/>
        <w:t xml:space="preserve">mivel a Bizottság arra a következtetésre jutott, hogy az értelmezés megfelel az elfogadáshoz szükséges technikai kritériumoknak, amint azt az 1606/2002/EK rendelet 3. cikkének (2) bekezdése megköveteli, és kijelenti, hogy a javasolt módosítás csupán fenntartja az ilyen speciális instrumentumok amortizált költségeinek elszámolása terén </w:t>
      </w:r>
      <w:r>
        <w:lastRenderedPageBreak/>
        <w:t>az IFRS 9 bevezetése előtt kialakult status quo-t;</w:t>
      </w:r>
    </w:p>
    <w:p w:rsidR="00582A49" w:rsidRDefault="00582A49" w:rsidP="00582A49">
      <w:pPr>
        <w:pStyle w:val="Normal12Hanging"/>
      </w:pPr>
      <w:r>
        <w:t>D.</w:t>
      </w:r>
      <w:r>
        <w:tab/>
        <w:t>mivel az IASB az IFRS 9 standard módosítása alkalmazásának időpontját 2019. január 1-ében határozta meg, de alkalmazása korábban is engedélyezett; mivel a pénzügyi instrumentumok IFRS 9 standard szerinti elszámolása már 2018. január 1. óta kötelező; mivel az IFRS számviteli standardokat alkalmazó pénzügyi intézmények nem vehetik igénybe a javasolt módosítás szerinti eljárást annak jóváhagyása és közzététele előtt;</w:t>
      </w:r>
    </w:p>
    <w:p w:rsidR="003A4E29" w:rsidRPr="006F798F" w:rsidRDefault="00582A49" w:rsidP="00582A49">
      <w:pPr>
        <w:pStyle w:val="Normal12Hanging"/>
      </w:pPr>
      <w:r>
        <w:t>E.</w:t>
      </w:r>
      <w:r>
        <w:tab/>
        <w:t>mivel a Bizottság célja az volt, hogy az egyes nemzetközi számviteli standardok elfogadásáról szóló 2008. november 3-i 1126/2008/EK rendelet</w:t>
      </w:r>
      <w:r>
        <w:rPr>
          <w:rStyle w:val="FootnoteReference"/>
        </w:rPr>
        <w:footnoteReference w:id="3"/>
      </w:r>
      <w:r>
        <w:t xml:space="preserve"> módosítását 2018. március vége előtt közzétegyék, hogy az alkalmazható legyen a 2018. január 1-jén vagy azt követően kezdődő pénzügyi időszakokban;</w:t>
      </w:r>
    </w:p>
    <w:p w:rsidR="003A4E29" w:rsidRPr="006F798F" w:rsidRDefault="003A4E29" w:rsidP="00E6442A">
      <w:pPr>
        <w:pStyle w:val="Normal12Hanging"/>
      </w:pPr>
      <w:r>
        <w:t>1.</w:t>
      </w:r>
      <w:r>
        <w:tab/>
        <w:t xml:space="preserve">kijelenti, hogy nem ellenzi a bizottsági </w:t>
      </w:r>
      <w:bookmarkStart w:id="1" w:name="DocEPTmp"/>
      <w:bookmarkEnd w:id="1"/>
      <w:r>
        <w:t>rendelet</w:t>
      </w:r>
      <w:bookmarkStart w:id="2" w:name="DocEPTmp2"/>
      <w:bookmarkEnd w:id="2"/>
      <w:r>
        <w:t xml:space="preserve"> tervezetét;</w:t>
      </w:r>
    </w:p>
    <w:p w:rsidR="00A70D69" w:rsidRPr="006F798F" w:rsidRDefault="003A4E29" w:rsidP="00866884">
      <w:pPr>
        <w:pStyle w:val="Normal12Hanging"/>
      </w:pPr>
      <w:r>
        <w:t>2.</w:t>
      </w:r>
      <w:r>
        <w:tab/>
        <w:t>utasítja elnökét, hogy továbbítsa ezt a határozatot a Bizottságnak és tájékoztatás céljából a Tanácsnak.</w:t>
      </w:r>
    </w:p>
    <w:sectPr w:rsidR="00A70D69" w:rsidRPr="006F798F" w:rsidSect="006D22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98F" w:rsidRPr="006F798F" w:rsidRDefault="006F798F">
      <w:r w:rsidRPr="006F798F">
        <w:separator/>
      </w:r>
    </w:p>
  </w:endnote>
  <w:endnote w:type="continuationSeparator" w:id="0">
    <w:p w:rsidR="006F798F" w:rsidRPr="006F798F" w:rsidRDefault="006F798F">
      <w:r w:rsidRPr="006F798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C37" w:rsidRPr="006F798F" w:rsidRDefault="00356238">
    <w:pPr>
      <w:pStyle w:val="Footer"/>
      <w:tabs>
        <w:tab w:val="right" w:pos="9356"/>
      </w:tabs>
    </w:pPr>
    <w:r>
      <w:fldChar w:fldCharType="begin"/>
    </w:r>
    <w:r>
      <w:instrText xml:space="preserve"> REF OutsideFooter </w:instrText>
    </w:r>
    <w:r>
      <w:fldChar w:fldCharType="separate"/>
    </w:r>
    <w:r w:rsidRPr="006F798F">
      <w:t>PE</w:t>
    </w:r>
    <w:r w:rsidRPr="006F798F">
      <w:rPr>
        <w:rStyle w:val="HideTWBExt"/>
        <w:noProof w:val="0"/>
      </w:rPr>
      <w:t>&lt;NoPE&gt;</w:t>
    </w:r>
    <w:r>
      <w:t>614.368</w:t>
    </w:r>
    <w:r w:rsidRPr="006F798F">
      <w:rPr>
        <w:rStyle w:val="HideTWBExt"/>
        <w:noProof w:val="0"/>
      </w:rPr>
      <w:t>&lt;/NoPE&gt;&lt;Version&gt;</w:t>
    </w:r>
    <w:r w:rsidRPr="006F798F">
      <w:t>v</w:t>
    </w:r>
    <w:r>
      <w:t>01-00</w:t>
    </w:r>
    <w:r w:rsidRPr="006F798F">
      <w:rPr>
        <w:rStyle w:val="HideTWBExt"/>
        <w:noProof w:val="0"/>
      </w:rPr>
      <w:t>&lt;/Version&gt;</w:t>
    </w:r>
    <w:r>
      <w:rPr>
        <w:rStyle w:val="HideTWBExt"/>
        <w:noProof w:val="0"/>
      </w:rPr>
      <w:fldChar w:fldCharType="end"/>
    </w:r>
    <w:r w:rsidR="00AC1C37" w:rsidRPr="006F798F">
      <w:tab/>
    </w:r>
    <w:r w:rsidR="00AC1C37" w:rsidRPr="006F798F">
      <w:fldChar w:fldCharType="begin"/>
    </w:r>
    <w:r w:rsidR="00AC1C37" w:rsidRPr="006F798F">
      <w:instrText xml:space="preserve"> PAGE </w:instrText>
    </w:r>
    <w:r w:rsidR="00AC1C37" w:rsidRPr="006F798F">
      <w:fldChar w:fldCharType="separate"/>
    </w:r>
    <w:r>
      <w:rPr>
        <w:noProof/>
      </w:rPr>
      <w:t>2</w:t>
    </w:r>
    <w:r w:rsidR="00AC1C37" w:rsidRPr="006F798F">
      <w:fldChar w:fldCharType="end"/>
    </w:r>
    <w:r w:rsidR="00AC1C37" w:rsidRPr="006F798F">
      <w:t>/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 w:rsidR="00AC1C37" w:rsidRPr="006F798F">
      <w:tab/>
    </w:r>
    <w:r>
      <w:fldChar w:fldCharType="begin"/>
    </w:r>
    <w:r>
      <w:instrText xml:space="preserve"> REF InsideFooter </w:instrText>
    </w:r>
    <w:r>
      <w:fldChar w:fldCharType="separate"/>
    </w:r>
    <w:r w:rsidRPr="006F798F">
      <w:rPr>
        <w:rStyle w:val="HideTWBExt"/>
        <w:noProof w:val="0"/>
      </w:rPr>
      <w:t>&lt;PathFdR&gt;</w:t>
    </w:r>
    <w:r w:rsidRPr="002D1767">
      <w:t>RE\1144369HU.docx</w:t>
    </w:r>
    <w:r w:rsidRPr="006F798F">
      <w:rPr>
        <w:rStyle w:val="HideTWBExt"/>
        <w:noProof w:val="0"/>
      </w:rPr>
      <w:t>&lt;/PathFdR&gt;</w:t>
    </w:r>
    <w:r>
      <w:rPr>
        <w:rStyle w:val="HideTWBExt"/>
        <w:noProof w:val="0"/>
      </w:rPr>
      <w:fldChar w:fldCharType="end"/>
    </w:r>
  </w:p>
  <w:p w:rsidR="00AC1C37" w:rsidRPr="006F798F" w:rsidRDefault="00356238">
    <w:pPr>
      <w:pStyle w:val="Footer2"/>
    </w:pPr>
    <w:r>
      <w:fldChar w:fldCharType="begin"/>
    </w:r>
    <w:r>
      <w:instrText xml:space="preserve"> DOCPROPERTY "&lt;Extension&gt;" </w:instrText>
    </w:r>
    <w:r>
      <w:fldChar w:fldCharType="separate"/>
    </w:r>
    <w:r>
      <w:t>HU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C37" w:rsidRPr="006F798F" w:rsidRDefault="00356238">
    <w:pPr>
      <w:pStyle w:val="Footer"/>
      <w:tabs>
        <w:tab w:val="right" w:pos="9356"/>
      </w:tabs>
    </w:pPr>
    <w:r>
      <w:fldChar w:fldCharType="begin"/>
    </w:r>
    <w:r>
      <w:instrText xml:space="preserve"> REF InsideFooter </w:instrText>
    </w:r>
    <w:r>
      <w:fldChar w:fldCharType="separate"/>
    </w:r>
    <w:r w:rsidRPr="006F798F">
      <w:rPr>
        <w:rStyle w:val="HideTWBExt"/>
        <w:noProof w:val="0"/>
      </w:rPr>
      <w:t>&lt;PathFdR&gt;</w:t>
    </w:r>
    <w:r w:rsidRPr="002D1767">
      <w:t>RE\1144369HU.docx</w:t>
    </w:r>
    <w:r w:rsidRPr="006F798F">
      <w:rPr>
        <w:rStyle w:val="HideTWBExt"/>
        <w:noProof w:val="0"/>
      </w:rPr>
      <w:t>&lt;/PathFdR&gt;</w:t>
    </w:r>
    <w:r>
      <w:rPr>
        <w:rStyle w:val="HideTWBExt"/>
        <w:noProof w:val="0"/>
      </w:rPr>
      <w:fldChar w:fldCharType="end"/>
    </w:r>
    <w:r w:rsidR="00AC1C37" w:rsidRPr="006F798F">
      <w:tab/>
    </w:r>
    <w:r w:rsidR="00AC1C37" w:rsidRPr="006F798F">
      <w:fldChar w:fldCharType="begin"/>
    </w:r>
    <w:r w:rsidR="00AC1C37" w:rsidRPr="006F798F">
      <w:instrText xml:space="preserve"> PAGE </w:instrText>
    </w:r>
    <w:r w:rsidR="00AC1C37" w:rsidRPr="006F798F">
      <w:fldChar w:fldCharType="separate"/>
    </w:r>
    <w:r>
      <w:rPr>
        <w:noProof/>
      </w:rPr>
      <w:t>3</w:t>
    </w:r>
    <w:r w:rsidR="00AC1C37" w:rsidRPr="006F798F">
      <w:fldChar w:fldCharType="end"/>
    </w:r>
    <w:r w:rsidR="00AC1C37" w:rsidRPr="006F798F">
      <w:t>/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 w:rsidR="00AC1C37" w:rsidRPr="006F798F">
      <w:tab/>
    </w:r>
    <w:r>
      <w:fldChar w:fldCharType="begin"/>
    </w:r>
    <w:r>
      <w:instrText xml:space="preserve"> REF OutsideFooter </w:instrText>
    </w:r>
    <w:r>
      <w:fldChar w:fldCharType="separate"/>
    </w:r>
    <w:r w:rsidRPr="006F798F">
      <w:t>PE</w:t>
    </w:r>
    <w:r w:rsidRPr="006F798F">
      <w:rPr>
        <w:rStyle w:val="HideTWBExt"/>
        <w:noProof w:val="0"/>
      </w:rPr>
      <w:t>&lt;NoPE&gt;</w:t>
    </w:r>
    <w:r>
      <w:t>614.368</w:t>
    </w:r>
    <w:r w:rsidRPr="006F798F">
      <w:rPr>
        <w:rStyle w:val="HideTWBExt"/>
        <w:noProof w:val="0"/>
      </w:rPr>
      <w:t>&lt;/NoPE&gt;&lt;Version&gt;</w:t>
    </w:r>
    <w:r w:rsidRPr="006F798F">
      <w:t>v</w:t>
    </w:r>
    <w:r>
      <w:t>01-00</w:t>
    </w:r>
    <w:r w:rsidRPr="006F798F">
      <w:rPr>
        <w:rStyle w:val="HideTWBExt"/>
        <w:noProof w:val="0"/>
      </w:rPr>
      <w:t>&lt;/Version&gt;</w:t>
    </w:r>
    <w:r>
      <w:rPr>
        <w:rStyle w:val="HideTWBExt"/>
        <w:noProof w:val="0"/>
      </w:rPr>
      <w:fldChar w:fldCharType="end"/>
    </w:r>
  </w:p>
  <w:p w:rsidR="00AC1C37" w:rsidRPr="006F798F" w:rsidRDefault="00AC1C37">
    <w:pPr>
      <w:pStyle w:val="Footer2"/>
    </w:pPr>
    <w:r w:rsidRPr="006F798F">
      <w:tab/>
    </w:r>
    <w:r w:rsidR="00356238">
      <w:fldChar w:fldCharType="begin"/>
    </w:r>
    <w:r w:rsidR="00356238">
      <w:instrText xml:space="preserve"> DOCPROPERTY "&lt;Extension&gt;" </w:instrText>
    </w:r>
    <w:r w:rsidR="00356238">
      <w:fldChar w:fldCharType="separate"/>
    </w:r>
    <w:r w:rsidR="00356238">
      <w:t>HU</w:t>
    </w:r>
    <w:r w:rsidR="00356238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C37" w:rsidRPr="006F798F" w:rsidRDefault="00AC1C37">
    <w:pPr>
      <w:pStyle w:val="Footer"/>
    </w:pPr>
    <w:bookmarkStart w:id="3" w:name="InsideFooter"/>
    <w:r w:rsidRPr="006F798F">
      <w:rPr>
        <w:rStyle w:val="HideTWBExt"/>
        <w:noProof w:val="0"/>
      </w:rPr>
      <w:t>&lt;PathFdR&gt;</w:t>
    </w:r>
    <w:r w:rsidR="002D1767" w:rsidRPr="002D1767">
      <w:t>RE\1144369HU.docx</w:t>
    </w:r>
    <w:r w:rsidRPr="006F798F">
      <w:rPr>
        <w:rStyle w:val="HideTWBExt"/>
        <w:noProof w:val="0"/>
      </w:rPr>
      <w:t>&lt;/PathFdR&gt;</w:t>
    </w:r>
    <w:bookmarkEnd w:id="3"/>
    <w:r w:rsidRPr="006F798F">
      <w:tab/>
    </w:r>
    <w:r w:rsidRPr="006F798F">
      <w:tab/>
    </w:r>
    <w:bookmarkStart w:id="4" w:name="OutsideFooter"/>
    <w:r w:rsidRPr="006F798F">
      <w:t>PE</w:t>
    </w:r>
    <w:r w:rsidRPr="006F798F">
      <w:rPr>
        <w:rStyle w:val="HideTWBExt"/>
        <w:noProof w:val="0"/>
      </w:rPr>
      <w:t>&lt;NoPE&gt;</w:t>
    </w:r>
    <w:r w:rsidR="002D1767">
      <w:t>614.368</w:t>
    </w:r>
    <w:r w:rsidRPr="006F798F">
      <w:rPr>
        <w:rStyle w:val="HideTWBExt"/>
        <w:noProof w:val="0"/>
      </w:rPr>
      <w:t>&lt;/NoPE&gt;&lt;Version&gt;</w:t>
    </w:r>
    <w:r w:rsidR="006F798F" w:rsidRPr="006F798F">
      <w:t>v</w:t>
    </w:r>
    <w:r w:rsidR="002D1767">
      <w:t>01-00</w:t>
    </w:r>
    <w:r w:rsidRPr="006F798F">
      <w:rPr>
        <w:rStyle w:val="HideTWBExt"/>
        <w:noProof w:val="0"/>
      </w:rPr>
      <w:t>&lt;/Version&gt;</w:t>
    </w:r>
    <w:bookmarkEnd w:id="4"/>
  </w:p>
  <w:p w:rsidR="00AC1C37" w:rsidRPr="006F798F" w:rsidRDefault="00356238" w:rsidP="000C7B89">
    <w:pPr>
      <w:pStyle w:val="Footer2"/>
      <w:tabs>
        <w:tab w:val="center" w:pos="4536"/>
      </w:tabs>
    </w:pPr>
    <w:r>
      <w:fldChar w:fldCharType="begin"/>
    </w:r>
    <w:r>
      <w:instrText xml:space="preserve"> DOCPROPERTY "&lt;Extension&gt;" </w:instrText>
    </w:r>
    <w:r>
      <w:fldChar w:fldCharType="separate"/>
    </w:r>
    <w:r>
      <w:t>HU</w:t>
    </w:r>
    <w:r>
      <w:fldChar w:fldCharType="end"/>
    </w:r>
    <w:r w:rsidR="00AC1C37" w:rsidRPr="006F798F">
      <w:rPr>
        <w:color w:val="C0C0C0"/>
      </w:rPr>
      <w:tab/>
    </w:r>
    <w:r w:rsidR="002D1767">
      <w:rPr>
        <w:b w:val="0"/>
        <w:i/>
        <w:color w:val="C0C0C0"/>
        <w:sz w:val="22"/>
        <w:szCs w:val="22"/>
      </w:rPr>
      <w:t>Egyesülve a sokféleségben</w:t>
    </w:r>
    <w:r w:rsidR="00AC1C37" w:rsidRPr="006F798F">
      <w:rPr>
        <w:color w:val="C0C0C0"/>
      </w:rPr>
      <w:tab/>
    </w:r>
    <w:r>
      <w:fldChar w:fldCharType="begin"/>
    </w:r>
    <w:r>
      <w:instrText xml:space="preserve"> DOCPROPERTY "&lt;Extension&gt;" </w:instrText>
    </w:r>
    <w:r>
      <w:fldChar w:fldCharType="separate"/>
    </w:r>
    <w:r>
      <w:t>HU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98F" w:rsidRPr="006F798F" w:rsidRDefault="006F798F">
      <w:r w:rsidRPr="006F798F">
        <w:separator/>
      </w:r>
    </w:p>
  </w:footnote>
  <w:footnote w:type="continuationSeparator" w:id="0">
    <w:p w:rsidR="006F798F" w:rsidRPr="006F798F" w:rsidRDefault="006F798F">
      <w:r w:rsidRPr="006F798F">
        <w:continuationSeparator/>
      </w:r>
    </w:p>
  </w:footnote>
  <w:footnote w:id="1">
    <w:p w:rsidR="00582A49" w:rsidRPr="00825903" w:rsidRDefault="00582A49" w:rsidP="00582A49">
      <w:pPr>
        <w:pStyle w:val="FootnoteText"/>
      </w:pPr>
      <w:r>
        <w:rPr>
          <w:rStyle w:val="FootnoteReference"/>
        </w:rPr>
        <w:footnoteRef/>
      </w:r>
      <w:r>
        <w:t xml:space="preserve"> HL L 243., 2002.9.11., 1. o.</w:t>
      </w:r>
    </w:p>
  </w:footnote>
  <w:footnote w:id="2">
    <w:p w:rsidR="00582A49" w:rsidRPr="00582A49" w:rsidRDefault="00582A49">
      <w:pPr>
        <w:pStyle w:val="FootnoteText"/>
      </w:pPr>
      <w:r>
        <w:rPr>
          <w:rStyle w:val="FootnoteReference"/>
        </w:rPr>
        <w:footnoteRef/>
      </w:r>
      <w:r>
        <w:t xml:space="preserve"> HL L 184., 1999.7.17., 23. o.</w:t>
      </w:r>
    </w:p>
  </w:footnote>
  <w:footnote w:id="3">
    <w:p w:rsidR="00582A49" w:rsidRPr="00825903" w:rsidRDefault="00582A49" w:rsidP="00582A49">
      <w:pPr>
        <w:pStyle w:val="FootnoteText"/>
      </w:pPr>
      <w:r>
        <w:rPr>
          <w:rStyle w:val="FootnoteReference"/>
        </w:rPr>
        <w:footnoteRef/>
      </w:r>
      <w:r>
        <w:t xml:space="preserve"> HL L 320., 2008.11.29., 1. 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238" w:rsidRDefault="003562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238" w:rsidRDefault="003562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238" w:rsidRDefault="003562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HORMNU" w:val=" 1"/>
    <w:docVar w:name="COMKEY" w:val="ECON"/>
    <w:docVar w:name="CopyToNetwork" w:val="-1"/>
    <w:docVar w:name="DOCMNU" w:val=" 1"/>
    <w:docVar w:name="DOCTYPEMNU" w:val=" 2"/>
    <w:docVar w:name="LastEditedSection" w:val=" 1"/>
    <w:docVar w:name="strDocTypeID" w:val="RE_RegProc_NoObjections"/>
    <w:docVar w:name="strSubDir" w:val="1144"/>
    <w:docVar w:name="TXTLANGUE" w:val="HU"/>
    <w:docVar w:name="TXTLANGUEMIN" w:val="hu"/>
    <w:docVar w:name="TXTNRB" w:val="0066/2018"/>
    <w:docVar w:name="TXTNRD" w:val="54380/02"/>
    <w:docVar w:name="TXTNRPE" w:val="614.368"/>
    <w:docVar w:name="TXTNRRPS" w:val="2017/3018"/>
    <w:docVar w:name="TXTPEorAP" w:val="PE"/>
    <w:docVar w:name="TXTROUTE" w:val="RE\1144369HU.docx"/>
    <w:docVar w:name="TXTVERSION" w:val="01-00"/>
  </w:docVars>
  <w:rsids>
    <w:rsidRoot w:val="006F798F"/>
    <w:rsid w:val="00005AFD"/>
    <w:rsid w:val="000135C7"/>
    <w:rsid w:val="0009153D"/>
    <w:rsid w:val="000C7B89"/>
    <w:rsid w:val="00105F8B"/>
    <w:rsid w:val="00152F37"/>
    <w:rsid w:val="00161525"/>
    <w:rsid w:val="0017612E"/>
    <w:rsid w:val="001E693A"/>
    <w:rsid w:val="00211FEF"/>
    <w:rsid w:val="00285ADA"/>
    <w:rsid w:val="002D1767"/>
    <w:rsid w:val="00341BC2"/>
    <w:rsid w:val="00356238"/>
    <w:rsid w:val="00357652"/>
    <w:rsid w:val="00381588"/>
    <w:rsid w:val="00387543"/>
    <w:rsid w:val="003A4E29"/>
    <w:rsid w:val="003C19D7"/>
    <w:rsid w:val="0042394B"/>
    <w:rsid w:val="004E1942"/>
    <w:rsid w:val="00514569"/>
    <w:rsid w:val="005605A6"/>
    <w:rsid w:val="00560E87"/>
    <w:rsid w:val="005610C7"/>
    <w:rsid w:val="0056233F"/>
    <w:rsid w:val="00582A49"/>
    <w:rsid w:val="00594254"/>
    <w:rsid w:val="005E0BC3"/>
    <w:rsid w:val="006008EF"/>
    <w:rsid w:val="00615B88"/>
    <w:rsid w:val="006D2262"/>
    <w:rsid w:val="006F798F"/>
    <w:rsid w:val="00726E4F"/>
    <w:rsid w:val="00765B61"/>
    <w:rsid w:val="007974DD"/>
    <w:rsid w:val="007B2F61"/>
    <w:rsid w:val="007B50DB"/>
    <w:rsid w:val="007C2051"/>
    <w:rsid w:val="00824B90"/>
    <w:rsid w:val="00866884"/>
    <w:rsid w:val="00885651"/>
    <w:rsid w:val="008E4163"/>
    <w:rsid w:val="0095383A"/>
    <w:rsid w:val="00955B16"/>
    <w:rsid w:val="009C5778"/>
    <w:rsid w:val="00A70D69"/>
    <w:rsid w:val="00A93F71"/>
    <w:rsid w:val="00AC1C37"/>
    <w:rsid w:val="00B76FF5"/>
    <w:rsid w:val="00C021B3"/>
    <w:rsid w:val="00C03AB9"/>
    <w:rsid w:val="00C92E8A"/>
    <w:rsid w:val="00CE124C"/>
    <w:rsid w:val="00D14A81"/>
    <w:rsid w:val="00D32B3B"/>
    <w:rsid w:val="00D462E2"/>
    <w:rsid w:val="00D60FF7"/>
    <w:rsid w:val="00D63169"/>
    <w:rsid w:val="00E17B7E"/>
    <w:rsid w:val="00E323D6"/>
    <w:rsid w:val="00E6442A"/>
    <w:rsid w:val="00E77254"/>
    <w:rsid w:val="00F17D74"/>
    <w:rsid w:val="00F75D46"/>
    <w:rsid w:val="00F7729B"/>
    <w:rsid w:val="00F9151F"/>
    <w:rsid w:val="00FB234D"/>
    <w:rsid w:val="00FD719C"/>
    <w:rsid w:val="00FF5CCA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6CAFB6D-C7A2-457D-BAD7-2D8E1CB8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6"/>
        <w:tab w:val="right" w:pos="9072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semiHidden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link w:val="NormalBoldChar"/>
    <w:rPr>
      <w:b/>
    </w:rPr>
  </w:style>
  <w:style w:type="character" w:customStyle="1" w:styleId="NormalBoldChar">
    <w:name w:val="NormalBold Char"/>
    <w:link w:val="NormalBold"/>
    <w:locked/>
    <w:rsid w:val="00726E4F"/>
    <w:rPr>
      <w:b/>
      <w:sz w:val="24"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Italic">
    <w:name w:val="Normal12Italic"/>
    <w:basedOn w:val="Normal12"/>
    <w:rPr>
      <w:i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Normal"/>
    <w:rsid w:val="00824B90"/>
    <w:pPr>
      <w:ind w:left="1418"/>
    </w:pPr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qFormat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Hanging12">
    <w:name w:val="Hanging12"/>
    <w:basedOn w:val="Normal12"/>
    <w:pPr>
      <w:tabs>
        <w:tab w:val="left" w:pos="357"/>
      </w:tabs>
      <w:ind w:left="357" w:hanging="357"/>
    </w:p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Normal12a12bJ">
    <w:name w:val="Normal12a12bJ"/>
    <w:basedOn w:val="Normal12a12b"/>
    <w:pPr>
      <w:jc w:val="both"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BoldKeep">
    <w:name w:val="Normal12BoldKeep"/>
    <w:basedOn w:val="Normal12"/>
    <w:pPr>
      <w:keepNext/>
    </w:pPr>
    <w:rPr>
      <w:b/>
    </w:r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ItalicKeep">
    <w:name w:val="Normal12ItalicKeep"/>
    <w:basedOn w:val="Normal12"/>
    <w:pPr>
      <w:keepNext/>
    </w:pPr>
    <w:rPr>
      <w:i/>
    </w:rPr>
  </w:style>
  <w:style w:type="paragraph" w:customStyle="1" w:styleId="Normal12J">
    <w:name w:val="Normal12J"/>
    <w:basedOn w:val="Normal12"/>
    <w:pPr>
      <w:jc w:val="both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rsid w:val="00285ADA"/>
    <w:pPr>
      <w:tabs>
        <w:tab w:val="left" w:pos="567"/>
      </w:tabs>
    </w:pPr>
  </w:style>
  <w:style w:type="paragraph" w:customStyle="1" w:styleId="Normal30Keep">
    <w:name w:val="Normal30Keep"/>
    <w:basedOn w:val="Normal"/>
    <w:pPr>
      <w:keepNext/>
      <w:spacing w:after="600"/>
    </w:p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NormalBoldCentre">
    <w:name w:val="NormalBoldCentre"/>
    <w:basedOn w:val="Normal"/>
    <w:pPr>
      <w:jc w:val="center"/>
    </w:pPr>
    <w:rPr>
      <w:b/>
    </w:rPr>
  </w:style>
  <w:style w:type="paragraph" w:customStyle="1" w:styleId="NormalBoldKeep">
    <w:name w:val="NormalBoldKeep"/>
    <w:basedOn w:val="Normal"/>
    <w:pPr>
      <w:keepNext/>
    </w:pPr>
    <w:rPr>
      <w:b/>
    </w:rPr>
  </w:style>
  <w:style w:type="paragraph" w:customStyle="1" w:styleId="NormalCentre">
    <w:name w:val="NormalCentre"/>
    <w:basedOn w:val="Normal"/>
    <w:pPr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</w:style>
  <w:style w:type="paragraph" w:customStyle="1" w:styleId="NormalJ">
    <w:name w:val="NormalJ"/>
    <w:basedOn w:val="Normal"/>
    <w:pPr>
      <w:jc w:val="both"/>
    </w:pPr>
  </w:style>
  <w:style w:type="paragraph" w:customStyle="1" w:styleId="NormalKeep">
    <w:name w:val="NormalKeep"/>
    <w:basedOn w:val="Normal"/>
    <w:pPr>
      <w:keepNext/>
    </w:pPr>
  </w:style>
  <w:style w:type="paragraph" w:customStyle="1" w:styleId="TypeDoc">
    <w:name w:val="TypeDoc"/>
    <w:basedOn w:val="Normal24"/>
    <w:pPr>
      <w:ind w:left="1418"/>
    </w:pPr>
    <w:rPr>
      <w:rFonts w:ascii="Arial" w:hAnsi="Arial"/>
      <w:b/>
      <w:sz w:val="4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C7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0C7B89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0C7B89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95383A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CoverBold24">
    <w:name w:val="CoverBold24"/>
    <w:basedOn w:val="CoverBold"/>
    <w:rsid w:val="00A93F71"/>
    <w:pPr>
      <w:spacing w:after="480"/>
    </w:pPr>
  </w:style>
  <w:style w:type="paragraph" w:customStyle="1" w:styleId="EPName">
    <w:name w:val="EPName"/>
    <w:basedOn w:val="Normal"/>
    <w:rsid w:val="00955B16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EPTerm">
    <w:name w:val="EPTerm"/>
    <w:basedOn w:val="Normal"/>
    <w:next w:val="Normal"/>
    <w:rsid w:val="00955B16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955B16"/>
    <w:pPr>
      <w:jc w:val="right"/>
    </w:pPr>
  </w:style>
  <w:style w:type="paragraph" w:customStyle="1" w:styleId="RefProc">
    <w:name w:val="RefProc"/>
    <w:basedOn w:val="Normal"/>
    <w:rsid w:val="0095383A"/>
    <w:pPr>
      <w:spacing w:before="240" w:after="240"/>
      <w:jc w:val="right"/>
    </w:pPr>
    <w:rPr>
      <w:rFonts w:ascii="Arial" w:hAnsi="Arial"/>
      <w:b/>
    </w:rPr>
  </w:style>
  <w:style w:type="paragraph" w:customStyle="1" w:styleId="ZDate">
    <w:name w:val="ZDate"/>
    <w:basedOn w:val="Normal"/>
    <w:rsid w:val="0095383A"/>
    <w:pPr>
      <w:spacing w:after="1200"/>
    </w:pPr>
  </w:style>
  <w:style w:type="paragraph" w:styleId="FootnoteText">
    <w:name w:val="footnote text"/>
    <w:basedOn w:val="Normal"/>
    <w:link w:val="FootnoteTextChar"/>
    <w:rsid w:val="00582A49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82A49"/>
  </w:style>
  <w:style w:type="character" w:styleId="FootnoteReference">
    <w:name w:val="footnote reference"/>
    <w:basedOn w:val="DefaultParagraphFont"/>
    <w:rsid w:val="00582A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4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7B5546BA.dotm</Template>
  <TotalTime>0</TotalTime>
  <Pages>3</Pages>
  <Words>471</Words>
  <Characters>3600</Characters>
  <Application>Microsoft Office Word</Application>
  <DocSecurity>0</DocSecurity>
  <Lines>76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RE_RegProc_NoObjections</vt:lpstr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RE_RegProc_NoObjections</dc:title>
  <dc:subject/>
  <dc:creator>KOVACS-BOKOR Karoly</dc:creator>
  <cp:keywords/>
  <dc:description>Németi Tamás</dc:description>
  <cp:lastModifiedBy>KOVACS-BOKOR Karoly</cp:lastModifiedBy>
  <cp:revision>2</cp:revision>
  <cp:lastPrinted>2004-11-19T15:29:00Z</cp:lastPrinted>
  <dcterms:created xsi:type="dcterms:W3CDTF">2018-02-02T13:57:00Z</dcterms:created>
  <dcterms:modified xsi:type="dcterms:W3CDTF">2018-02-02T13:57:00Z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9.1.1 Build [20170911]</vt:lpwstr>
  </property>
  <property fmtid="{D5CDD505-2E9C-101B-9397-08002B2CF9AE}" pid="3" name="LastEdited with">
    <vt:lpwstr>9.1.1 Build [20170911]</vt:lpwstr>
  </property>
  <property fmtid="{D5CDD505-2E9C-101B-9397-08002B2CF9AE}" pid="4" name="&lt;FdR&gt;">
    <vt:lpwstr>1144369</vt:lpwstr>
  </property>
  <property fmtid="{D5CDD505-2E9C-101B-9397-08002B2CF9AE}" pid="5" name="&lt;Type&gt;">
    <vt:lpwstr>RE</vt:lpwstr>
  </property>
  <property fmtid="{D5CDD505-2E9C-101B-9397-08002B2CF9AE}" pid="6" name="&lt;ModelCod&gt;">
    <vt:lpwstr>\\eiciLUXpr1\pdocep$\DocEP\DOCS\General\RE\RE_ImplAct\RE_RegProc_NoObjections.dot(13/10/2017 10:48:34)</vt:lpwstr>
  </property>
  <property fmtid="{D5CDD505-2E9C-101B-9397-08002B2CF9AE}" pid="7" name="&lt;ModelTra&gt;">
    <vt:lpwstr>\\eiciLUXpr1\pdocep$\DocEP\TRANSFIL\HU\RE_RegProc_NoObjections.HU(13/10/2017 10:45:57)</vt:lpwstr>
  </property>
  <property fmtid="{D5CDD505-2E9C-101B-9397-08002B2CF9AE}" pid="8" name="&lt;Model&gt;">
    <vt:lpwstr>RE_RegProc_NoObjections</vt:lpwstr>
  </property>
  <property fmtid="{D5CDD505-2E9C-101B-9397-08002B2CF9AE}" pid="9" name="FooterPath">
    <vt:lpwstr>RE\1144369HU.docx</vt:lpwstr>
  </property>
  <property fmtid="{D5CDD505-2E9C-101B-9397-08002B2CF9AE}" pid="10" name="PE number">
    <vt:lpwstr>614.368</vt:lpwstr>
  </property>
  <property fmtid="{D5CDD505-2E9C-101B-9397-08002B2CF9AE}" pid="11" name="Bookout">
    <vt:lpwstr>OK - 2018/02/02 14:57</vt:lpwstr>
  </property>
  <property fmtid="{D5CDD505-2E9C-101B-9397-08002B2CF9AE}" pid="12" name="SDLStudio">
    <vt:lpwstr>YES</vt:lpwstr>
  </property>
  <property fmtid="{D5CDD505-2E9C-101B-9397-08002B2CF9AE}" pid="13" name="&lt;Extension&gt;">
    <vt:lpwstr>HU</vt:lpwstr>
  </property>
  <property fmtid="{D5CDD505-2E9C-101B-9397-08002B2CF9AE}" pid="14" name="SubscribeElise">
    <vt:lpwstr/>
  </property>
</Properties>
</file>