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9F1658" w14:paraId="115DE7A0" w14:textId="77777777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0C9BAF02" w14:textId="77777777" w:rsidR="00706BC0" w:rsidRPr="009F1658" w:rsidRDefault="00A04002" w:rsidP="00F26DE8">
            <w:pPr>
              <w:pStyle w:val="EPName"/>
            </w:pPr>
            <w:r w:rsidRPr="009F1658">
              <w:t>Parlamento Europeu</w:t>
            </w:r>
          </w:p>
          <w:p w14:paraId="4B958FD5" w14:textId="77777777" w:rsidR="00706BC0" w:rsidRPr="009F1658" w:rsidRDefault="00F11DF1" w:rsidP="00F11DF1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9F1658">
              <w:t>2014-2019</w:t>
            </w:r>
          </w:p>
        </w:tc>
        <w:tc>
          <w:tcPr>
            <w:tcW w:w="2268" w:type="dxa"/>
            <w:shd w:val="clear" w:color="auto" w:fill="auto"/>
          </w:tcPr>
          <w:p w14:paraId="43BBA962" w14:textId="77777777" w:rsidR="00706BC0" w:rsidRPr="009F1658" w:rsidRDefault="009F1658" w:rsidP="00F26DE8">
            <w:pPr>
              <w:pStyle w:val="EPLogo"/>
            </w:pPr>
            <w:r w:rsidRPr="009F1658">
              <w:pict w14:anchorId="303BA2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51pt">
                  <v:imagedata r:id="rId7" o:title="EP logo RGB_Mute"/>
                </v:shape>
              </w:pict>
            </w:r>
          </w:p>
        </w:tc>
      </w:tr>
    </w:tbl>
    <w:p w14:paraId="5A8BA27D" w14:textId="77777777" w:rsidR="00E53167" w:rsidRPr="009F1658" w:rsidRDefault="00E53167" w:rsidP="00E53167">
      <w:pPr>
        <w:pStyle w:val="LineTop"/>
      </w:pPr>
    </w:p>
    <w:p w14:paraId="39E58C8C" w14:textId="77777777" w:rsidR="00E53167" w:rsidRPr="009F1658" w:rsidRDefault="00F11DF1" w:rsidP="00E53167">
      <w:pPr>
        <w:pStyle w:val="ZSessionDoc"/>
      </w:pPr>
      <w:r w:rsidRPr="009F1658">
        <w:t>Documento de sessão</w:t>
      </w:r>
    </w:p>
    <w:p w14:paraId="364DA95B" w14:textId="77777777" w:rsidR="00094DDA" w:rsidRPr="009F1658" w:rsidRDefault="00094DDA" w:rsidP="00094DDA">
      <w:pPr>
        <w:pStyle w:val="LineBottom"/>
      </w:pPr>
    </w:p>
    <w:p w14:paraId="5C66E15F" w14:textId="77777777" w:rsidR="00094DDA" w:rsidRPr="009F1658" w:rsidRDefault="00094DDA" w:rsidP="00094DDA">
      <w:pPr>
        <w:pStyle w:val="RefProc"/>
      </w:pPr>
      <w:r w:rsidRPr="009F1658">
        <w:rPr>
          <w:rStyle w:val="HideTWBExt"/>
          <w:b w:val="0"/>
          <w:noProof w:val="0"/>
        </w:rPr>
        <w:t>&lt;NoDocSe&gt;</w:t>
      </w:r>
      <w:r w:rsidRPr="009F1658">
        <w:t>B8</w:t>
      </w:r>
      <w:r w:rsidRPr="009F1658">
        <w:noBreakHyphen/>
        <w:t>0496/2018</w:t>
      </w:r>
      <w:r w:rsidRPr="009F1658">
        <w:rPr>
          <w:rStyle w:val="HideTWBExt"/>
          <w:b w:val="0"/>
          <w:noProof w:val="0"/>
        </w:rPr>
        <w:t>&lt;/NoDocSe&gt;</w:t>
      </w:r>
    </w:p>
    <w:p w14:paraId="71E0E721" w14:textId="77777777" w:rsidR="00094DDA" w:rsidRPr="009F1658" w:rsidRDefault="00094DDA" w:rsidP="00094DDA">
      <w:pPr>
        <w:pStyle w:val="ZDate"/>
      </w:pPr>
      <w:r w:rsidRPr="009F1658">
        <w:rPr>
          <w:rStyle w:val="HideTWBExt"/>
          <w:noProof w:val="0"/>
        </w:rPr>
        <w:t>&lt;Date&gt;</w:t>
      </w:r>
      <w:r w:rsidRPr="009F1658">
        <w:rPr>
          <w:rStyle w:val="HideTWBInt"/>
        </w:rPr>
        <w:t>{22/10/2018}</w:t>
      </w:r>
      <w:r w:rsidRPr="009F1658">
        <w:t>22.10.2018</w:t>
      </w:r>
      <w:r w:rsidRPr="009F1658">
        <w:rPr>
          <w:rStyle w:val="HideTWBExt"/>
          <w:noProof w:val="0"/>
        </w:rPr>
        <w:t>&lt;/Date&gt;</w:t>
      </w:r>
    </w:p>
    <w:p w14:paraId="5C0FD339" w14:textId="77777777" w:rsidR="00814BC6" w:rsidRPr="009F1658" w:rsidRDefault="00814BC6">
      <w:pPr>
        <w:pStyle w:val="TypeDoc"/>
      </w:pPr>
      <w:r w:rsidRPr="009F1658">
        <w:rPr>
          <w:rStyle w:val="HideTWBExt"/>
          <w:b w:val="0"/>
          <w:noProof w:val="0"/>
        </w:rPr>
        <w:t>&lt;TitreType&gt;</w:t>
      </w:r>
      <w:r w:rsidRPr="009F1658">
        <w:t>PROPOSTA DE RESOLUÇÃO</w:t>
      </w:r>
      <w:r w:rsidRPr="009F1658">
        <w:rPr>
          <w:rStyle w:val="HideTWBExt"/>
          <w:b w:val="0"/>
          <w:noProof w:val="0"/>
        </w:rPr>
        <w:t>&lt;/TitreType&gt;</w:t>
      </w:r>
    </w:p>
    <w:p w14:paraId="662723D2" w14:textId="328C0C0A" w:rsidR="00814BC6" w:rsidRPr="009F1658" w:rsidRDefault="00814BC6">
      <w:pPr>
        <w:pStyle w:val="Cover12"/>
      </w:pPr>
      <w:r w:rsidRPr="009F1658">
        <w:rPr>
          <w:rStyle w:val="HideTWBExt"/>
          <w:noProof w:val="0"/>
        </w:rPr>
        <w:t>&lt;TitreSuite&gt;</w:t>
      </w:r>
      <w:r w:rsidRPr="009F1658">
        <w:t>apresentada na sequência de uma declaração da Vice-Presidente da Comissão/ Alta Representante da União para os Negócios Estrangeiros e a Política de Segurança</w:t>
      </w:r>
      <w:r w:rsidRPr="009F1658">
        <w:rPr>
          <w:rStyle w:val="HideTWBExt"/>
          <w:noProof w:val="0"/>
        </w:rPr>
        <w:t>&lt;/TitreSuite&gt;</w:t>
      </w:r>
    </w:p>
    <w:p w14:paraId="069621A2" w14:textId="77777777" w:rsidR="00814BC6" w:rsidRPr="009F1658" w:rsidRDefault="00814BC6">
      <w:pPr>
        <w:pStyle w:val="Cover12"/>
      </w:pPr>
      <w:r w:rsidRPr="009F1658">
        <w:rPr>
          <w:rStyle w:val="HideTWBExt"/>
          <w:noProof w:val="0"/>
        </w:rPr>
        <w:t>&lt;TitreRecueil&gt;</w:t>
      </w:r>
      <w:r w:rsidRPr="009F1658">
        <w:t>nos termos do artigo 123.º, n.º 2, do Regimento</w:t>
      </w:r>
      <w:r w:rsidRPr="009F1658">
        <w:rPr>
          <w:rStyle w:val="HideTWBExt"/>
          <w:noProof w:val="0"/>
        </w:rPr>
        <w:t>&lt;/TitreRecueil&gt;</w:t>
      </w:r>
    </w:p>
    <w:p w14:paraId="4894FE5F" w14:textId="41B6B027" w:rsidR="00C23264" w:rsidRPr="009F1658" w:rsidRDefault="00C23264" w:rsidP="00C23264">
      <w:pPr>
        <w:pStyle w:val="CoverNormal"/>
      </w:pPr>
      <w:r w:rsidRPr="009F1658">
        <w:rPr>
          <w:rStyle w:val="HideTWBExt"/>
          <w:noProof w:val="0"/>
        </w:rPr>
        <w:t>&lt;Titre&gt;</w:t>
      </w:r>
      <w:r w:rsidRPr="009F1658">
        <w:t>sobre a situação no Mar de Azov</w:t>
      </w:r>
      <w:r w:rsidRPr="009F1658">
        <w:rPr>
          <w:rStyle w:val="HideTWBExt"/>
          <w:noProof w:val="0"/>
        </w:rPr>
        <w:t>&lt;/Titre&gt;</w:t>
      </w:r>
    </w:p>
    <w:p w14:paraId="16EF5709" w14:textId="77777777" w:rsidR="00C23264" w:rsidRPr="009F1658" w:rsidRDefault="00C23264" w:rsidP="00C23264">
      <w:pPr>
        <w:pStyle w:val="Cover24"/>
      </w:pPr>
      <w:r w:rsidRPr="009F1658">
        <w:rPr>
          <w:rStyle w:val="HideTWBExt"/>
          <w:noProof w:val="0"/>
        </w:rPr>
        <w:t>&lt;DocRef&gt;</w:t>
      </w:r>
      <w:r w:rsidRPr="009F1658">
        <w:t>(2018/2870(RSP))</w:t>
      </w:r>
      <w:r w:rsidRPr="009F1658">
        <w:rPr>
          <w:rStyle w:val="HideTWBExt"/>
          <w:noProof w:val="0"/>
        </w:rPr>
        <w:t>&lt;/DocRef&gt;</w:t>
      </w:r>
    </w:p>
    <w:p w14:paraId="76EAA38C" w14:textId="77777777" w:rsidR="002574AA" w:rsidRPr="009F1658" w:rsidRDefault="002574AA" w:rsidP="002574AA">
      <w:pPr>
        <w:pStyle w:val="CoverBold"/>
      </w:pPr>
      <w:r w:rsidRPr="009F1658">
        <w:rPr>
          <w:rStyle w:val="HideTWBExt"/>
          <w:b w:val="0"/>
          <w:noProof w:val="0"/>
        </w:rPr>
        <w:t>&lt;RepeatBlock-By&gt;&lt;Depute&gt;</w:t>
      </w:r>
      <w:r w:rsidRPr="009F1658">
        <w:t>Charles Tannock, Anna Elżbieta Fotyga, Zdzisław Krasnodębski, Raffaele Fitto, Karol Karski, Jana Žitňanská, Ruža Tomašić, Monica Macovei, Jan Zahradil, Branislav Škripek, Jadwiga Wiśniewska</w:t>
      </w:r>
      <w:r w:rsidRPr="009F1658">
        <w:rPr>
          <w:rStyle w:val="HideTWBExt"/>
          <w:b w:val="0"/>
          <w:noProof w:val="0"/>
          <w:color w:val="auto"/>
        </w:rPr>
        <w:t>&lt;/Depute&gt;</w:t>
      </w:r>
    </w:p>
    <w:p w14:paraId="2291234E" w14:textId="77777777" w:rsidR="002574AA" w:rsidRPr="009F1658" w:rsidRDefault="002574AA" w:rsidP="002574AA">
      <w:pPr>
        <w:pStyle w:val="CoverNormal"/>
      </w:pPr>
      <w:r w:rsidRPr="009F1658">
        <w:rPr>
          <w:rStyle w:val="HideTWBExt"/>
          <w:noProof w:val="0"/>
        </w:rPr>
        <w:t>&lt;Commission&gt;</w:t>
      </w:r>
      <w:r w:rsidRPr="009F1658">
        <w:rPr>
          <w:rStyle w:val="HideTWBInt"/>
        </w:rPr>
        <w:t>{ECR}</w:t>
      </w:r>
      <w:r w:rsidRPr="009F1658">
        <w:t>em nome do Grupo ECR</w:t>
      </w:r>
      <w:r w:rsidRPr="009F1658">
        <w:rPr>
          <w:rStyle w:val="HideTWBExt"/>
          <w:noProof w:val="0"/>
        </w:rPr>
        <w:t>&lt;/Commission&gt;</w:t>
      </w:r>
    </w:p>
    <w:p w14:paraId="35041B1D" w14:textId="77777777" w:rsidR="002574AA" w:rsidRPr="009F1658" w:rsidRDefault="002574AA" w:rsidP="002574AA">
      <w:pPr>
        <w:pStyle w:val="CoverNormal"/>
      </w:pPr>
      <w:r w:rsidRPr="009F1658">
        <w:rPr>
          <w:rStyle w:val="HideTWBExt"/>
          <w:noProof w:val="0"/>
        </w:rPr>
        <w:t>&lt;/RepeatBlock-By&gt;</w:t>
      </w:r>
    </w:p>
    <w:p w14:paraId="7990EEB7" w14:textId="77777777" w:rsidR="00814BC6" w:rsidRPr="009F1658" w:rsidRDefault="00814BC6">
      <w:pPr>
        <w:pStyle w:val="Normal12Bold"/>
      </w:pPr>
      <w:r w:rsidRPr="009F1658">
        <w:br w:type="page"/>
      </w:r>
      <w:r w:rsidRPr="009F1658">
        <w:lastRenderedPageBreak/>
        <w:t>B8</w:t>
      </w:r>
      <w:r w:rsidRPr="009F1658">
        <w:noBreakHyphen/>
        <w:t>0496/2018</w:t>
      </w:r>
    </w:p>
    <w:p w14:paraId="4822D1C0" w14:textId="18909DD0" w:rsidR="00C23264" w:rsidRPr="009F1658" w:rsidRDefault="00A04002" w:rsidP="00C23264">
      <w:pPr>
        <w:pStyle w:val="NormalBold"/>
      </w:pPr>
      <w:r w:rsidRPr="009F1658">
        <w:t>Resolução do Parlamento Europeu sobre a situação no Mar de Azov</w:t>
      </w:r>
    </w:p>
    <w:p w14:paraId="7AD5828C" w14:textId="77777777" w:rsidR="00C23264" w:rsidRPr="009F1658" w:rsidRDefault="00A04002" w:rsidP="00C23264">
      <w:pPr>
        <w:pStyle w:val="Normal24Bold"/>
      </w:pPr>
      <w:r w:rsidRPr="009F1658">
        <w:t>(2018/2870(RSP))</w:t>
      </w:r>
    </w:p>
    <w:p w14:paraId="6BFE1FDB" w14:textId="77777777" w:rsidR="00814BC6" w:rsidRPr="009F1658" w:rsidRDefault="00A04002">
      <w:pPr>
        <w:pStyle w:val="Normal12"/>
      </w:pPr>
      <w:r w:rsidRPr="009F1658">
        <w:rPr>
          <w:i/>
        </w:rPr>
        <w:t>O Parlamento Europeu,</w:t>
      </w:r>
    </w:p>
    <w:p w14:paraId="0F18FD16" w14:textId="31161091" w:rsidR="006A7F23" w:rsidRPr="009F1658" w:rsidRDefault="00814BC6" w:rsidP="006A7F23">
      <w:pPr>
        <w:pStyle w:val="Normal12Hanging"/>
      </w:pPr>
      <w:r w:rsidRPr="009F1658">
        <w:t>–</w:t>
      </w:r>
      <w:r w:rsidRPr="009F1658">
        <w:tab/>
        <w:t>Tendo em conta as suas anteriores resoluções sobre a Rússia e a Ucrânia, nomeadamente as resoluções de 13 de março de 2014 sobre a invasão da Ucrânia pela Rússia</w:t>
      </w:r>
      <w:r w:rsidR="007F205C" w:rsidRPr="009F1658">
        <w:rPr>
          <w:rStyle w:val="FootnoteReference"/>
        </w:rPr>
        <w:footnoteReference w:id="2"/>
      </w:r>
      <w:r w:rsidRPr="009F1658">
        <w:t>, de 17 de julho de 2014 sobre a Ucrânia</w:t>
      </w:r>
      <w:r w:rsidR="007F205C" w:rsidRPr="009F1658">
        <w:rPr>
          <w:rStyle w:val="FootnoteReference"/>
        </w:rPr>
        <w:footnoteReference w:id="3"/>
      </w:r>
      <w:r w:rsidRPr="009F1658">
        <w:t>, de 11 de junho de 2015 sobre a situação militar estratégica na bacia do Mar Negro na sequência da anexação ilegal da Crimeia pela Rússia</w:t>
      </w:r>
      <w:r w:rsidR="007F205C" w:rsidRPr="009F1658">
        <w:rPr>
          <w:rStyle w:val="FootnoteReference"/>
        </w:rPr>
        <w:footnoteReference w:id="4"/>
      </w:r>
      <w:r w:rsidRPr="009F1658">
        <w:t>, de 5 de outubro de 2017, sobre os casos dos dirigentes da comunidade tártara da Crimeia Akhtem Chiygoz, Ilmi Umerov e do jornalista Mykola Semena</w:t>
      </w:r>
      <w:r w:rsidR="007F205C" w:rsidRPr="009F1658">
        <w:rPr>
          <w:rStyle w:val="FootnoteReference"/>
        </w:rPr>
        <w:footnoteReference w:id="5"/>
      </w:r>
      <w:r w:rsidRPr="009F1658">
        <w:t>, e de 14 de junho de 2018 sobre a Rússia, nomeadamente o caso do prisioneiro político ucraniano Oleg Sentsov</w:t>
      </w:r>
      <w:r w:rsidR="007F205C" w:rsidRPr="009F1658">
        <w:rPr>
          <w:rStyle w:val="FootnoteReference"/>
        </w:rPr>
        <w:footnoteReference w:id="6"/>
      </w:r>
      <w:r w:rsidRPr="009F1658">
        <w:t>,</w:t>
      </w:r>
    </w:p>
    <w:p w14:paraId="4CB1F774" w14:textId="5DAB2389" w:rsidR="006A7F23" w:rsidRPr="009F1658" w:rsidRDefault="006A7F23" w:rsidP="006A7F23">
      <w:pPr>
        <w:pStyle w:val="Normal12Hanging"/>
      </w:pPr>
      <w:r w:rsidRPr="009F1658">
        <w:t>–</w:t>
      </w:r>
      <w:r w:rsidRPr="009F1658">
        <w:tab/>
        <w:t>Tendo em conta a declaração, de 15 de maio de 2018, do porta-voz do Serviço Europeu para a Ação Externa sobre a abertura parcial da ponte de Kerch,</w:t>
      </w:r>
    </w:p>
    <w:p w14:paraId="626EFB66" w14:textId="6F60C1FE" w:rsidR="006A7F23" w:rsidRPr="009F1658" w:rsidRDefault="006A7F23" w:rsidP="006A7F23">
      <w:pPr>
        <w:pStyle w:val="Normal12Hanging"/>
      </w:pPr>
      <w:r w:rsidRPr="009F1658">
        <w:t>–</w:t>
      </w:r>
      <w:r w:rsidRPr="009F1658">
        <w:tab/>
        <w:t>Tendo em conta a Convenção das Nações Unidas sobre o Direito do Mar, o Tratado de Não Proliferação de Armas Nucleares e a Carta das Nações Unidas,</w:t>
      </w:r>
    </w:p>
    <w:p w14:paraId="56AF6539" w14:textId="6E7855FC" w:rsidR="006A7F23" w:rsidRPr="009F1658" w:rsidRDefault="006A7F23" w:rsidP="006A7F23">
      <w:pPr>
        <w:pStyle w:val="Normal12Hanging"/>
      </w:pPr>
      <w:r w:rsidRPr="009F1658">
        <w:t>–</w:t>
      </w:r>
      <w:r w:rsidRPr="009F1658">
        <w:tab/>
        <w:t>Tendo em conta o Acordo entre a Federação da Rússia e a Ucrânia sobre a cooperação na utilização do Mar de Azov e do estreito de Kerch, de 2003, o Memorando de Budapeste sobre garantias em matéria de segurança, de 5 de dezembro de 1994, e o Pacote de Medidas para a Aplicação dos Acordos de Minsk, de 12 de fevereiro de 2015,</w:t>
      </w:r>
    </w:p>
    <w:p w14:paraId="21CB2E80" w14:textId="77777777" w:rsidR="006A7F23" w:rsidRPr="009F1658" w:rsidRDefault="00814BC6" w:rsidP="006A7F23">
      <w:pPr>
        <w:pStyle w:val="Normal12Hanging"/>
      </w:pPr>
      <w:r w:rsidRPr="009F1658">
        <w:t>–</w:t>
      </w:r>
      <w:r w:rsidRPr="009F1658">
        <w:tab/>
        <w:t>Tendo em conta o artigo 123.º, n.º 2, do seu Regimento,</w:t>
      </w:r>
    </w:p>
    <w:p w14:paraId="0AC3A278" w14:textId="7584D94A" w:rsidR="006A7F23" w:rsidRPr="009F1658" w:rsidRDefault="006A7F23" w:rsidP="006A7F23">
      <w:pPr>
        <w:pStyle w:val="Normal12Hanging"/>
      </w:pPr>
      <w:r w:rsidRPr="009F1658">
        <w:t>A.</w:t>
      </w:r>
      <w:r w:rsidRPr="009F1658">
        <w:tab/>
        <w:t>Considerando que, antes de a Rússia enviar navios militares e de guarda costeira, o Mar de Azov estava praticamente desmilitarizado; que as ações da Rússia conduziram ao agravamento da situação de segurança no Mar Negro e no Mar de Azov e que têm um impacto considerável na guerra em curso no leste da Ucrânia;</w:t>
      </w:r>
    </w:p>
    <w:p w14:paraId="0E3C9164" w14:textId="2DDF3179" w:rsidR="006A7F23" w:rsidRPr="009F1658" w:rsidRDefault="006A7F23" w:rsidP="006A7F23">
      <w:pPr>
        <w:pStyle w:val="Normal12Hanging"/>
      </w:pPr>
      <w:r w:rsidRPr="009F1658">
        <w:t>B.</w:t>
      </w:r>
      <w:r w:rsidRPr="009F1658">
        <w:tab/>
        <w:t>Considerando que tanto a Convenção das Nações Unidas sobre o Direito do Mar como o Acordo relativo ao Mar de Azov, de 2003, preveem a liberdade de navegação; que este último define o mar como parte das águas interiores dos dois Estados e que confere às duas partes o poder de inspecionar as embarcações que entram e saem do Mar de Azov;</w:t>
      </w:r>
    </w:p>
    <w:p w14:paraId="44A25ADB" w14:textId="054A5AF3" w:rsidR="006A7F23" w:rsidRPr="009F1658" w:rsidRDefault="006A7F23" w:rsidP="006A7F23">
      <w:pPr>
        <w:pStyle w:val="Normal12Hanging"/>
      </w:pPr>
      <w:r w:rsidRPr="009F1658">
        <w:t>C.</w:t>
      </w:r>
      <w:r w:rsidRPr="009F1658">
        <w:tab/>
        <w:t>Considerando que a construção da ponte de Kerch até à Península da Crimeia ilegalmente anexada, sem o consentimento da Ucrânia, constitui mais uma violação da soberania e da integridade territorial da Ucrânia pela Federação da Rússia;</w:t>
      </w:r>
    </w:p>
    <w:p w14:paraId="23845FDF" w14:textId="51CAC514" w:rsidR="006A7F23" w:rsidRPr="009F1658" w:rsidRDefault="006A7F23" w:rsidP="006A7F23">
      <w:pPr>
        <w:pStyle w:val="Normal12Hanging"/>
      </w:pPr>
      <w:r w:rsidRPr="009F1658">
        <w:lastRenderedPageBreak/>
        <w:t>D.</w:t>
      </w:r>
      <w:r w:rsidRPr="009F1658">
        <w:tab/>
        <w:t>Considerando que a ponte de Kerch limita a dimensão dos navios que conseguem chegar aos portos ucranianos no Mar de Azov a um tirante de ar inferior a 33 metros e a um comprimento inferior a 160 metros, o que tornou impossível a entrada no Mar de Azov dos navios da classe Panamax, que representavam mais de 20 % do tráfego total de navios antes da construção da ponte;</w:t>
      </w:r>
    </w:p>
    <w:p w14:paraId="285EBF76" w14:textId="504331A8" w:rsidR="006A7F23" w:rsidRPr="009F1658" w:rsidRDefault="006A7F23" w:rsidP="006A7F23">
      <w:pPr>
        <w:pStyle w:val="Normal12Hanging"/>
      </w:pPr>
      <w:r w:rsidRPr="009F1658">
        <w:t>E.</w:t>
      </w:r>
      <w:r w:rsidRPr="009F1658">
        <w:tab/>
        <w:t>Considerando que a Rússia interceta frequentemente navios que se dirigem para os portos ucranianos de Mariupol e Berdyansk, ou que deles saem, e que realiza longas inspeções, que podem demorar vários dias; que os navios de bandeira russa não são obrigados a submeter-se a tais controlos;</w:t>
      </w:r>
    </w:p>
    <w:p w14:paraId="55E3D65A" w14:textId="76D75FA8" w:rsidR="006A7F23" w:rsidRPr="009F1658" w:rsidRDefault="006A7F23" w:rsidP="006A7F23">
      <w:pPr>
        <w:pStyle w:val="Normal12Hanging"/>
      </w:pPr>
      <w:r w:rsidRPr="009F1658">
        <w:t>F.</w:t>
      </w:r>
      <w:r w:rsidRPr="009F1658">
        <w:tab/>
        <w:t>Considerando que, desde abril de 2018, pelo menos 120 navios dos Estados-Membros da UE foram submetidos a procedimentos de inspeção abusivos por parte da Rússia na região do Mar de Azov;</w:t>
      </w:r>
    </w:p>
    <w:p w14:paraId="20A31549" w14:textId="50160B33" w:rsidR="006A7F23" w:rsidRPr="009F1658" w:rsidRDefault="006A7F23" w:rsidP="006A7F23">
      <w:pPr>
        <w:pStyle w:val="Normal12Hanging"/>
      </w:pPr>
      <w:r w:rsidRPr="009F1658">
        <w:t>G.</w:t>
      </w:r>
      <w:r w:rsidRPr="009F1658">
        <w:tab/>
        <w:t>Considerando que esta nova prática da Rússia já teve um impacto negativo significativo na economia local e no volume de trabalho dos portos ucranianos no Mar de Azov, os quais, após a anexação ilegal da Crimeia, foram responsáveis pelo tratamento de 80 % do volume das exportações marítimas da Ucrânia;</w:t>
      </w:r>
    </w:p>
    <w:p w14:paraId="2B745C26" w14:textId="5D1D57B2" w:rsidR="006A7F23" w:rsidRPr="009F1658" w:rsidRDefault="006A7F23" w:rsidP="006A7F23">
      <w:pPr>
        <w:pStyle w:val="Normal12Hanging"/>
      </w:pPr>
      <w:r w:rsidRPr="009F1658">
        <w:t>H.</w:t>
      </w:r>
      <w:r w:rsidRPr="009F1658">
        <w:tab/>
        <w:t>Considerando que este padrão de violação das águas territoriais de países terceiros ou de bloqueio do transporte marítimo já foi praticado pela Rússia no Mar Báltico, em especial contra a Estónia, a Letónia e a Polónia (Lagoa do Vístula);</w:t>
      </w:r>
    </w:p>
    <w:p w14:paraId="29FFF459" w14:textId="0536BCF2" w:rsidR="006A7F23" w:rsidRPr="009F1658" w:rsidRDefault="006A7F23" w:rsidP="006A7F23">
      <w:pPr>
        <w:pStyle w:val="Normal12Hanging"/>
      </w:pPr>
      <w:r w:rsidRPr="009F1658">
        <w:t>I.</w:t>
      </w:r>
      <w:r w:rsidRPr="009F1658">
        <w:tab/>
        <w:t>Considerando que, em setembro de 2018, a Ucrânia decidiu revogar o Tratado de Amizade, Cooperação e Parceria, assinado em 1997 entre a Ucrânia e a Federação da Rússia, e criar uma base naval no Mar de Azov, aumentando assim a sua presença militar nesse país;</w:t>
      </w:r>
    </w:p>
    <w:p w14:paraId="5B4DCC4D" w14:textId="3C7553C1" w:rsidR="006A7F23" w:rsidRPr="009F1658" w:rsidRDefault="006A7F23" w:rsidP="006A7F23">
      <w:pPr>
        <w:pStyle w:val="Normal12Hanging"/>
      </w:pPr>
      <w:r w:rsidRPr="009F1658">
        <w:t>1.</w:t>
      </w:r>
      <w:r w:rsidRPr="009F1658">
        <w:tab/>
        <w:t>Condena veementemente as ações empreendidas pela Rússia no Mar de Azov, que impedem a navegação, causam atrasos, aumentam drasticamente os custos de transporte e constituem outra dimensão da guerra híbrida russa e uma violação do direito internacional e dos compromissos assumidos pela própria Rússia; manifesta a sua especial preocupação perante a prática da guarda costeira russa de intercetar os navios para os submeter a inspeção num raio de 12 milhas da costa ucraniana;</w:t>
      </w:r>
    </w:p>
    <w:p w14:paraId="52A39B3C" w14:textId="259405BB" w:rsidR="006A7F23" w:rsidRPr="009F1658" w:rsidRDefault="006A7F23" w:rsidP="006A7F23">
      <w:pPr>
        <w:pStyle w:val="Normal12Hanging"/>
      </w:pPr>
      <w:r w:rsidRPr="009F1658">
        <w:t>2.</w:t>
      </w:r>
      <w:r w:rsidRPr="009F1658">
        <w:tab/>
        <w:t>Manifesta a sua profunda preocupação perante a continuada militarização do Mar de Azov e da região do Mar Negro, em especial no que se refere à Crimeia ilegalmente ocupada, incluindo o desenvolvimento de capacidades de A2/AD pela Federação da Rússia, que abrangem novos Sistema anti-aeronaves S-400;</w:t>
      </w:r>
    </w:p>
    <w:p w14:paraId="698730E6" w14:textId="0BBEE7DC" w:rsidR="006A7F23" w:rsidRPr="009F1658" w:rsidRDefault="006A7F23" w:rsidP="006A7F23">
      <w:pPr>
        <w:pStyle w:val="Normal12Hanging"/>
      </w:pPr>
      <w:r w:rsidRPr="009F1658">
        <w:t>3.</w:t>
      </w:r>
      <w:r w:rsidRPr="009F1658">
        <w:tab/>
        <w:t>Manifesta a sua profunda preocupação perante a situação de segurança muito volátil que se faz sentir no Mar de Azov, que pode facilmente transformar-se em conflito aberto;</w:t>
      </w:r>
    </w:p>
    <w:p w14:paraId="026BDB2C" w14:textId="0489F64E" w:rsidR="006A7F23" w:rsidRPr="009F1658" w:rsidRDefault="006A7F23" w:rsidP="006A7F23">
      <w:pPr>
        <w:pStyle w:val="Normal12Hanging"/>
      </w:pPr>
      <w:r w:rsidRPr="009F1658">
        <w:t>4.</w:t>
      </w:r>
      <w:r w:rsidRPr="009F1658">
        <w:tab/>
        <w:t>Condena a prática russa de submeter a controlos excessivamente longos os navios que entram e saem do Mar de Azov, que se dirigem para os portos da Ucrânia, ou deles saem; sublinha que os navios russos ou os navios com destino aos portos russos, ou que deles saem, não são sujeitos a tal tratamento; realça o catastrófico impacto destas inspeções no setor da pesca ucraniano;</w:t>
      </w:r>
    </w:p>
    <w:p w14:paraId="7EC3E4DF" w14:textId="311D10D9" w:rsidR="006A7F23" w:rsidRPr="009F1658" w:rsidRDefault="006A7F23" w:rsidP="006A7F23">
      <w:pPr>
        <w:pStyle w:val="Normal12Hanging"/>
      </w:pPr>
      <w:r w:rsidRPr="009F1658">
        <w:lastRenderedPageBreak/>
        <w:t>5.</w:t>
      </w:r>
      <w:r w:rsidRPr="009F1658">
        <w:tab/>
        <w:t>Considera que estas práticas constituem um exemplo de discriminação consciente e deliberada dos portos ucranianos e um abuso dos direitos de inspeção; manifesta preocupação pelo facto de, se não for combatida, a prática de inspeções e bloqueios no Mar de Azov poder ser utilizada noutros locais, nomeadamente no Mar Negro;</w:t>
      </w:r>
    </w:p>
    <w:p w14:paraId="3C304091" w14:textId="07C47D47" w:rsidR="006A7F23" w:rsidRPr="009F1658" w:rsidRDefault="006A7F23" w:rsidP="006A7F23">
      <w:pPr>
        <w:pStyle w:val="Normal12Hanging"/>
      </w:pPr>
      <w:r w:rsidRPr="009F1658">
        <w:t>6.</w:t>
      </w:r>
      <w:r w:rsidRPr="009F1658">
        <w:tab/>
        <w:t>Lamenta a tentativa da Rússia de integrar à força a Crimeia ilegalmente anexada através da construção da ponte de Kerch; congratula-se com a decisão do Conselho de alargar as medidas restritivas às entidades envolvidas na construção da ponte de Kerch e convida o Conselho a alargar o âmbito das ações às quais são impostas sanções de modo a incluir os responsáveis pelo planeamento e execução da política de inspeções abusivas e discriminatórias por parte da Rússia no Mar de Azov, assim como os responsáveis pela supervisão da construção e operação da ponte de Kerch;</w:t>
      </w:r>
    </w:p>
    <w:p w14:paraId="2229C754" w14:textId="485AE5BD" w:rsidR="006A7F23" w:rsidRPr="009F1658" w:rsidRDefault="006A7F23" w:rsidP="006A7F23">
      <w:pPr>
        <w:pStyle w:val="Normal12Hanging"/>
      </w:pPr>
      <w:r w:rsidRPr="009F1658">
        <w:t>7.</w:t>
      </w:r>
      <w:r w:rsidRPr="009F1658">
        <w:tab/>
        <w:t>Insta a Organização para a Segurança e a Cooperação na Europa (OSCE) a alargar o seu mandato da missão de vigilância ao Mar de Azov ou a criar uma missão de vigilância internacional separada para esta massa de água;</w:t>
      </w:r>
    </w:p>
    <w:p w14:paraId="37D0B463" w14:textId="56BA40D9" w:rsidR="006A7F23" w:rsidRPr="009F1658" w:rsidRDefault="006A7F23" w:rsidP="006A7F23">
      <w:pPr>
        <w:pStyle w:val="Normal12Hanging"/>
      </w:pPr>
      <w:r w:rsidRPr="009F1658">
        <w:t>8.</w:t>
      </w:r>
      <w:r w:rsidRPr="009F1658">
        <w:tab/>
        <w:t>Insta a VP/AR a acompanhar de mais perto a evolução da situação de segurança no Mar de Azov, tendo em conta o seu crescente potencial de conflito à porta da Europa, pois pode ter implicações mais vastas para a segurança que afetam diretamente a UE e os seus Estados-Membros; a este respeito, considera muito útil nomear um enviado especial da UE para a Crimeia e a região de Donbass, incumbido também do Mar de Azov;</w:t>
      </w:r>
    </w:p>
    <w:p w14:paraId="5CA50FC2" w14:textId="66980555" w:rsidR="006A7F23" w:rsidRPr="009F1658" w:rsidRDefault="006A7F23" w:rsidP="006A7F23">
      <w:pPr>
        <w:pStyle w:val="Normal12Hanging"/>
      </w:pPr>
      <w:r w:rsidRPr="009F1658">
        <w:t>9.</w:t>
      </w:r>
      <w:r w:rsidRPr="009F1658">
        <w:tab/>
        <w:t>Insta a Comissão a enviar uma missão especial de peritos à região para avaliar os prejuízos económicos causados pelo bloqueio de facto e a ponderar a criação de um programa especial de desenvolvimento económico que poderá ser aplicado nas zonas afetadas, incluindo assistência à reabertura do aeroporto civil Mariupol e ao desenvolvimento de planos de rotas de transporte alternativas para os produtos ucranianos;</w:t>
      </w:r>
    </w:p>
    <w:p w14:paraId="435A5E7E" w14:textId="4FA5B2D2" w:rsidR="006A7F23" w:rsidRPr="009F1658" w:rsidRDefault="006A7F23" w:rsidP="006A7F23">
      <w:pPr>
        <w:pStyle w:val="Normal12Hanging"/>
      </w:pPr>
      <w:r w:rsidRPr="009F1658">
        <w:t>10.</w:t>
      </w:r>
      <w:r w:rsidRPr="009F1658">
        <w:tab/>
        <w:t>Deplora a extração ilegal de recursos petrolíferos e de gás pela Federação da Rússia no território ucraniano; salienta o potencial risco de a Rússia se apoderar dos jazigos petrolíferos e de gás ucranianos do Mar de Azov, uma vez atingido o seu objetivo de o transformar num mar interior da Federação da Rússia;</w:t>
      </w:r>
    </w:p>
    <w:p w14:paraId="7CE7D984" w14:textId="12930152" w:rsidR="006A7F23" w:rsidRPr="009F1658" w:rsidRDefault="006A7F23" w:rsidP="006A7F23">
      <w:pPr>
        <w:pStyle w:val="Normal12Hanging"/>
      </w:pPr>
      <w:r w:rsidRPr="009F1658">
        <w:t>11.</w:t>
      </w:r>
      <w:r w:rsidRPr="009F1658">
        <w:tab/>
        <w:t>Saúda calorosamente o firme apoio da NATO à Ucrânia; apela a um maior auxílio e envolvimento, incluindo uma maior presença no Mar Negro e no Mar de Azov, operações militares e exercícios conjuntos, bem como auxílio no sentido de reforçar as capacidades militares e navais da Ucrânia;</w:t>
      </w:r>
    </w:p>
    <w:p w14:paraId="6590A3AC" w14:textId="6C82B880" w:rsidR="006A7F23" w:rsidRPr="009F1658" w:rsidRDefault="006A7F23" w:rsidP="006A7F23">
      <w:pPr>
        <w:pStyle w:val="Normal12Hanging"/>
      </w:pPr>
      <w:r w:rsidRPr="009F1658">
        <w:t>12.</w:t>
      </w:r>
      <w:r w:rsidRPr="009F1658">
        <w:tab/>
        <w:t>Insta a VP/AR a auxiliar a Ucrânia para que beneficie de todas as ações diplomáticas e procedimentos jurídicos previstos no direito internacional e nas convenções relevantes, incluindo o processo de arbitragem em curso ao abrigo da Convenção das Nações Unidas sobre o Direito do Mar, tendo em vista combater as práticas hostis da Rússia no Mar de Azov;</w:t>
      </w:r>
    </w:p>
    <w:p w14:paraId="78E3EE19" w14:textId="0512922E" w:rsidR="006A7F23" w:rsidRPr="009F1658" w:rsidRDefault="006A7F23" w:rsidP="006A7F23">
      <w:pPr>
        <w:pStyle w:val="Normal12Hanging"/>
      </w:pPr>
      <w:r w:rsidRPr="009F1658">
        <w:t>13.</w:t>
      </w:r>
      <w:r w:rsidRPr="009F1658">
        <w:tab/>
        <w:t>Reitera o seu apoio à independência, unidade e integridade territorial da Ucrânia; reitera a soberania da Ucrânia na Península da Crimeia;</w:t>
      </w:r>
    </w:p>
    <w:p w14:paraId="5B323582" w14:textId="7A3C75D2" w:rsidR="00814BC6" w:rsidRPr="009F1658" w:rsidRDefault="006A7F23" w:rsidP="006A7F23">
      <w:pPr>
        <w:pStyle w:val="Normal12Hanging"/>
      </w:pPr>
      <w:r w:rsidRPr="009F1658">
        <w:lastRenderedPageBreak/>
        <w:t>14.</w:t>
      </w:r>
      <w:r w:rsidRPr="009F1658">
        <w:tab/>
        <w:t>Encarrega o seu Presidente de transmitir a presente resolução ao Conselho, à Comissão, à Vice-Presidente da Comissão Europeia/Alta Representante da União para os Negócios Estrangeiros e a Política de Segurança, ao Secretário-Geral da Organização para a Segurança e a Cooperação na Europa, ao Secretário-Geral da NATO, ao Presidente, ao Governo e ao Parlamento da República da Ucrânia, ao Presidente, ao Governo e ao Parlamento da Federação da Rú</w:t>
      </w:r>
      <w:bookmarkStart w:id="0" w:name="_GoBack"/>
      <w:bookmarkEnd w:id="0"/>
      <w:r w:rsidRPr="009F1658">
        <w:t>ssia e aos Estados-Membros da UE.</w:t>
      </w:r>
    </w:p>
    <w:sectPr w:rsidR="00814BC6" w:rsidRPr="009F1658" w:rsidSect="009F1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97E6E" w14:textId="77777777" w:rsidR="00A04002" w:rsidRPr="009F1658" w:rsidRDefault="00A04002">
      <w:r w:rsidRPr="009F1658">
        <w:separator/>
      </w:r>
    </w:p>
  </w:endnote>
  <w:endnote w:type="continuationSeparator" w:id="0">
    <w:p w14:paraId="42530440" w14:textId="77777777" w:rsidR="00A04002" w:rsidRPr="009F1658" w:rsidRDefault="00A04002">
      <w:r w:rsidRPr="009F1658">
        <w:continuationSeparator/>
      </w:r>
    </w:p>
  </w:endnote>
  <w:endnote w:type="continuationNotice" w:id="1">
    <w:p w14:paraId="206D118A" w14:textId="77777777" w:rsidR="007F205C" w:rsidRPr="009F1658" w:rsidRDefault="007F2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E576" w14:textId="3085BAEB" w:rsidR="009F1658" w:rsidRPr="009F1658" w:rsidRDefault="009F1658" w:rsidP="009F1658">
    <w:pPr>
      <w:pStyle w:val="Footer"/>
    </w:pPr>
    <w:r w:rsidRPr="009F1658">
      <w:t>PE</w:t>
    </w:r>
    <w:r w:rsidRPr="009F1658">
      <w:rPr>
        <w:rStyle w:val="HideTWBExt"/>
        <w:noProof w:val="0"/>
      </w:rPr>
      <w:t>&lt;NoPE&gt;</w:t>
    </w:r>
    <w:r w:rsidRPr="009F1658">
      <w:t>624.191</w:t>
    </w:r>
    <w:r w:rsidRPr="009F1658">
      <w:rPr>
        <w:rStyle w:val="HideTWBExt"/>
        <w:noProof w:val="0"/>
      </w:rPr>
      <w:t>&lt;/NoPE&gt;&lt;Version&gt;</w:t>
    </w:r>
    <w:r w:rsidRPr="009F1658">
      <w:t>v01-00</w:t>
    </w:r>
    <w:r w:rsidRPr="009F1658">
      <w:rPr>
        <w:rStyle w:val="HideTWBExt"/>
        <w:noProof w:val="0"/>
      </w:rPr>
      <w:t>&lt;/Version&gt;</w:t>
    </w:r>
    <w:r w:rsidRPr="009F1658">
      <w:tab/>
    </w:r>
    <w:r w:rsidRPr="009F1658">
      <w:fldChar w:fldCharType="begin"/>
    </w:r>
    <w:r w:rsidRPr="009F1658">
      <w:instrText xml:space="preserve"> PAGE  \* MERGEFORMAT </w:instrText>
    </w:r>
    <w:r w:rsidRPr="009F1658">
      <w:fldChar w:fldCharType="separate"/>
    </w:r>
    <w:r w:rsidR="00162F63">
      <w:rPr>
        <w:noProof/>
      </w:rPr>
      <w:t>4</w:t>
    </w:r>
    <w:r w:rsidRPr="009F1658">
      <w:fldChar w:fldCharType="end"/>
    </w:r>
    <w:r w:rsidRPr="009F1658">
      <w:t>/</w:t>
    </w:r>
    <w:fldSimple w:instr=" NUMPAGES  \* MERGEFORMAT ">
      <w:r w:rsidR="00162F63">
        <w:rPr>
          <w:noProof/>
        </w:rPr>
        <w:t>5</w:t>
      </w:r>
    </w:fldSimple>
    <w:r w:rsidRPr="009F1658">
      <w:tab/>
    </w:r>
    <w:r w:rsidRPr="009F1658">
      <w:rPr>
        <w:rStyle w:val="HideTWBExt"/>
        <w:noProof w:val="0"/>
      </w:rPr>
      <w:t>&lt;PathFdR&gt;</w:t>
    </w:r>
    <w:r w:rsidRPr="009F1658">
      <w:t>RE\1166878PT.docx</w:t>
    </w:r>
    <w:r w:rsidRPr="009F1658">
      <w:rPr>
        <w:rStyle w:val="HideTWBExt"/>
        <w:noProof w:val="0"/>
      </w:rPr>
      <w:t>&lt;/PathFdR&gt;</w:t>
    </w:r>
  </w:p>
  <w:p w14:paraId="6B477C6E" w14:textId="526A1877" w:rsidR="00A90219" w:rsidRPr="009F1658" w:rsidRDefault="009F1658" w:rsidP="009F1658">
    <w:pPr>
      <w:pStyle w:val="Footer2"/>
    </w:pPr>
    <w:r w:rsidRPr="009F1658">
      <w:t>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5E020" w14:textId="7CE728FF" w:rsidR="009F1658" w:rsidRPr="009F1658" w:rsidRDefault="009F1658" w:rsidP="009F1658">
    <w:pPr>
      <w:pStyle w:val="Footer"/>
    </w:pPr>
    <w:r w:rsidRPr="009F1658">
      <w:rPr>
        <w:rStyle w:val="HideTWBExt"/>
        <w:noProof w:val="0"/>
      </w:rPr>
      <w:t>&lt;PathFdR&gt;</w:t>
    </w:r>
    <w:r w:rsidRPr="009F1658">
      <w:t>RE\1166878PT.docx</w:t>
    </w:r>
    <w:r w:rsidRPr="009F1658">
      <w:rPr>
        <w:rStyle w:val="HideTWBExt"/>
        <w:noProof w:val="0"/>
      </w:rPr>
      <w:t>&lt;/PathFdR&gt;</w:t>
    </w:r>
    <w:r w:rsidRPr="009F1658">
      <w:tab/>
    </w:r>
    <w:r w:rsidRPr="009F1658">
      <w:fldChar w:fldCharType="begin"/>
    </w:r>
    <w:r w:rsidRPr="009F1658">
      <w:instrText xml:space="preserve"> PAGE  \* MERGEFORMAT </w:instrText>
    </w:r>
    <w:r w:rsidRPr="009F1658">
      <w:fldChar w:fldCharType="separate"/>
    </w:r>
    <w:r w:rsidR="00162F63">
      <w:rPr>
        <w:noProof/>
      </w:rPr>
      <w:t>5</w:t>
    </w:r>
    <w:r w:rsidRPr="009F1658">
      <w:fldChar w:fldCharType="end"/>
    </w:r>
    <w:r w:rsidRPr="009F1658">
      <w:t>/</w:t>
    </w:r>
    <w:fldSimple w:instr=" NUMPAGES  \* MERGEFORMAT ">
      <w:r w:rsidR="00162F63">
        <w:rPr>
          <w:noProof/>
        </w:rPr>
        <w:t>5</w:t>
      </w:r>
    </w:fldSimple>
    <w:r w:rsidRPr="009F1658">
      <w:tab/>
      <w:t>PE</w:t>
    </w:r>
    <w:r w:rsidRPr="009F1658">
      <w:rPr>
        <w:rStyle w:val="HideTWBExt"/>
        <w:noProof w:val="0"/>
      </w:rPr>
      <w:t>&lt;NoPE&gt;</w:t>
    </w:r>
    <w:r w:rsidRPr="009F1658">
      <w:t>624.191</w:t>
    </w:r>
    <w:r w:rsidRPr="009F1658">
      <w:rPr>
        <w:rStyle w:val="HideTWBExt"/>
        <w:noProof w:val="0"/>
      </w:rPr>
      <w:t>&lt;/NoPE&gt;&lt;Version&gt;</w:t>
    </w:r>
    <w:r w:rsidRPr="009F1658">
      <w:t>v01-00</w:t>
    </w:r>
    <w:r w:rsidRPr="009F1658">
      <w:rPr>
        <w:rStyle w:val="HideTWBExt"/>
        <w:noProof w:val="0"/>
      </w:rPr>
      <w:t>&lt;/Version&gt;</w:t>
    </w:r>
  </w:p>
  <w:p w14:paraId="1B98681D" w14:textId="751D3398" w:rsidR="00A90219" w:rsidRPr="009F1658" w:rsidRDefault="009F1658" w:rsidP="009F1658">
    <w:pPr>
      <w:pStyle w:val="Footer2"/>
    </w:pPr>
    <w:r w:rsidRPr="009F1658"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23603" w14:textId="77777777" w:rsidR="009F1658" w:rsidRPr="009F1658" w:rsidRDefault="009F1658" w:rsidP="009F1658">
    <w:pPr>
      <w:pStyle w:val="Footer"/>
    </w:pPr>
    <w:r w:rsidRPr="009F1658">
      <w:rPr>
        <w:rStyle w:val="HideTWBExt"/>
        <w:noProof w:val="0"/>
      </w:rPr>
      <w:t>&lt;PathFdR&gt;</w:t>
    </w:r>
    <w:r w:rsidRPr="009F1658">
      <w:t>RE\1166878PT.docx</w:t>
    </w:r>
    <w:r w:rsidRPr="009F1658">
      <w:rPr>
        <w:rStyle w:val="HideTWBExt"/>
        <w:noProof w:val="0"/>
      </w:rPr>
      <w:t>&lt;/PathFdR&gt;</w:t>
    </w:r>
    <w:r w:rsidRPr="009F1658">
      <w:tab/>
    </w:r>
    <w:r w:rsidRPr="009F1658">
      <w:tab/>
      <w:t>PE</w:t>
    </w:r>
    <w:r w:rsidRPr="009F1658">
      <w:rPr>
        <w:rStyle w:val="HideTWBExt"/>
        <w:noProof w:val="0"/>
      </w:rPr>
      <w:t>&lt;NoPE&gt;</w:t>
    </w:r>
    <w:r w:rsidRPr="009F1658">
      <w:t>624.191</w:t>
    </w:r>
    <w:r w:rsidRPr="009F1658">
      <w:rPr>
        <w:rStyle w:val="HideTWBExt"/>
        <w:noProof w:val="0"/>
      </w:rPr>
      <w:t>&lt;/NoPE&gt;&lt;Version&gt;</w:t>
    </w:r>
    <w:r w:rsidRPr="009F1658">
      <w:t>v01-00</w:t>
    </w:r>
    <w:r w:rsidRPr="009F1658">
      <w:rPr>
        <w:rStyle w:val="HideTWBExt"/>
        <w:noProof w:val="0"/>
      </w:rPr>
      <w:t>&lt;/Version&gt;</w:t>
    </w:r>
  </w:p>
  <w:p w14:paraId="5079D03A" w14:textId="233285D0" w:rsidR="00A90219" w:rsidRPr="009F1658" w:rsidRDefault="009F1658" w:rsidP="009F1658">
    <w:pPr>
      <w:pStyle w:val="Footer2"/>
      <w:tabs>
        <w:tab w:val="center" w:pos="4535"/>
        <w:tab w:val="right" w:pos="9921"/>
      </w:tabs>
    </w:pPr>
    <w:r w:rsidRPr="009F1658">
      <w:t>PT</w:t>
    </w:r>
    <w:r w:rsidRPr="009F1658">
      <w:tab/>
    </w:r>
    <w:r w:rsidRPr="009F1658">
      <w:rPr>
        <w:b w:val="0"/>
        <w:i/>
        <w:color w:val="C0C0C0"/>
        <w:sz w:val="22"/>
      </w:rPr>
      <w:t>Unida na diversidade</w:t>
    </w:r>
    <w:r w:rsidRPr="009F1658">
      <w:tab/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ABA6D" w14:textId="77777777" w:rsidR="00A04002" w:rsidRPr="009F1658" w:rsidRDefault="00A04002">
      <w:r w:rsidRPr="009F1658">
        <w:separator/>
      </w:r>
    </w:p>
  </w:footnote>
  <w:footnote w:type="continuationSeparator" w:id="0">
    <w:p w14:paraId="4788061A" w14:textId="77777777" w:rsidR="00A04002" w:rsidRPr="009F1658" w:rsidRDefault="00A04002">
      <w:r w:rsidRPr="009F1658">
        <w:continuationSeparator/>
      </w:r>
    </w:p>
  </w:footnote>
  <w:footnote w:type="continuationNotice" w:id="1">
    <w:p w14:paraId="7E1ACBAB" w14:textId="77777777" w:rsidR="007F205C" w:rsidRPr="009F1658" w:rsidRDefault="007F205C"/>
  </w:footnote>
  <w:footnote w:id="2">
    <w:p w14:paraId="3FBCA61F" w14:textId="77777777" w:rsidR="007F205C" w:rsidRPr="009F1658" w:rsidRDefault="007F205C">
      <w:pPr>
        <w:pStyle w:val="FootnoteText"/>
      </w:pPr>
      <w:r w:rsidRPr="009F1658">
        <w:rPr>
          <w:rStyle w:val="FootnoteReference"/>
        </w:rPr>
        <w:footnoteRef/>
      </w:r>
      <w:r w:rsidRPr="009F1658">
        <w:t xml:space="preserve"> JO C 378 de 9.11.2017, p. 213.</w:t>
      </w:r>
    </w:p>
  </w:footnote>
  <w:footnote w:id="3">
    <w:p w14:paraId="433DC190" w14:textId="77777777" w:rsidR="007F205C" w:rsidRPr="009F1658" w:rsidRDefault="007F205C">
      <w:pPr>
        <w:pStyle w:val="FootnoteText"/>
      </w:pPr>
      <w:r w:rsidRPr="009F1658">
        <w:rPr>
          <w:rStyle w:val="FootnoteReference"/>
        </w:rPr>
        <w:footnoteRef/>
      </w:r>
      <w:r w:rsidRPr="009F1658">
        <w:t xml:space="preserve"> JO C 224 de 21.6.2016, p. 14.</w:t>
      </w:r>
    </w:p>
  </w:footnote>
  <w:footnote w:id="4">
    <w:p w14:paraId="33378409" w14:textId="77777777" w:rsidR="007F205C" w:rsidRPr="009F1658" w:rsidRDefault="007F205C">
      <w:pPr>
        <w:pStyle w:val="FootnoteText"/>
      </w:pPr>
      <w:r w:rsidRPr="009F1658">
        <w:rPr>
          <w:rStyle w:val="FootnoteReference"/>
        </w:rPr>
        <w:footnoteRef/>
      </w:r>
      <w:r w:rsidRPr="009F1658">
        <w:t xml:space="preserve"> JO C 407 de 4.11.2016, p. 74.</w:t>
      </w:r>
    </w:p>
  </w:footnote>
  <w:footnote w:id="5">
    <w:p w14:paraId="73D1151F" w14:textId="77777777" w:rsidR="007F205C" w:rsidRPr="009F1658" w:rsidRDefault="007F205C">
      <w:pPr>
        <w:pStyle w:val="FootnoteText"/>
      </w:pPr>
      <w:r w:rsidRPr="009F1658">
        <w:rPr>
          <w:rStyle w:val="FootnoteReference"/>
        </w:rPr>
        <w:footnoteRef/>
      </w:r>
      <w:r w:rsidRPr="009F1658">
        <w:t xml:space="preserve"> JO C 346 de 27.9.2018, p. 86.</w:t>
      </w:r>
    </w:p>
  </w:footnote>
  <w:footnote w:id="6">
    <w:p w14:paraId="37244DE2" w14:textId="77777777" w:rsidR="007F205C" w:rsidRPr="009F1658" w:rsidRDefault="007F205C">
      <w:pPr>
        <w:pStyle w:val="FootnoteText"/>
      </w:pPr>
      <w:r w:rsidRPr="009F1658">
        <w:rPr>
          <w:rStyle w:val="FootnoteReference"/>
        </w:rPr>
        <w:footnoteRef/>
      </w:r>
      <w:r w:rsidRPr="009F1658">
        <w:t xml:space="preserve"> Textos aprovados, P8_TA(2018)0259.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07827" w14:textId="77777777" w:rsidR="00162F63" w:rsidRDefault="00162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9D6CA" w14:textId="77777777" w:rsidR="00162F63" w:rsidRDefault="00162F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F630" w14:textId="77777777" w:rsidR="00162F63" w:rsidRDefault="00162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YPEMNU" w:val=" 2"/>
    <w:docVar w:name="LastEditedSection" w:val=" 1"/>
    <w:docVar w:name="STATMNU" w:val=" 4"/>
    <w:docVar w:name="strDocTypeID" w:val="RE_Statements"/>
    <w:docVar w:name="strSubDir" w:val="1166"/>
    <w:docVar w:name="TXTLANGUE" w:val="EN"/>
    <w:docVar w:name="TXTLANGUEMIN" w:val="en"/>
    <w:docVar w:name="TXTNRB" w:val="0496/2018"/>
    <w:docVar w:name="TXTNRPE" w:val="624.191"/>
    <w:docVar w:name="TXTNRRSP" w:val="2018/2870"/>
    <w:docVar w:name="TXTPEorAP" w:val="PE"/>
    <w:docVar w:name="TXTROUTE" w:val="RE\1166878EN.docx"/>
    <w:docVar w:name="TXTTITLE" w:val="the Situation in the Sea of Azov"/>
    <w:docVar w:name="TXTVERSION" w:val="01-00"/>
  </w:docVars>
  <w:rsids>
    <w:rsidRoot w:val="00A04002"/>
    <w:rsid w:val="00037F46"/>
    <w:rsid w:val="00094DDA"/>
    <w:rsid w:val="000F60DE"/>
    <w:rsid w:val="00162F63"/>
    <w:rsid w:val="00167691"/>
    <w:rsid w:val="001B49A3"/>
    <w:rsid w:val="001C62C5"/>
    <w:rsid w:val="001F5209"/>
    <w:rsid w:val="002574AA"/>
    <w:rsid w:val="002620BB"/>
    <w:rsid w:val="002C7767"/>
    <w:rsid w:val="00301C26"/>
    <w:rsid w:val="00303413"/>
    <w:rsid w:val="003772FA"/>
    <w:rsid w:val="00396A11"/>
    <w:rsid w:val="004A0E16"/>
    <w:rsid w:val="005568E1"/>
    <w:rsid w:val="0058312A"/>
    <w:rsid w:val="005C7163"/>
    <w:rsid w:val="006A7F23"/>
    <w:rsid w:val="00706BC0"/>
    <w:rsid w:val="00715046"/>
    <w:rsid w:val="00723A0B"/>
    <w:rsid w:val="00780A7D"/>
    <w:rsid w:val="007A02AE"/>
    <w:rsid w:val="007F205C"/>
    <w:rsid w:val="00814BC6"/>
    <w:rsid w:val="008805F5"/>
    <w:rsid w:val="008A4052"/>
    <w:rsid w:val="008B3E1D"/>
    <w:rsid w:val="008D4CA3"/>
    <w:rsid w:val="00907285"/>
    <w:rsid w:val="0094096C"/>
    <w:rsid w:val="009F1658"/>
    <w:rsid w:val="00A04002"/>
    <w:rsid w:val="00A5555A"/>
    <w:rsid w:val="00A716A5"/>
    <w:rsid w:val="00A90219"/>
    <w:rsid w:val="00B17F0D"/>
    <w:rsid w:val="00B34A46"/>
    <w:rsid w:val="00BA0799"/>
    <w:rsid w:val="00C053F2"/>
    <w:rsid w:val="00C23264"/>
    <w:rsid w:val="00CC09D8"/>
    <w:rsid w:val="00CD4AD6"/>
    <w:rsid w:val="00D12F64"/>
    <w:rsid w:val="00D3627F"/>
    <w:rsid w:val="00D90D37"/>
    <w:rsid w:val="00E53167"/>
    <w:rsid w:val="00E73D16"/>
    <w:rsid w:val="00F11DF1"/>
    <w:rsid w:val="00F26DE8"/>
    <w:rsid w:val="00F4455A"/>
    <w:rsid w:val="00F858D2"/>
    <w:rsid w:val="00F959BA"/>
    <w:rsid w:val="00F96B51"/>
    <w:rsid w:val="00FB3FBF"/>
    <w:rsid w:val="00FC2A1A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723EB9"/>
  <w15:chartTrackingRefBased/>
  <w15:docId w15:val="{9FC4626D-E8FA-48DB-8376-57DBA01E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2574AA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1B49A3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E53167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C23264"/>
    <w:pPr>
      <w:spacing w:after="480"/>
    </w:pPr>
    <w:rPr>
      <w:b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RefProc">
    <w:name w:val="RefProc"/>
    <w:basedOn w:val="Normal"/>
    <w:rsid w:val="00094DDA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094DDA"/>
    <w:pPr>
      <w:spacing w:after="1200"/>
    </w:pPr>
  </w:style>
  <w:style w:type="paragraph" w:styleId="NoSpacing">
    <w:name w:val="No Spacing"/>
    <w:basedOn w:val="Normal"/>
    <w:uiPriority w:val="1"/>
    <w:qFormat/>
    <w:rsid w:val="006A7F23"/>
    <w:pPr>
      <w:widowControl/>
      <w:jc w:val="both"/>
    </w:pPr>
    <w:rPr>
      <w:rFonts w:eastAsia="Calibri"/>
      <w:noProof/>
      <w:szCs w:val="32"/>
      <w:lang w:eastAsia="en-US"/>
    </w:rPr>
  </w:style>
  <w:style w:type="paragraph" w:styleId="BalloonText">
    <w:name w:val="Balloon Text"/>
    <w:basedOn w:val="Normal"/>
    <w:link w:val="BalloonTextChar"/>
    <w:rsid w:val="00262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20B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7F205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F205C"/>
  </w:style>
  <w:style w:type="character" w:styleId="FootnoteReference">
    <w:name w:val="footnote reference"/>
    <w:basedOn w:val="DefaultParagraphFont"/>
    <w:rsid w:val="007F205C"/>
    <w:rPr>
      <w:vertAlign w:val="superscript"/>
    </w:rPr>
  </w:style>
  <w:style w:type="character" w:styleId="CommentReference">
    <w:name w:val="annotation reference"/>
    <w:basedOn w:val="DefaultParagraphFont"/>
    <w:rsid w:val="008B3E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3E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B3E1D"/>
  </w:style>
  <w:style w:type="paragraph" w:styleId="CommentSubject">
    <w:name w:val="annotation subject"/>
    <w:basedOn w:val="CommentText"/>
    <w:next w:val="CommentText"/>
    <w:link w:val="CommentSubjectChar"/>
    <w:rsid w:val="008B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3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8064</Characters>
  <Application>Microsoft Office Word</Application>
  <DocSecurity>0</DocSecurity>
  <Lines>146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MOSSAKOWSKI Paula</dc:creator>
  <cp:keywords/>
  <dc:description/>
  <cp:lastModifiedBy>CARVALHO Ana Paula</cp:lastModifiedBy>
  <cp:revision>2</cp:revision>
  <cp:lastPrinted>2018-10-23T10:40:00Z</cp:lastPrinted>
  <dcterms:created xsi:type="dcterms:W3CDTF">2018-10-24T08:00:00Z</dcterms:created>
  <dcterms:modified xsi:type="dcterms:W3CDTF">2018-10-24T08:00:00Z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1166878</vt:lpwstr>
  </property>
  <property fmtid="{D5CDD505-2E9C-101B-9397-08002B2CF9AE}" pid="5" name="&lt;Type&gt;">
    <vt:lpwstr>RE</vt:lpwstr>
  </property>
  <property fmtid="{D5CDD505-2E9C-101B-9397-08002B2CF9AE}" pid="6" name="&lt;ModelCod&gt;">
    <vt:lpwstr>\\eiciBRUpr1\pdocep$\DocEP\DOCS\General\RE\RE_Statements.dot(13/10/2017 11:48:29)</vt:lpwstr>
  </property>
  <property fmtid="{D5CDD505-2E9C-101B-9397-08002B2CF9AE}" pid="7" name="&lt;ModelTra&gt;">
    <vt:lpwstr>\\eiciBRUpr1\pdocep$\DocEP\TRANSFIL\EN\RE_Statements.EN(13/10/2017 11:43:44)</vt:lpwstr>
  </property>
  <property fmtid="{D5CDD505-2E9C-101B-9397-08002B2CF9AE}" pid="8" name="&lt;Model&gt;">
    <vt:lpwstr>RE_Statements</vt:lpwstr>
  </property>
  <property fmtid="{D5CDD505-2E9C-101B-9397-08002B2CF9AE}" pid="9" name="FooterPath">
    <vt:lpwstr>RE\1166878PT.docx</vt:lpwstr>
  </property>
  <property fmtid="{D5CDD505-2E9C-101B-9397-08002B2CF9AE}" pid="10" name="PE number">
    <vt:lpwstr>624.191</vt:lpwstr>
  </property>
  <property fmtid="{D5CDD505-2E9C-101B-9397-08002B2CF9AE}" pid="11" name="Bookout">
    <vt:lpwstr>OK - 2018/10/24 10:00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PT</vt:lpwstr>
  </property>
</Properties>
</file>