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DC10CD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DC10CD" w:rsidRDefault="00DC10CD" w:rsidP="00F26DE8">
            <w:pPr>
              <w:pStyle w:val="EPName"/>
            </w:pPr>
            <w:bookmarkStart w:id="0" w:name="_GoBack"/>
            <w:bookmarkEnd w:id="0"/>
            <w:r>
              <w:t>Parlament Ewropew</w:t>
            </w:r>
          </w:p>
          <w:p w:rsidR="00706BC0" w:rsidRPr="00F5544B" w:rsidRDefault="00F5544B" w:rsidP="00F5544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DC10CD" w:rsidRDefault="001F3D94" w:rsidP="00F26DE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53167" w:rsidRPr="00DC10CD" w:rsidRDefault="00E53167" w:rsidP="00E53167">
      <w:pPr>
        <w:pStyle w:val="LineTop"/>
      </w:pPr>
    </w:p>
    <w:p w:rsidR="00E53167" w:rsidRPr="00DC10CD" w:rsidRDefault="00F5544B" w:rsidP="00E53167">
      <w:pPr>
        <w:pStyle w:val="ZSessionDoc"/>
      </w:pPr>
      <w:r>
        <w:t>Dokument ta' sessjoni</w:t>
      </w:r>
    </w:p>
    <w:p w:rsidR="00094DDA" w:rsidRPr="00DC10CD" w:rsidRDefault="00094DDA" w:rsidP="00094DDA">
      <w:pPr>
        <w:pStyle w:val="LineBottom"/>
      </w:pPr>
    </w:p>
    <w:p w:rsidR="00094DDA" w:rsidRPr="00DC10CD" w:rsidRDefault="00094DDA" w:rsidP="00094DDA">
      <w:pPr>
        <w:pStyle w:val="RefProc"/>
      </w:pPr>
      <w:r>
        <w:rPr>
          <w:rStyle w:val="HideTWBExt"/>
          <w:b w:val="0"/>
        </w:rPr>
        <w:t>&lt;NoDocSe&gt;</w:t>
      </w:r>
      <w:r>
        <w:t>B8-0227/2019</w:t>
      </w:r>
      <w:r>
        <w:rPr>
          <w:rStyle w:val="HideTWBExt"/>
          <w:b w:val="0"/>
        </w:rPr>
        <w:t>&lt;/NoDocSe&gt;</w:t>
      </w:r>
    </w:p>
    <w:p w:rsidR="00094DDA" w:rsidRPr="00DC10CD" w:rsidRDefault="00094DDA" w:rsidP="00094DDA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{25/03/2019}</w:t>
      </w:r>
      <w:r>
        <w:t>25.3.2019</w:t>
      </w:r>
      <w:r>
        <w:rPr>
          <w:rStyle w:val="HideTWBExt"/>
        </w:rPr>
        <w:t>&lt;/Date&gt;</w:t>
      </w:r>
    </w:p>
    <w:p w:rsidR="00814BC6" w:rsidRPr="00DC10CD" w:rsidRDefault="00814BC6">
      <w:pPr>
        <w:pStyle w:val="TypeDoc"/>
      </w:pPr>
      <w:r>
        <w:rPr>
          <w:rStyle w:val="HideTWBExt"/>
          <w:b w:val="0"/>
        </w:rPr>
        <w:t>&lt;TitreType&gt;</w:t>
      </w:r>
      <w:r>
        <w:t>MOZZJONI GĦAL RIŻOLUZZJONI</w:t>
      </w:r>
      <w:r>
        <w:rPr>
          <w:rStyle w:val="HideTWBExt"/>
          <w:b w:val="0"/>
        </w:rPr>
        <w:t>&lt;/TitreType&gt;</w:t>
      </w:r>
    </w:p>
    <w:p w:rsidR="00814BC6" w:rsidRPr="00DC10CD" w:rsidRDefault="00814BC6">
      <w:pPr>
        <w:pStyle w:val="Cover12"/>
      </w:pPr>
      <w:r>
        <w:rPr>
          <w:rStyle w:val="HideTWBExt"/>
        </w:rPr>
        <w:t>&lt;TitreSuite&gt;</w:t>
      </w:r>
      <w:r>
        <w:t>imressqa wara d-dikjarazzjoni tal-Viċi President tal-Kummissjoni / Rappreżentant Għoli tal-Unjoni għall-Affarijiet Barranin u l-Politika ta' Sigurtà</w:t>
      </w:r>
      <w:r>
        <w:rPr>
          <w:rStyle w:val="HideTWBExt"/>
        </w:rPr>
        <w:t>&lt;/TitreSuite&gt;</w:t>
      </w:r>
    </w:p>
    <w:p w:rsidR="00814BC6" w:rsidRPr="00DC10CD" w:rsidRDefault="00814BC6">
      <w:pPr>
        <w:pStyle w:val="Cover12"/>
      </w:pPr>
      <w:r>
        <w:rPr>
          <w:rStyle w:val="HideTWBExt"/>
        </w:rPr>
        <w:t>&lt;TitreRecueil&gt;</w:t>
      </w:r>
      <w:r>
        <w:t>skont l-Artikolu 123(2) tar-Regoli ta' Proċedura</w:t>
      </w:r>
      <w:r>
        <w:rPr>
          <w:rStyle w:val="HideTWBExt"/>
        </w:rPr>
        <w:t>&lt;/TitreRecueil&gt;</w:t>
      </w:r>
    </w:p>
    <w:p w:rsidR="00F5544B" w:rsidRPr="00C56006" w:rsidRDefault="00F5544B" w:rsidP="00F5544B">
      <w:pPr>
        <w:pStyle w:val="CoverNormal"/>
      </w:pPr>
      <w:r>
        <w:rPr>
          <w:rStyle w:val="HideTWBExt"/>
        </w:rPr>
        <w:t>&lt;Titre&gt;</w:t>
      </w:r>
      <w:r>
        <w:t>dwar is-sitwazzjoni ta' emerġenza fil-Venezwela</w:t>
      </w:r>
      <w:r>
        <w:rPr>
          <w:rStyle w:val="HideTWBExt"/>
        </w:rPr>
        <w:t>&lt;/Titre&gt;</w:t>
      </w:r>
    </w:p>
    <w:p w:rsidR="00C23264" w:rsidRPr="00DC10CD" w:rsidRDefault="00F5544B" w:rsidP="00F5544B">
      <w:pPr>
        <w:pStyle w:val="Cover24"/>
      </w:pPr>
      <w:r>
        <w:rPr>
          <w:rStyle w:val="HideTWBExt"/>
        </w:rPr>
        <w:t>&lt;DocRef&gt;</w:t>
      </w:r>
      <w:r>
        <w:t>(2019/2628(RSP))</w:t>
      </w:r>
      <w:r>
        <w:rPr>
          <w:rStyle w:val="HideTWBExt"/>
        </w:rPr>
        <w:t>&lt;/DocRef&gt;</w:t>
      </w:r>
    </w:p>
    <w:p w:rsidR="002574AA" w:rsidRPr="00DC10CD" w:rsidRDefault="002574AA" w:rsidP="002574AA">
      <w:pPr>
        <w:pStyle w:val="CoverBold"/>
      </w:pPr>
      <w:r>
        <w:rPr>
          <w:rStyle w:val="HideTWBExt"/>
          <w:b w:val="0"/>
        </w:rPr>
        <w:t>&lt;RepeatBlock-By&gt;</w:t>
      </w:r>
      <w:r>
        <w:t xml:space="preserve">Charles Tannock, Ryszard Antoni Legutko, Ryszard Czarnecki, Karol Karski, Tomasz Piotr Poręba, Hans-Olaf Henkel, Bernd Kölmel, Ulrike Trebesius, Jana Žitňanská, Zdzisław Krasnodębski, Ruža Tomašić, Jan Zahradil, Monica Macovei, Raffaele Fitto, Anna Elżbieta Fotyga </w:t>
      </w:r>
      <w:r>
        <w:rPr>
          <w:rStyle w:val="HideTWBExt"/>
          <w:b w:val="0"/>
        </w:rPr>
        <w:t>&lt;/Depute&gt;</w:t>
      </w:r>
    </w:p>
    <w:p w:rsidR="002574AA" w:rsidRPr="00DC10CD" w:rsidRDefault="002574AA" w:rsidP="002574AA">
      <w:pPr>
        <w:pStyle w:val="CoverNormal"/>
      </w:pPr>
      <w:r>
        <w:rPr>
          <w:rStyle w:val="HideTWBExt"/>
        </w:rPr>
        <w:t>&lt;Commission&gt;&lt;OptDel&gt;</w:t>
      </w:r>
      <w:r>
        <w:rPr>
          <w:rStyle w:val="HideTWBInt"/>
        </w:rPr>
        <w:t>{ECR}</w:t>
      </w:r>
      <w:r>
        <w:t>f'isem il-Grupp ECR</w:t>
      </w:r>
      <w:r>
        <w:rPr>
          <w:rStyle w:val="HideTWBExt"/>
        </w:rPr>
        <w:t>&lt;/OptDel&gt;&lt;/Commission&gt;</w:t>
      </w:r>
    </w:p>
    <w:p w:rsidR="002574AA" w:rsidRPr="00DC10CD" w:rsidRDefault="002574AA" w:rsidP="002574AA">
      <w:pPr>
        <w:pStyle w:val="CoverNormal"/>
      </w:pPr>
      <w:r>
        <w:t>&lt;&lt;&lt;</w:t>
      </w:r>
      <w:r>
        <w:rPr>
          <w:rStyle w:val="HideTWBExt"/>
        </w:rPr>
        <w:t>&lt;/RepeatBlock-By&gt;</w:t>
      </w:r>
    </w:p>
    <w:p w:rsidR="00814BC6" w:rsidRPr="00DC10CD" w:rsidRDefault="00814BC6">
      <w:pPr>
        <w:pStyle w:val="Normal12Bold"/>
      </w:pPr>
      <w:r>
        <w:br w:type="page"/>
      </w:r>
      <w:r>
        <w:lastRenderedPageBreak/>
        <w:t>B8-0227/2019</w:t>
      </w:r>
    </w:p>
    <w:p w:rsidR="00F5544B" w:rsidRPr="00C56006" w:rsidRDefault="00F5544B" w:rsidP="00F5544B">
      <w:pPr>
        <w:pStyle w:val="NormalBold"/>
      </w:pPr>
      <w:r>
        <w:t>Riżoluzzjoni tal-Parlament Ewropew dwar is-sitwazzjoni ta' emerġenza fil-Venezwela</w:t>
      </w:r>
    </w:p>
    <w:p w:rsidR="00C23264" w:rsidRPr="00DC10CD" w:rsidRDefault="00F5544B" w:rsidP="00F5544B">
      <w:pPr>
        <w:pStyle w:val="Normal24Bold"/>
      </w:pPr>
      <w:r>
        <w:t>(2019/2628(RSP))</w:t>
      </w:r>
    </w:p>
    <w:p w:rsidR="00814BC6" w:rsidRPr="00DC10CD" w:rsidRDefault="00DC10CD">
      <w:pPr>
        <w:pStyle w:val="Normal12"/>
      </w:pPr>
      <w:r>
        <w:rPr>
          <w:i/>
        </w:rPr>
        <w:t>Il-Parlament Ewropew</w:t>
      </w:r>
      <w:r>
        <w:t>,</w:t>
      </w:r>
    </w:p>
    <w:p w:rsidR="00F5544B" w:rsidRPr="00C56006" w:rsidRDefault="00F5544B" w:rsidP="00F5544B">
      <w:pPr>
        <w:pStyle w:val="Normal12Hanging"/>
      </w:pPr>
      <w:r>
        <w:t>–</w:t>
      </w:r>
      <w:r>
        <w:tab/>
        <w:t>wara li kkunsidra r-riżoluzzjonijiet preċedenti tiegħu dwar il-Venezwela, b'mod partikolari dawk tat-3 ta' Mejju 2018 dwar l-elezzjonijiet fil-Venezwela</w:t>
      </w:r>
      <w:r w:rsidRPr="00C56006">
        <w:rPr>
          <w:rStyle w:val="FootnoteReference"/>
        </w:rPr>
        <w:footnoteReference w:id="1"/>
      </w:r>
      <w:r>
        <w:t>, tal-5 ta' Lulju 2018 dwar il-kriżi tal-migrazzjoni u s-sitwazzjoni umanitarja fil-Venezwela u fuq il-fruntieri tal-art tagħha mal-Kolombja u mal-Brażil</w:t>
      </w:r>
      <w:r w:rsidRPr="00C56006">
        <w:rPr>
          <w:rStyle w:val="FootnoteReference"/>
        </w:rPr>
        <w:footnoteReference w:id="2"/>
      </w:r>
      <w:r>
        <w:t>, tal-25 ta' Ottubru 2018 dwar is-sitwazzjoni fil-Venezwela</w:t>
      </w:r>
      <w:r w:rsidRPr="00C56006">
        <w:rPr>
          <w:rStyle w:val="FootnoteReference"/>
        </w:rPr>
        <w:footnoteReference w:id="3"/>
      </w:r>
      <w:r>
        <w:t>, u tal-31 ta' Jannar 2019 dwar is-sitwazzjoni fil-Venezwela</w:t>
      </w:r>
      <w:r w:rsidRPr="00C56006">
        <w:rPr>
          <w:rStyle w:val="FootnoteReference"/>
        </w:rPr>
        <w:footnoteReference w:id="4"/>
      </w:r>
      <w:r>
        <w:t>,</w:t>
      </w:r>
    </w:p>
    <w:p w:rsidR="00F5544B" w:rsidRPr="00C56006" w:rsidRDefault="00F5544B" w:rsidP="00F5544B">
      <w:pPr>
        <w:pStyle w:val="Normal12Hanging"/>
      </w:pPr>
      <w:r>
        <w:t>–</w:t>
      </w:r>
      <w:r>
        <w:tab/>
        <w:t>wara li kkunsidra d-dikjarazzjoni tal-24 ta' Frar 2019 mir-Rappreżentant Għoli f'isem l-UE dwar l-aħħar avvenimenti fil-Venezwela,</w:t>
      </w:r>
    </w:p>
    <w:p w:rsidR="00F5544B" w:rsidRPr="00C56006" w:rsidRDefault="00F5544B" w:rsidP="00F5544B">
      <w:pPr>
        <w:pStyle w:val="Normal12Hanging"/>
      </w:pPr>
      <w:r>
        <w:t>–</w:t>
      </w:r>
      <w:r>
        <w:tab/>
        <w:t>wara li kkunsidra d-dikjarazzjoni tas-26 ta' Jannar 2019 tal-Viċi President tal-Kummissjoni / Rappreżentant Għoli tal-Unjoni għall-Affarijiet Barranin u l-Politika ta' Sigurtà (VP / RGħ) f'isem l-Unjoni Ewropea dwar is-sitwazzjoni fil-Venezwela,</w:t>
      </w:r>
    </w:p>
    <w:p w:rsidR="00F5544B" w:rsidRPr="00C56006" w:rsidRDefault="00F5544B" w:rsidP="00F5544B">
      <w:pPr>
        <w:pStyle w:val="Normal12Hanging"/>
      </w:pPr>
      <w:r>
        <w:t>–</w:t>
      </w:r>
      <w:r>
        <w:tab/>
        <w:t>wara li kkunsidra d-dikjarazzjoni tal-10 ta' Jannar 2019 tal-VP / RGħ f'isem l-UE dwar il-mandat il-ġdid tal-President Maduro,</w:t>
      </w:r>
    </w:p>
    <w:p w:rsidR="00F5544B" w:rsidRPr="00C56006" w:rsidRDefault="00F5544B" w:rsidP="00F5544B">
      <w:pPr>
        <w:pStyle w:val="Normal12Hanging"/>
      </w:pPr>
      <w:r>
        <w:t>–</w:t>
      </w:r>
      <w:r>
        <w:tab/>
        <w:t>wara li kkunsidra l-Artikolu 123(2) tar-Regoli ta' Proċedura tiegħu,</w:t>
      </w:r>
    </w:p>
    <w:p w:rsidR="00F5544B" w:rsidRPr="00C56006" w:rsidRDefault="00F5544B" w:rsidP="00F5544B">
      <w:pPr>
        <w:pStyle w:val="Normal12Hanging"/>
      </w:pPr>
      <w:r>
        <w:t>A.</w:t>
      </w:r>
      <w:r>
        <w:tab/>
        <w:t>billi, bħala riżultat ta' kriżi politika, il-Venezwela qed tħabbat wiċċha ma' kriżi multidimensjonali bla preċedent li qed tħalli impatt fuq għadd dejjem akbar ta' Venezwelani;</w:t>
      </w:r>
    </w:p>
    <w:p w:rsidR="00F5544B" w:rsidRPr="00C56006" w:rsidRDefault="00F5544B" w:rsidP="00F5544B">
      <w:pPr>
        <w:pStyle w:val="Normal12Hanging"/>
      </w:pPr>
      <w:r>
        <w:t>B.</w:t>
      </w:r>
      <w:r>
        <w:tab/>
        <w:t>billi, skont il-Kummissarju Għoli tan-Nazzjonijiet Uniti għar-Rifuġjati, aktar minn tliet miljun Venezwelan ħarbu minn pajjiżhom mill-2014 'l hawn; billi l-eżodu ta' persuni mill-Venezwela ġie kkawżat l-aktar minn kriżi umanitarja, imma ħafna Venezwelani ħarbu wkoll minħabba repressjoni mill-gvern li wasslet għal eluf ta' arresti arbitrarji, il-prosekuzzjoni ta' mijiet ta' ċittadini minn qrati militari, u tortura u abbużi oħra fuq dawk detenuti;</w:t>
      </w:r>
    </w:p>
    <w:p w:rsidR="00F5544B" w:rsidRPr="00C56006" w:rsidRDefault="00F5544B" w:rsidP="00F5544B">
      <w:pPr>
        <w:pStyle w:val="Normal12Hanging"/>
      </w:pPr>
      <w:r>
        <w:t>C.</w:t>
      </w:r>
      <w:r>
        <w:tab/>
        <w:t>billi l-Venezwelani qed iħabbtu wiċċhom ma' nuqqasijiet gravi ta' mediċini, ta' provvisti mediċi u ikel, li jimminaw serjament id-drittijiet tagħhom għas-saħħa u l-ikel u li jwasslu għal livelli ogħla ta' mortalità materna u infantili, għal żidiet qawwija f'mard infettiv u livelli għoljin ta' nuqqas ta' sigurtà tal-ikel u ta' malnutrizzjoni tat-tfal;</w:t>
      </w:r>
    </w:p>
    <w:p w:rsidR="00F5544B" w:rsidRPr="00C56006" w:rsidRDefault="00F5544B" w:rsidP="00F5544B">
      <w:pPr>
        <w:pStyle w:val="Normal12Hanging"/>
      </w:pPr>
      <w:r>
        <w:t>D.</w:t>
      </w:r>
      <w:r>
        <w:tab/>
        <w:t>billi r-rifjut tar-reġim li jirrikonoxxi l-emerġenza umanitarja internazzjonali wasslet biex ix-xahar li għadda tiżdied sew it-tensjoni; billi jeżistu rapporti inkwetanti ta' diżordni, ta' atti ta' vjolenza u ta' għadd dejjem akbar ta' vittmi, partikolarment fiż-żoni tal-fruntiera;</w:t>
      </w:r>
    </w:p>
    <w:p w:rsidR="00F5544B" w:rsidRPr="00C56006" w:rsidRDefault="00F5544B" w:rsidP="00F5544B">
      <w:pPr>
        <w:pStyle w:val="Normal12Hanging"/>
      </w:pPr>
      <w:r>
        <w:lastRenderedPageBreak/>
        <w:t>E.</w:t>
      </w:r>
      <w:r>
        <w:tab/>
        <w:t>billi qtugħ tal-elettriku mal-pajjiż kollu fil-bidu ta' Marzu kkontribwixxa għal deterjorament ulterjuri tas-servizz tas-saħħa u tal-provvista ta' ikel u ta' ilma nadif;</w:t>
      </w:r>
    </w:p>
    <w:p w:rsidR="00F5544B" w:rsidRPr="00C56006" w:rsidRDefault="00F5544B" w:rsidP="00F5544B">
      <w:pPr>
        <w:pStyle w:val="Normal12Hanging"/>
      </w:pPr>
      <w:r>
        <w:t>F.</w:t>
      </w:r>
      <w:r>
        <w:tab/>
        <w:t>billi fil-21 ta' Marzu 2019 aġenti tal-intelligence mgħammda arrestaw lil Roberto Marrero, assistent ewlieni u kap tal-persunal tal-president interim tal-Venezwela, Juan Guaidó; billi Marrero huwa akkużat li qed jippjana "atti ta' sabotaġġ" kontra uffiċjali u qed jiġi akkużat b'terroriżmu;</w:t>
      </w:r>
    </w:p>
    <w:p w:rsidR="00F5544B" w:rsidRPr="00C56006" w:rsidRDefault="00F5544B" w:rsidP="00F5544B">
      <w:pPr>
        <w:pStyle w:val="Normal12Hanging"/>
      </w:pPr>
      <w:r>
        <w:t>G.</w:t>
      </w:r>
      <w:r>
        <w:tab/>
        <w:t>billi ġie rrappurtat li Billy Six, ġurnalist Ġermaniż, kien arrestat f'nofs Novembru 2018 u miżmum f'ħabs militari fuq akkużi ta' spjunaġġ, ribelljoni u ksur taż-żoni ta' sigurtà; billi dan inħeles taħt ċerta kundizzjonijiet fil-15 ta' Marzu 2019 u tħalla jitlaq il-pajjiż; billi mill-inqas 19-il ġurnalist ġew arrestati fl-2019 biss; billi ġie rappurtat fil-15 ta' Marzu 2019 li Tomasz Surdel, il-korrispondent Venezwelan għall-gazzetta Pollakka Gazeta Wyborcza, kien ġie attakkat b'mod vjolenti, allegatament mill-Forzi ta' Azzjoni Speċjali tal-Pulizija Nazzjonali Venezwelana, waqt li kien qed isuq il-karozza tiegħu f'Caracas;</w:t>
      </w:r>
    </w:p>
    <w:p w:rsidR="00F5544B" w:rsidRPr="00C56006" w:rsidRDefault="00F5544B" w:rsidP="00F5544B">
      <w:pPr>
        <w:pStyle w:val="Normal12Hanging"/>
      </w:pPr>
      <w:r>
        <w:t>H.</w:t>
      </w:r>
      <w:r>
        <w:tab/>
        <w:t>billi fis-6 ta' Marzu 2019 il-Gvern Venezwelan ordna lill-Ambaxxatur Ġermaniż jitlaq il-pajjiż, wara li kien akkużat "b'atti rikorrenti ta' interferenza fl-affarijiet interni";</w:t>
      </w:r>
    </w:p>
    <w:p w:rsidR="00F5544B" w:rsidRPr="00C56006" w:rsidRDefault="00F5544B" w:rsidP="00F5544B">
      <w:pPr>
        <w:pStyle w:val="Normal12Hanging"/>
      </w:pPr>
      <w:r>
        <w:t>I.</w:t>
      </w:r>
      <w:r>
        <w:tab/>
        <w:t>billi s-sħab internazzjonali u reġjonali, fosthom l-UE, impenjaw ruħhom li jassistu fil-ħolqien ta' kundizzjonijiet għal proċess politiku paċifiku, kredibbli u inklużiv fost l-atturi Venezwelani kollha rilevanti;</w:t>
      </w:r>
    </w:p>
    <w:p w:rsidR="00F5544B" w:rsidRPr="00C56006" w:rsidRDefault="00F5544B" w:rsidP="00F5544B">
      <w:pPr>
        <w:pStyle w:val="Normal12Hanging"/>
      </w:pPr>
      <w:r>
        <w:t>J.</w:t>
      </w:r>
      <w:r>
        <w:tab/>
        <w:t>billi l-UE ripetutament appellat biex il-Venezwela terġa' lura lejn id-demokrazija u l-istat tad-dritt permezz ta' proċess politiku kredibbli;</w:t>
      </w:r>
    </w:p>
    <w:p w:rsidR="00F5544B" w:rsidRPr="00C56006" w:rsidRDefault="00F5544B" w:rsidP="00F5544B">
      <w:pPr>
        <w:pStyle w:val="Normal12Hanging"/>
      </w:pPr>
      <w:r>
        <w:t>K.</w:t>
      </w:r>
      <w:r>
        <w:tab/>
        <w:t>billi fit-23 ta' Marzu 2019, żewġ ajruplani militari Russi niżlu fl-ajruport ewlieni tal-Venezwela, b'rapporti li dawn ħallew għexieren ta' truppi u ammonti kbar ta' tagħmir;</w:t>
      </w:r>
    </w:p>
    <w:p w:rsidR="00F5544B" w:rsidRPr="00C56006" w:rsidRDefault="00F5544B" w:rsidP="00F5544B">
      <w:pPr>
        <w:pStyle w:val="Normal12Hanging"/>
      </w:pPr>
      <w:r>
        <w:t>1.</w:t>
      </w:r>
      <w:r>
        <w:tab/>
        <w:t>Jinsab ferm imħasseb dwar id-deterjorament ulterjuri tas-sitwazzjoni fil-Venezwela; jesprimi għal darb' oħra s-solidarjetà tiegħu mal-poplu tal-Venezwela;</w:t>
      </w:r>
    </w:p>
    <w:p w:rsidR="00F5544B" w:rsidRPr="00C56006" w:rsidRDefault="00F5544B" w:rsidP="00F5544B">
      <w:pPr>
        <w:pStyle w:val="Normal12Hanging"/>
      </w:pPr>
      <w:r>
        <w:t>2.</w:t>
      </w:r>
      <w:r>
        <w:tab/>
        <w:t>Itenni r-rikonoxximent tiegħu ta' Juan Guaidó bħala l-president interim leġittimu tar-Repubblika Bolivarjana tal-Venezwela u jesprimi l-appoġġ sħiħ tiegħu għall-pjan direzzjonali tiegħu; itenni l-appoġġ sħiħ tiegħu għall-Assemblea Nazzjonali, li hija l-uniku korp demokratiku leġittimu tal-Venezwela, u li l-poteri tagħha jeħtieġ li jitreġġgħulha u jiġu rispettati;</w:t>
      </w:r>
    </w:p>
    <w:p w:rsidR="00F5544B" w:rsidRPr="00C56006" w:rsidRDefault="00F5544B" w:rsidP="00F5544B">
      <w:pPr>
        <w:pStyle w:val="Normal12Hanging"/>
      </w:pPr>
      <w:r>
        <w:t>3.</w:t>
      </w:r>
      <w:r>
        <w:tab/>
        <w:t>Iħeġġeġ bil-qawwa l-korpi ta' infurzar tal-liġi u tas-sigurtà biex ikunu moderati, jevitaw l-użu tal-forza u jippermettu d-dħul tal-għajnuna umanitarja; jikkundanna l-użu ta' gruppi armati irregolari biex jintimidaw liċ-ċittadini u l-leġiżlaturi li mmobilizzaw ruħhom biex iqassmu l-assistenza;</w:t>
      </w:r>
    </w:p>
    <w:p w:rsidR="00F5544B" w:rsidRPr="00C56006" w:rsidRDefault="00F5544B" w:rsidP="00F5544B">
      <w:pPr>
        <w:pStyle w:val="Normal12Hanging"/>
      </w:pPr>
      <w:r>
        <w:t>4.</w:t>
      </w:r>
      <w:r>
        <w:tab/>
        <w:t>Jilqa' l-fatt li l-UE diġà impenjat aktar minn EUR 60 miljun f'għajnuna umanitarja u ta' żvilupp f'din l-aħħar sena, u jistieden lill-UE u lill-Istati Membri tagħha jkomplu dan l-impenn fiż-żmien li ġej;</w:t>
      </w:r>
    </w:p>
    <w:p w:rsidR="00F5544B" w:rsidRPr="00C56006" w:rsidRDefault="00F5544B" w:rsidP="00F5544B">
      <w:pPr>
        <w:pStyle w:val="Normal12Hanging"/>
      </w:pPr>
      <w:r>
        <w:t>5.</w:t>
      </w:r>
      <w:r>
        <w:tab/>
        <w:t>Jikkundanna l-arrest ta' Roberto Marrero u jitlob il-ħelsien immedjat tiegħu;</w:t>
      </w:r>
    </w:p>
    <w:p w:rsidR="00F5544B" w:rsidRPr="00C56006" w:rsidRDefault="00F5544B" w:rsidP="00F5544B">
      <w:pPr>
        <w:pStyle w:val="Normal12Hanging"/>
      </w:pPr>
      <w:r>
        <w:t>6.</w:t>
      </w:r>
      <w:r>
        <w:tab/>
        <w:t>Jilqa' b'sodisfazzjon il-ħelsien tal-ġurnalist Ġermaniż Billy Six; jikkundanna d-detenzjoni ta' bosta ġurnalisti oħra li jkopru s-sitwazzjoni fil-Venezwela u jitlob li jinħelsu immedjatament; jikkundanna l-attakk vjolenti fuq il-ġurnalist Pollakk Tomasz Surdel u jitlob lill-awtoritajiet Venezwelani sabiex immedjatament jordnaw investigazzjoni fl-attakk immirat u jidentifikaw dawk responsabbli;</w:t>
      </w:r>
    </w:p>
    <w:p w:rsidR="00F5544B" w:rsidRPr="00C56006" w:rsidRDefault="00F5544B" w:rsidP="00F5544B">
      <w:pPr>
        <w:pStyle w:val="Normal12Hanging"/>
      </w:pPr>
      <w:r>
        <w:t>7.</w:t>
      </w:r>
      <w:r>
        <w:tab/>
        <w:t>Jikkundanna t-tkeċċija tal-Ambaxxatur Ġermaniż mill-Venezwela;</w:t>
      </w:r>
    </w:p>
    <w:p w:rsidR="00F5544B" w:rsidRPr="00C56006" w:rsidRDefault="00F5544B" w:rsidP="00F5544B">
      <w:pPr>
        <w:pStyle w:val="Normal12Hanging"/>
      </w:pPr>
      <w:r>
        <w:t>8.</w:t>
      </w:r>
      <w:r>
        <w:tab/>
        <w:t>Itenni t-talba tiegħu għal elezzjonijiet presidenzjali liberi, trasparenti u kredibbli bbażati fuq kalendarju maqbul, kundizzjonijiet ugwali għall-atturi kollha, trasparenza u osservazzjoni internazzjonali;</w:t>
      </w:r>
    </w:p>
    <w:p w:rsidR="00F5544B" w:rsidRPr="00C56006" w:rsidRDefault="00F5544B" w:rsidP="00F5544B">
      <w:pPr>
        <w:pStyle w:val="Normal12Hanging"/>
      </w:pPr>
      <w:r>
        <w:t>9.</w:t>
      </w:r>
      <w:r>
        <w:tab/>
        <w:t>Jagħti istruzzjonijiet lill-President tiegħu biex jgħaddi din ir-riżoluzzjoni lill-Kunsill, lill-Kummissjoni, lill-Viċi President tal-Kummissjoni / Rappreżentant Għoli tal-Unjoni għall-Affarijiet Barranin u l-Politika ta' Sigurtà, lill-President Interim leġittimu tar-Repubblika u lill-Assemblea Nazzjonali tar-Repubblika Bolivarjana tal-Venezwela, lill-gvernijiet u lill-parlamenti tal-Grupp ta' Lima, lill-Assemblea Parlamentari Ewro-Latino-Amerikana u lis-Segretarju Ġenerali tal-Organizzazzjoni tal-Istati Amerikani.</w:t>
      </w:r>
    </w:p>
    <w:p w:rsidR="00F5544B" w:rsidRPr="00C56006" w:rsidRDefault="00F5544B" w:rsidP="00F5544B">
      <w:pPr>
        <w:pStyle w:val="Normal12Hanging"/>
      </w:pPr>
    </w:p>
    <w:p w:rsidR="00814BC6" w:rsidRPr="00DC10CD" w:rsidRDefault="00814BC6" w:rsidP="00F5544B">
      <w:pPr>
        <w:pStyle w:val="Normal12Hanging"/>
      </w:pPr>
    </w:p>
    <w:sectPr w:rsidR="00814BC6" w:rsidRPr="00DC10CD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CD" w:rsidRPr="00DC10CD" w:rsidRDefault="00DC10CD">
      <w:r w:rsidRPr="00DC10CD">
        <w:separator/>
      </w:r>
    </w:p>
  </w:endnote>
  <w:endnote w:type="continuationSeparator" w:id="0">
    <w:p w:rsidR="00DC10CD" w:rsidRPr="00DC10CD" w:rsidRDefault="00DC10CD">
      <w:r w:rsidRPr="00DC10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DC10CD" w:rsidRDefault="001F3D94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Pr="00DC10CD">
      <w:t>PE</w:t>
    </w:r>
    <w:r w:rsidRPr="00DC10CD">
      <w:rPr>
        <w:rStyle w:val="HideTWBExt"/>
        <w:noProof w:val="0"/>
      </w:rPr>
      <w:t>&lt;NoPE&gt;</w:t>
    </w:r>
    <w:r>
      <w:t>637.670</w:t>
    </w:r>
    <w:r w:rsidRPr="00DC10CD">
      <w:rPr>
        <w:rStyle w:val="HideTWBExt"/>
        <w:noProof w:val="0"/>
      </w:rPr>
      <w:t>&lt;/NoPE&gt;&lt;Version&gt;</w:t>
    </w:r>
    <w:r w:rsidRPr="00DC10CD">
      <w:t>v</w:t>
    </w:r>
    <w:r>
      <w:t>01-00</w:t>
    </w:r>
    <w:r w:rsidRPr="00DC10CD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A90219" w:rsidRPr="00DC10CD">
      <w:tab/>
    </w:r>
    <w:r w:rsidR="00A90219" w:rsidRPr="00DC10CD">
      <w:fldChar w:fldCharType="begin"/>
    </w:r>
    <w:r w:rsidR="00A90219" w:rsidRPr="00DC10CD">
      <w:instrText xml:space="preserve"> PAGE </w:instrText>
    </w:r>
    <w:r w:rsidR="00A90219" w:rsidRPr="00DC10CD">
      <w:fldChar w:fldCharType="separate"/>
    </w:r>
    <w:r>
      <w:rPr>
        <w:noProof/>
      </w:rPr>
      <w:t>2</w:t>
    </w:r>
    <w:r w:rsidR="00A90219" w:rsidRPr="00DC10CD">
      <w:fldChar w:fldCharType="end"/>
    </w:r>
    <w:r w:rsidR="00A90219" w:rsidRPr="00DC10CD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 w:rsidR="00A90219" w:rsidRPr="00DC10CD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</w:instrText>
    </w:r>
    <w:r>
      <w:rPr>
        <w:rStyle w:val="HideTWBExt"/>
        <w:noProof w:val="0"/>
      </w:rPr>
      <w:instrText xml:space="preserve">er </w:instrText>
    </w:r>
    <w:r>
      <w:rPr>
        <w:rStyle w:val="HideTWBExt"/>
        <w:noProof w:val="0"/>
      </w:rPr>
      <w:fldChar w:fldCharType="separate"/>
    </w:r>
    <w:r w:rsidRPr="00DC10CD">
      <w:rPr>
        <w:rStyle w:val="HideTWBExt"/>
        <w:noProof w:val="0"/>
      </w:rPr>
      <w:t>&lt;PathFdR&gt;</w:t>
    </w:r>
    <w:r w:rsidRPr="00F5544B">
      <w:t>RE\1180893MT.docx</w:t>
    </w:r>
    <w:r w:rsidRPr="00DC10CD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A90219" w:rsidRPr="00DC10CD" w:rsidRDefault="001F3D94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MT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DC10CD" w:rsidRDefault="001F3D94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Pr="00DC10CD">
      <w:rPr>
        <w:rStyle w:val="HideTWBExt"/>
        <w:noProof w:val="0"/>
      </w:rPr>
      <w:t>&lt;PathFdR&gt;</w:t>
    </w:r>
    <w:r w:rsidRPr="00F5544B">
      <w:t>RE\1180893MT.docx</w:t>
    </w:r>
    <w:r w:rsidRPr="00DC10CD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A90219" w:rsidRPr="00DC10CD">
      <w:tab/>
    </w:r>
    <w:r w:rsidR="00A90219" w:rsidRPr="00DC10CD">
      <w:fldChar w:fldCharType="begin"/>
    </w:r>
    <w:r w:rsidR="00A90219" w:rsidRPr="00DC10CD">
      <w:instrText xml:space="preserve"> PAGE </w:instrText>
    </w:r>
    <w:r w:rsidR="00A90219" w:rsidRPr="00DC10CD">
      <w:fldChar w:fldCharType="separate"/>
    </w:r>
    <w:r>
      <w:rPr>
        <w:noProof/>
      </w:rPr>
      <w:t>4</w:t>
    </w:r>
    <w:r w:rsidR="00A90219" w:rsidRPr="00DC10CD">
      <w:fldChar w:fldCharType="end"/>
    </w:r>
    <w:r w:rsidR="00A90219" w:rsidRPr="00DC10CD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 w:rsidR="00A90219" w:rsidRPr="00DC10CD">
      <w:tab/>
    </w:r>
    <w:r>
      <w:fldChar w:fldCharType="begin"/>
    </w:r>
    <w:r>
      <w:instrText xml:space="preserve"> REF OutsideFooter </w:instrText>
    </w:r>
    <w:r>
      <w:fldChar w:fldCharType="separate"/>
    </w:r>
    <w:r w:rsidRPr="00DC10CD">
      <w:t>PE</w:t>
    </w:r>
    <w:r w:rsidRPr="00DC10CD">
      <w:rPr>
        <w:rStyle w:val="HideTWBExt"/>
        <w:noProof w:val="0"/>
      </w:rPr>
      <w:t>&lt;NoPE&gt;</w:t>
    </w:r>
    <w:r>
      <w:t>637.670</w:t>
    </w:r>
    <w:r w:rsidRPr="00DC10CD">
      <w:rPr>
        <w:rStyle w:val="HideTWBExt"/>
        <w:noProof w:val="0"/>
      </w:rPr>
      <w:t>&lt;/NoPE&gt;&lt;Version&gt;</w:t>
    </w:r>
    <w:r w:rsidRPr="00DC10CD">
      <w:t>v</w:t>
    </w:r>
    <w:r>
      <w:t>01-00</w:t>
    </w:r>
    <w:r w:rsidRPr="00DC10CD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A90219" w:rsidRPr="00DC10CD" w:rsidRDefault="00A90219">
    <w:pPr>
      <w:pStyle w:val="Footer2"/>
    </w:pPr>
    <w:r w:rsidRPr="00DC10CD">
      <w:tab/>
    </w:r>
    <w:r w:rsidR="001F3D94">
      <w:fldChar w:fldCharType="begin"/>
    </w:r>
    <w:r w:rsidR="001F3D94">
      <w:instrText xml:space="preserve"> DOCPROPERTY "&lt;Extension&gt;</w:instrText>
    </w:r>
    <w:r w:rsidR="001F3D94">
      <w:instrText xml:space="preserve">" </w:instrText>
    </w:r>
    <w:r w:rsidR="001F3D94">
      <w:fldChar w:fldCharType="separate"/>
    </w:r>
    <w:r w:rsidR="001F3D94">
      <w:t>MT</w:t>
    </w:r>
    <w:r w:rsidR="001F3D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19" w:rsidRPr="00DC10CD" w:rsidRDefault="00A90219">
    <w:pPr>
      <w:pStyle w:val="Footer"/>
    </w:pPr>
    <w:bookmarkStart w:id="1" w:name="InsideFooter"/>
    <w:r w:rsidRPr="00DC10CD">
      <w:rPr>
        <w:rStyle w:val="HideTWBExt"/>
        <w:noProof w:val="0"/>
      </w:rPr>
      <w:t>&lt;PathFdR&gt;</w:t>
    </w:r>
    <w:r w:rsidR="00F5544B" w:rsidRPr="00F5544B">
      <w:t>RE\1180893MT.docx</w:t>
    </w:r>
    <w:r w:rsidRPr="00DC10CD">
      <w:rPr>
        <w:rStyle w:val="HideTWBExt"/>
        <w:noProof w:val="0"/>
      </w:rPr>
      <w:t>&lt;/PathFdR&gt;</w:t>
    </w:r>
    <w:bookmarkEnd w:id="1"/>
    <w:r w:rsidRPr="00DC10CD">
      <w:tab/>
    </w:r>
    <w:r w:rsidRPr="00DC10CD">
      <w:tab/>
    </w:r>
    <w:bookmarkStart w:id="2" w:name="OutsideFooter"/>
    <w:r w:rsidRPr="00DC10CD">
      <w:t>PE</w:t>
    </w:r>
    <w:r w:rsidRPr="00DC10CD">
      <w:rPr>
        <w:rStyle w:val="HideTWBExt"/>
        <w:noProof w:val="0"/>
      </w:rPr>
      <w:t>&lt;NoPE&gt;</w:t>
    </w:r>
    <w:r w:rsidR="00F5544B">
      <w:t>637.670</w:t>
    </w:r>
    <w:r w:rsidRPr="00DC10CD">
      <w:rPr>
        <w:rStyle w:val="HideTWBExt"/>
        <w:noProof w:val="0"/>
      </w:rPr>
      <w:t>&lt;/NoPE&gt;&lt;Version&gt;</w:t>
    </w:r>
    <w:r w:rsidR="00DC10CD" w:rsidRPr="00DC10CD">
      <w:t>v</w:t>
    </w:r>
    <w:r w:rsidR="00F5544B">
      <w:t>01-00</w:t>
    </w:r>
    <w:r w:rsidRPr="00DC10CD">
      <w:rPr>
        <w:rStyle w:val="HideTWBExt"/>
        <w:noProof w:val="0"/>
      </w:rPr>
      <w:t>&lt;/Version&gt;</w:t>
    </w:r>
    <w:bookmarkEnd w:id="2"/>
  </w:p>
  <w:p w:rsidR="00A90219" w:rsidRPr="00DC10CD" w:rsidRDefault="001F3D94" w:rsidP="00907285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MT</w:t>
    </w:r>
    <w:r>
      <w:fldChar w:fldCharType="end"/>
    </w:r>
    <w:r w:rsidR="00A90219" w:rsidRPr="00DC10CD">
      <w:rPr>
        <w:color w:val="C0C0C0"/>
      </w:rPr>
      <w:tab/>
    </w:r>
    <w:r w:rsidR="00F5544B">
      <w:rPr>
        <w:b w:val="0"/>
        <w:i/>
        <w:color w:val="C0C0C0"/>
        <w:sz w:val="22"/>
        <w:szCs w:val="22"/>
      </w:rPr>
      <w:t>Magħquda fid-diversità</w:t>
    </w:r>
    <w:r w:rsidR="00A90219" w:rsidRPr="00DC10CD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MT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CD" w:rsidRPr="00DC10CD" w:rsidRDefault="00DC10CD">
      <w:r w:rsidRPr="00DC10CD">
        <w:separator/>
      </w:r>
    </w:p>
  </w:footnote>
  <w:footnote w:type="continuationSeparator" w:id="0">
    <w:p w:rsidR="00DC10CD" w:rsidRPr="00DC10CD" w:rsidRDefault="00DC10CD">
      <w:r w:rsidRPr="00DC10CD">
        <w:continuationSeparator/>
      </w:r>
    </w:p>
  </w:footnote>
  <w:footnote w:id="1">
    <w:p w:rsidR="00F5544B" w:rsidRPr="00C56006" w:rsidRDefault="00F5544B" w:rsidP="00F5544B">
      <w:pPr>
        <w:pStyle w:val="FootnoteText"/>
      </w:pPr>
      <w:r>
        <w:rPr>
          <w:rStyle w:val="FootnoteReference"/>
        </w:rPr>
        <w:footnoteRef/>
      </w:r>
      <w:r>
        <w:t xml:space="preserve"> Testi adottati, P8_TA(2018)0199.</w:t>
      </w:r>
    </w:p>
  </w:footnote>
  <w:footnote w:id="2">
    <w:p w:rsidR="00F5544B" w:rsidRPr="00C56006" w:rsidRDefault="00F5544B" w:rsidP="00F5544B">
      <w:pPr>
        <w:pStyle w:val="FootnoteText"/>
      </w:pPr>
      <w:r>
        <w:rPr>
          <w:rStyle w:val="FootnoteReference"/>
        </w:rPr>
        <w:footnoteRef/>
      </w:r>
      <w:r>
        <w:t xml:space="preserve"> Testi adottati, P8_TA(2018)0313.</w:t>
      </w:r>
    </w:p>
  </w:footnote>
  <w:footnote w:id="3">
    <w:p w:rsidR="00F5544B" w:rsidRPr="00C56006" w:rsidRDefault="00F5544B" w:rsidP="00F5544B">
      <w:pPr>
        <w:pStyle w:val="FootnoteText"/>
      </w:pPr>
      <w:r>
        <w:rPr>
          <w:rStyle w:val="FootnoteReference"/>
        </w:rPr>
        <w:footnoteRef/>
      </w:r>
      <w:r>
        <w:t xml:space="preserve"> Testi adottati, P8_TA(2018)0436.</w:t>
      </w:r>
    </w:p>
  </w:footnote>
  <w:footnote w:id="4">
    <w:p w:rsidR="00F5544B" w:rsidRPr="00C56006" w:rsidRDefault="00F5544B" w:rsidP="00F5544B">
      <w:pPr>
        <w:pStyle w:val="FootnoteText"/>
      </w:pPr>
      <w:r>
        <w:rPr>
          <w:rStyle w:val="FootnoteReference"/>
        </w:rPr>
        <w:footnoteRef/>
      </w:r>
      <w:r>
        <w:t xml:space="preserve"> Testi adottati, P8_TA(2019)0061.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4B" w:rsidRDefault="00F5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4B" w:rsidRDefault="00F55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4B" w:rsidRDefault="00F5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80"/>
    <w:docVar w:name="TXTLANGUE" w:val="MT"/>
    <w:docVar w:name="TXTLANGUEMIN" w:val="mt"/>
    <w:docVar w:name="TXTNRB" w:val="0227/2019"/>
    <w:docVar w:name="TXTNRPE" w:val="637.670"/>
    <w:docVar w:name="TXTPEorAP" w:val="PE"/>
    <w:docVar w:name="TXTROUTE" w:val="RE\1180893MT.docx"/>
    <w:docVar w:name="TXTVERSION" w:val="01-00"/>
  </w:docVars>
  <w:rsids>
    <w:rsidRoot w:val="00DC10CD"/>
    <w:rsid w:val="00037F46"/>
    <w:rsid w:val="00094DDA"/>
    <w:rsid w:val="001B49A3"/>
    <w:rsid w:val="001C62C5"/>
    <w:rsid w:val="001F3D94"/>
    <w:rsid w:val="002574AA"/>
    <w:rsid w:val="002C7767"/>
    <w:rsid w:val="00303413"/>
    <w:rsid w:val="00356A01"/>
    <w:rsid w:val="003772FA"/>
    <w:rsid w:val="00443A48"/>
    <w:rsid w:val="0058312A"/>
    <w:rsid w:val="00706BC0"/>
    <w:rsid w:val="00723A0B"/>
    <w:rsid w:val="00780A7D"/>
    <w:rsid w:val="00814BC6"/>
    <w:rsid w:val="0086047D"/>
    <w:rsid w:val="008A4052"/>
    <w:rsid w:val="00907285"/>
    <w:rsid w:val="00A90219"/>
    <w:rsid w:val="00B34A46"/>
    <w:rsid w:val="00C23264"/>
    <w:rsid w:val="00CC09D8"/>
    <w:rsid w:val="00D12F64"/>
    <w:rsid w:val="00D90D37"/>
    <w:rsid w:val="00DC10CD"/>
    <w:rsid w:val="00E53167"/>
    <w:rsid w:val="00E63776"/>
    <w:rsid w:val="00E72520"/>
    <w:rsid w:val="00ED700A"/>
    <w:rsid w:val="00F26DE8"/>
    <w:rsid w:val="00F4455A"/>
    <w:rsid w:val="00F5544B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D5100-F0C6-4623-BB0B-7CB2C70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FootnoteText">
    <w:name w:val="footnote text"/>
    <w:basedOn w:val="Normal"/>
    <w:link w:val="FootnoteTextChar"/>
    <w:rsid w:val="00F554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5544B"/>
  </w:style>
  <w:style w:type="character" w:styleId="FootnoteReference">
    <w:name w:val="footnote reference"/>
    <w:basedOn w:val="DefaultParagraphFont"/>
    <w:rsid w:val="00F55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RE_Stat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RE_Statements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VELLA George</dc:creator>
  <cp:keywords/>
  <dc:description/>
  <cp:lastModifiedBy>VELLA George</cp:lastModifiedBy>
  <cp:revision>2</cp:revision>
  <cp:lastPrinted>2004-11-19T15:55:00Z</cp:lastPrinted>
  <dcterms:created xsi:type="dcterms:W3CDTF">2019-03-27T13:03:00Z</dcterms:created>
  <dcterms:modified xsi:type="dcterms:W3CDTF">2019-03-27T13:03:00Z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1180893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\\eiciLUXpr1\pdocep$\DocEP\DOCS\General\RE\RE_Statements.dot(06/02/2019 07:45:09)</vt:lpwstr>
  </property>
  <property fmtid="{D5CDD505-2E9C-101B-9397-08002B2CF9AE}" pid="7" name="&lt;ModelTra&gt;">
    <vt:lpwstr>\\eiciLUXpr1\pdocep$\DocEP\TRANSFIL\MT\RE_Statements.MT(06/07/2018 10:54:02)</vt:lpwstr>
  </property>
  <property fmtid="{D5CDD505-2E9C-101B-9397-08002B2CF9AE}" pid="8" name="&lt;Model&gt;">
    <vt:lpwstr>RE_Statements</vt:lpwstr>
  </property>
  <property fmtid="{D5CDD505-2E9C-101B-9397-08002B2CF9AE}" pid="9" name="FooterPath">
    <vt:lpwstr>RE\1180893MT.docx</vt:lpwstr>
  </property>
  <property fmtid="{D5CDD505-2E9C-101B-9397-08002B2CF9AE}" pid="10" name="PE number">
    <vt:lpwstr>637.670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</Properties>
</file>