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A391B" w:rsidRPr="000759B6" w:rsidTr="00B750F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A391B" w:rsidRPr="000759B6" w:rsidRDefault="008D07D7" w:rsidP="00B750F7">
            <w:pPr>
              <w:pStyle w:val="EPName"/>
            </w:pPr>
            <w:r>
              <w:t>Európsky parlament</w:t>
            </w:r>
          </w:p>
          <w:p w:rsidR="007A391B" w:rsidRPr="000759B6" w:rsidRDefault="00387C2C" w:rsidP="00387C2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7A391B" w:rsidRPr="000759B6" w:rsidRDefault="005867A7" w:rsidP="00B750F7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pt;height:50.25pt">
                  <v:imagedata r:id="rId8" o:title="EP logo RGB_Mute"/>
                </v:shape>
              </w:pict>
            </w:r>
          </w:p>
        </w:tc>
      </w:tr>
    </w:tbl>
    <w:p w:rsidR="00BC4E8D" w:rsidRPr="000759B6" w:rsidRDefault="00BC4E8D" w:rsidP="00BC4E8D">
      <w:pPr>
        <w:pStyle w:val="LineTop"/>
      </w:pPr>
    </w:p>
    <w:p w:rsidR="00BC4E8D" w:rsidRPr="000759B6" w:rsidRDefault="008D07D7" w:rsidP="00BC4E8D">
      <w:pPr>
        <w:pStyle w:val="ZSessionDoc"/>
      </w:pPr>
      <w:r>
        <w:t>Dokument na schôdzu</w:t>
      </w:r>
    </w:p>
    <w:p w:rsidR="006B1D63" w:rsidRPr="000759B6" w:rsidRDefault="006B1D63" w:rsidP="006B1D63">
      <w:pPr>
        <w:pStyle w:val="LineBottom"/>
      </w:pPr>
      <w:bookmarkStart w:id="0" w:name="_GoBack"/>
      <w:bookmarkEnd w:id="0"/>
    </w:p>
    <w:p w:rsidR="006B1D63" w:rsidRPr="000759B6" w:rsidRDefault="006B1D63" w:rsidP="006B1D63">
      <w:pPr>
        <w:pStyle w:val="RefProc"/>
      </w:pPr>
      <w:r>
        <w:rPr>
          <w:rStyle w:val="HideTWBExt"/>
          <w:b w:val="0"/>
        </w:rPr>
        <w:t>&lt;NoDocSe&gt;</w:t>
      </w:r>
      <w:r>
        <w:t>B9-0005/2019</w:t>
      </w:r>
      <w:r>
        <w:rPr>
          <w:rStyle w:val="HideTWBExt"/>
          <w:b w:val="0"/>
        </w:rPr>
        <w:t>&lt;/NoDocSe&gt;</w:t>
      </w:r>
    </w:p>
    <w:p w:rsidR="006B1D63" w:rsidRPr="000759B6" w:rsidRDefault="006B1D63" w:rsidP="006B1D63">
      <w:pPr>
        <w:pStyle w:val="ZDate"/>
      </w:pPr>
      <w:r>
        <w:rPr>
          <w:rStyle w:val="HideTWBExt"/>
        </w:rPr>
        <w:t>&lt;Date&gt;</w:t>
      </w:r>
      <w:r>
        <w:rPr>
          <w:rStyle w:val="HideTWBInt"/>
        </w:rPr>
        <w:t>{11/07/2019}</w:t>
      </w:r>
      <w:r>
        <w:t>11.7.2019</w:t>
      </w:r>
      <w:r>
        <w:rPr>
          <w:rStyle w:val="HideTWBExt"/>
        </w:rPr>
        <w:t>&lt;/Date&gt;</w:t>
      </w:r>
    </w:p>
    <w:p w:rsidR="00435D9E" w:rsidRPr="000759B6" w:rsidRDefault="00435D9E">
      <w:pPr>
        <w:pStyle w:val="TypeDoc"/>
      </w:pPr>
      <w:r>
        <w:rPr>
          <w:rStyle w:val="HideTWBExt"/>
          <w:b w:val="0"/>
        </w:rPr>
        <w:t>&lt;TitreType&gt;</w:t>
      </w:r>
      <w:r>
        <w:t>NÁVRH ROZHODNUTIA</w:t>
      </w:r>
      <w:r>
        <w:rPr>
          <w:rStyle w:val="HideTWBExt"/>
          <w:b w:val="0"/>
        </w:rPr>
        <w:t>&lt;/TitreType&gt;</w:t>
      </w:r>
    </w:p>
    <w:p w:rsidR="00B74BB8" w:rsidRPr="000759B6" w:rsidRDefault="00B74BB8" w:rsidP="00B74BB8">
      <w:pPr>
        <w:pStyle w:val="Cover12"/>
      </w:pPr>
      <w:r>
        <w:rPr>
          <w:rStyle w:val="HideTWBExt"/>
        </w:rPr>
        <w:t>&lt;TitreRecueil&gt;</w:t>
      </w:r>
      <w:r>
        <w:t>predložený v súlade s článkom 223 rokovacieho poriadku</w:t>
      </w:r>
      <w:r>
        <w:rPr>
          <w:rStyle w:val="HideTWBExt"/>
        </w:rPr>
        <w:t>&lt;/TitreRecueil&gt;</w:t>
      </w:r>
    </w:p>
    <w:p w:rsidR="00B0765D" w:rsidRPr="000759B6" w:rsidRDefault="00B0765D" w:rsidP="00B0765D">
      <w:pPr>
        <w:pStyle w:val="CoverNormal"/>
      </w:pPr>
      <w:r>
        <w:rPr>
          <w:rStyle w:val="HideTWBExt"/>
        </w:rPr>
        <w:t>&lt;Titre&gt;</w:t>
      </w:r>
      <w:r>
        <w:t>o počte členov medziparlamentných delegácií</w:t>
      </w:r>
      <w:r>
        <w:rPr>
          <w:rStyle w:val="HideTWBExt"/>
        </w:rPr>
        <w:t>&lt;/Titre&gt;</w:t>
      </w:r>
    </w:p>
    <w:p w:rsidR="00B0765D" w:rsidRPr="000759B6" w:rsidRDefault="00B0765D" w:rsidP="00B0765D">
      <w:pPr>
        <w:pStyle w:val="Cover24"/>
      </w:pPr>
      <w:r>
        <w:rPr>
          <w:rStyle w:val="HideTWBExt"/>
        </w:rPr>
        <w:t>&lt;DocRef&gt;</w:t>
      </w:r>
      <w:r>
        <w:t>(2019/2719(RSO))</w:t>
      </w:r>
      <w:r>
        <w:rPr>
          <w:rStyle w:val="HideTWBExt"/>
        </w:rPr>
        <w:t>&lt;/DocRef&gt;</w:t>
      </w:r>
    </w:p>
    <w:p w:rsidR="00BC4E8D" w:rsidRPr="000759B6" w:rsidRDefault="00BC4E8D" w:rsidP="00BC4E8D">
      <w:pPr>
        <w:pStyle w:val="CoverBold"/>
      </w:pPr>
      <w:r>
        <w:rPr>
          <w:rStyle w:val="HideTWBExt"/>
          <w:b w:val="0"/>
        </w:rPr>
        <w:t>&lt;Commission&gt;</w:t>
      </w:r>
      <w:r>
        <w:t>Konferencia predsedov</w:t>
      </w:r>
      <w:r>
        <w:rPr>
          <w:rStyle w:val="HideTWBExt"/>
          <w:b w:val="0"/>
        </w:rPr>
        <w:t>&lt;/Commission&gt;</w:t>
      </w:r>
    </w:p>
    <w:p w:rsidR="00435D9E" w:rsidRPr="000759B6" w:rsidRDefault="00435D9E">
      <w:pPr>
        <w:pStyle w:val="Normal12Bold"/>
      </w:pPr>
      <w:r>
        <w:br w:type="page"/>
      </w:r>
      <w:r>
        <w:lastRenderedPageBreak/>
        <w:t>B9-0005/2019</w:t>
      </w:r>
    </w:p>
    <w:p w:rsidR="00B0765D" w:rsidRPr="000759B6" w:rsidRDefault="008D07D7" w:rsidP="00B0765D">
      <w:pPr>
        <w:pStyle w:val="NormalBold"/>
      </w:pPr>
      <w:r>
        <w:t>Rozhodnutie Európskeho parlamentu o počte členov medziparlamentných delegácií</w:t>
      </w:r>
    </w:p>
    <w:p w:rsidR="00B0765D" w:rsidRPr="000759B6" w:rsidRDefault="008D07D7" w:rsidP="00B0765D">
      <w:pPr>
        <w:pStyle w:val="Normal24Bold"/>
      </w:pPr>
      <w:r>
        <w:t>(2019/2719(RSO))</w:t>
      </w:r>
    </w:p>
    <w:p w:rsidR="00435D9E" w:rsidRPr="000759B6" w:rsidRDefault="008D07D7">
      <w:pPr>
        <w:pStyle w:val="Normal12"/>
      </w:pPr>
      <w:r>
        <w:rPr>
          <w:i/>
        </w:rPr>
        <w:t>Európsky parlament,</w:t>
      </w:r>
    </w:p>
    <w:p w:rsidR="00387C2C" w:rsidRPr="000759B6" w:rsidRDefault="00063E41" w:rsidP="00387C2C">
      <w:pPr>
        <w:pStyle w:val="Normal12Hanging"/>
      </w:pPr>
      <w:r>
        <w:t>–</w:t>
      </w:r>
      <w:r>
        <w:tab/>
        <w:t>so zreteľom na návrh Konferencie predsedov,</w:t>
      </w:r>
    </w:p>
    <w:p w:rsidR="00387C2C" w:rsidRPr="000759B6" w:rsidRDefault="00435D9E" w:rsidP="00387C2C">
      <w:pPr>
        <w:pStyle w:val="Normal12Hanging"/>
      </w:pPr>
      <w:r>
        <w:t>–</w:t>
      </w:r>
      <w:r>
        <w:tab/>
        <w:t>so zreteľom na svoje rozhodnutie zo 17. apríla 2019 o počte medziparlamentných delegácií, delegácií pri spoločných parlamentných výboroch a delegácií pri parlamentných výboroch pre spoluprácu a pri mnohostranných parlamentných zhromaždeniach</w:t>
      </w:r>
      <w:r w:rsidR="00E72A45" w:rsidRPr="000759B6">
        <w:rPr>
          <w:rStyle w:val="FootnoteReference"/>
          <w:szCs w:val="24"/>
        </w:rPr>
        <w:footnoteReference w:id="1"/>
      </w:r>
      <w:r>
        <w:t>,</w:t>
      </w:r>
    </w:p>
    <w:p w:rsidR="00387C2C" w:rsidRPr="000759B6" w:rsidRDefault="00063E41" w:rsidP="00387C2C">
      <w:pPr>
        <w:pStyle w:val="Normal12Hanging"/>
      </w:pPr>
      <w:r>
        <w:t>–</w:t>
      </w:r>
      <w:r>
        <w:tab/>
        <w:t>so zreteľom na články 223 a 224 rokovacieho poriadku,</w:t>
      </w:r>
    </w:p>
    <w:p w:rsidR="00387C2C" w:rsidRPr="000759B6" w:rsidRDefault="00387C2C" w:rsidP="00387C2C">
      <w:pPr>
        <w:pStyle w:val="Normal12Hanging"/>
        <w:rPr>
          <w:szCs w:val="24"/>
        </w:rPr>
      </w:pPr>
      <w:r>
        <w:t>1.</w:t>
      </w:r>
      <w:r>
        <w:tab/>
        <w:t>rozhodol stanoviť počet členov nasledujúcich medziparlamentných delegácií takto: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a)</w:t>
      </w:r>
      <w:r>
        <w:rPr>
          <w:szCs w:val="24"/>
          <w:u w:color="000000"/>
          <w:bdr w:val="nil"/>
        </w:rPr>
        <w:tab/>
        <w:t>Európa, západný Balkán a Turecko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Delegácie pri: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Spoločnom parlamentnom výbore EÚ – Severné Macedónsko: 13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Spoločnom parlamentnom výbore EÚ – Turecko: 25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pre severnú spoluprácu a pre vzťahy so Švajčiarskom a Nórskom, pri Spoločnom parlamentnom výbore EÚ – Island a pri Spoločnom parlamentnom výbore Európskeho hospodárskeho priestoru (EHP): 17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výbore pre stabilizáciu a pridruženie EÚ – Srbsko: 15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výbore pre stabilizáciu a pridruženie EÚ – Albánsko: 14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výbore pre stabilizáciu a pridruženie EÚ – Čierna Hora: 14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 xml:space="preserve">Delegácia pre vzťahy s Bosnou a Hercegovinou a Kosovom: </w:t>
      </w:r>
      <w:r>
        <w:rPr>
          <w:szCs w:val="24"/>
          <w:u w:color="000000"/>
          <w:bdr w:val="nil"/>
        </w:rPr>
        <w:br/>
        <w:t>13 členov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b)</w:t>
      </w:r>
      <w:r>
        <w:rPr>
          <w:szCs w:val="24"/>
          <w:u w:color="000000"/>
          <w:bdr w:val="nil"/>
        </w:rPr>
        <w:tab/>
        <w:t>Rusko a štáty Východného partnerstva,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 xml:space="preserve">Delegácia pri Parlamentnom výbore pre spoluprácu EÚ – Rusko: </w:t>
      </w:r>
      <w:r>
        <w:rPr>
          <w:szCs w:val="24"/>
          <w:u w:color="000000"/>
          <w:bdr w:val="nil"/>
        </w:rPr>
        <w:br/>
        <w:t>31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výbore pre pridruženie EÚ – Ukrajina:</w:t>
      </w:r>
      <w:r>
        <w:rPr>
          <w:szCs w:val="24"/>
          <w:u w:color="000000"/>
          <w:bdr w:val="nil"/>
        </w:rPr>
        <w:br/>
      </w:r>
      <w:r>
        <w:rPr>
          <w:szCs w:val="24"/>
          <w:u w:color="000000"/>
          <w:bdr w:val="nil"/>
        </w:rPr>
        <w:lastRenderedPageBreak/>
        <w:t>16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 xml:space="preserve">Delegácia pri Parlamentnom výbore pre pridruženie EÚ – Moldavsko: </w:t>
      </w:r>
      <w:r>
        <w:rPr>
          <w:szCs w:val="24"/>
          <w:u w:color="000000"/>
          <w:bdr w:val="nil"/>
        </w:rPr>
        <w:br/>
        <w:t>14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pre vzťahy s Bieloruskom: 12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výbore pre partnerstvo EÚ – Arménsko, Parlamentnom výbore pre spoluprácu EÚ – Azerbajdžan a pri Parlamentnom výbore pre pridruženie EÚ – Gruzínsko: 18 členov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c)</w:t>
      </w:r>
      <w:r>
        <w:rPr>
          <w:szCs w:val="24"/>
          <w:u w:color="000000"/>
          <w:bdr w:val="nil"/>
        </w:rPr>
        <w:tab/>
        <w:t>Maghreb, Mašrek, Izrael a Palestína,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Delegácie pre vzťahy s: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Izraelom: 18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Palestínou: 18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krajinami Maghrebu a Zväzom arabského Maghrebu vrátane Spoločných parlamentných výborov EÚ – Maroko, EÚ – Tunisko a EÚ – Alžírsko: 18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krajinami Mašreku: 18 členov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d)</w:t>
      </w:r>
      <w:r>
        <w:rPr>
          <w:szCs w:val="24"/>
          <w:u w:color="000000"/>
          <w:bdr w:val="nil"/>
        </w:rPr>
        <w:tab/>
        <w:t>Arabský polostrov, Irak a Irán,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Delegácie pre vzťahy s: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Arabským polostrovom: 15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Irakom: 7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Iránom: 11 členov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e)</w:t>
      </w:r>
      <w:r>
        <w:rPr>
          <w:szCs w:val="24"/>
          <w:u w:color="000000"/>
          <w:bdr w:val="nil"/>
        </w:rPr>
        <w:tab/>
        <w:t>Severná, Stredná a Južná Amerika,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Delegácie pre vzťahy so/s: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Spojenými štátmi americkými: 63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Kanadou: 16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Brazílskou federatívnou republikou: 14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krajinami Strednej Ameriky: 15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krajinami Andského spoločenstva: 12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Mercosurom: 19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Spoločnom parlamentnom výbore EÚ – Mexiko: 14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lastRenderedPageBreak/>
        <w:t>–</w:t>
      </w:r>
      <w:r>
        <w:rPr>
          <w:szCs w:val="24"/>
          <w:u w:color="000000"/>
          <w:bdr w:val="nil"/>
        </w:rPr>
        <w:tab/>
        <w:t>Delegácia pri Spoločnom parlamentnom výbore EÚ – Chile: 15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výbore EÚ – Cariforum: 15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f)</w:t>
      </w:r>
      <w:r>
        <w:rPr>
          <w:szCs w:val="24"/>
          <w:u w:color="000000"/>
          <w:bdr w:val="nil"/>
        </w:rPr>
        <w:tab/>
        <w:t>Ázia/Tichomorie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Delegácie pre vzťahy s: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Japonskom: 24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Čínskou ľudovou republikou: 37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Indiou: 23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Afganistanom: 7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krajinami južnej Ázie: 15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krajinami juhovýchodnej Ázie a Združením národov juhovýchodnej Ázie (ASEAN): 26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Kórejským polostrovom: 12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Austráliou a Novým Zélandom: 12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Parlamentných výboroch pre spoluprácu EÚ – Kazachstan, EÚ – Kirgizsko, EÚ – Uzbekistan a EÚ – Tadžikistan a pre vzťahy s Turkménskom a Mongolskom: 19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g)</w:t>
      </w:r>
      <w:r>
        <w:rPr>
          <w:szCs w:val="24"/>
          <w:u w:color="000000"/>
          <w:bdr w:val="nil"/>
        </w:rPr>
        <w:tab/>
        <w:t>Afrika,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Delegácie pre vzťahy s: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Južnou Afrikou: 15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Panafrickým parlamentom: 12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h)</w:t>
      </w:r>
      <w:r>
        <w:rPr>
          <w:szCs w:val="24"/>
          <w:u w:color="000000"/>
          <w:bdr w:val="nil"/>
        </w:rPr>
        <w:tab/>
        <w:t>Mnohostranné zhromaždenia,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Spoločnom parlamentnom zhromaždení AKT – EÚ: 78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zhromaždení Únie pre Stredozemie: 49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Euro-latinskoamerickom parlamentnom zhromaždení: 75 členov,</w:t>
      </w:r>
    </w:p>
    <w:p w:rsidR="00387C2C" w:rsidRPr="000759B6" w:rsidRDefault="00387C2C" w:rsidP="00387C2C">
      <w:pPr>
        <w:pStyle w:val="Normal12Hanging"/>
        <w:rPr>
          <w:szCs w:val="24"/>
          <w:u w:color="000000"/>
          <w:bdr w:val="nil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pri Parlamentnom zhromaždení Euronest: 60 členov,</w:t>
      </w:r>
    </w:p>
    <w:p w:rsidR="00387C2C" w:rsidRPr="000759B6" w:rsidRDefault="00387C2C" w:rsidP="00387C2C">
      <w:pPr>
        <w:pStyle w:val="Normal12Hanging"/>
        <w:rPr>
          <w:szCs w:val="24"/>
        </w:rPr>
      </w:pPr>
      <w:r>
        <w:rPr>
          <w:szCs w:val="24"/>
          <w:u w:color="000000"/>
          <w:bdr w:val="nil"/>
        </w:rPr>
        <w:t>–</w:t>
      </w:r>
      <w:r>
        <w:rPr>
          <w:szCs w:val="24"/>
          <w:u w:color="000000"/>
          <w:bdr w:val="nil"/>
        </w:rPr>
        <w:tab/>
        <w:t>Delegácia pre vzťahy s Parlamentným zhromaždením NATO: 10 členov,</w:t>
      </w:r>
    </w:p>
    <w:p w:rsidR="00387C2C" w:rsidRPr="000759B6" w:rsidRDefault="00387C2C" w:rsidP="00387C2C">
      <w:pPr>
        <w:pStyle w:val="Normal12Hanging"/>
      </w:pPr>
      <w:r>
        <w:t>2.</w:t>
      </w:r>
      <w:r>
        <w:tab/>
        <w:t>so zreteľom na rozhodnutie Konferencie predsedov z 11. júla 2019 o zložení predsedníctiev delegácií rozhodol, že predsedníctva delegácií môžu mať až dvoch podpredsedov;</w:t>
      </w:r>
    </w:p>
    <w:p w:rsidR="00387C2C" w:rsidRPr="000759B6" w:rsidRDefault="00387C2C" w:rsidP="00387C2C">
      <w:pPr>
        <w:pStyle w:val="Normal12Hanging"/>
        <w:rPr>
          <w:szCs w:val="24"/>
        </w:rPr>
      </w:pPr>
      <w:r>
        <w:lastRenderedPageBreak/>
        <w:t>3.</w:t>
      </w:r>
      <w:r>
        <w:tab/>
        <w:t>poveruje svojho predsedu, aby postúpil toto rozhodnutie pre informáciu Rade a Komisii.</w:t>
      </w:r>
    </w:p>
    <w:p w:rsidR="00631553" w:rsidRPr="000759B6" w:rsidRDefault="00631553" w:rsidP="00387C2C">
      <w:pPr>
        <w:pStyle w:val="Normal12Hanging"/>
      </w:pPr>
    </w:p>
    <w:sectPr w:rsidR="00631553" w:rsidRPr="000759B6" w:rsidSect="003F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D7" w:rsidRPr="000759B6" w:rsidRDefault="008D07D7">
      <w:r w:rsidRPr="000759B6">
        <w:separator/>
      </w:r>
    </w:p>
  </w:endnote>
  <w:endnote w:type="continuationSeparator" w:id="0">
    <w:p w:rsidR="008D07D7" w:rsidRPr="000759B6" w:rsidRDefault="008D07D7">
      <w:r w:rsidRPr="000759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CC" w:rsidRPr="000759B6" w:rsidRDefault="003F04CC" w:rsidP="003F04CC">
    <w:pPr>
      <w:pStyle w:val="Footer"/>
    </w:pPr>
    <w:r w:rsidRPr="000759B6">
      <w:t>PE</w:t>
    </w:r>
    <w:r w:rsidRPr="000759B6">
      <w:rPr>
        <w:rStyle w:val="HideTWBExt"/>
        <w:noProof w:val="0"/>
      </w:rPr>
      <w:t>&lt;NoPE&gt;</w:t>
    </w:r>
    <w:r w:rsidRPr="000759B6">
      <w:t>637.771</w:t>
    </w:r>
    <w:r w:rsidRPr="000759B6">
      <w:rPr>
        <w:rStyle w:val="HideTWBExt"/>
        <w:noProof w:val="0"/>
      </w:rPr>
      <w:t>&lt;/NoPE&gt;&lt;Version&gt;</w:t>
    </w:r>
    <w:r w:rsidRPr="000759B6">
      <w:t>v01-00</w:t>
    </w:r>
    <w:r w:rsidRPr="000759B6">
      <w:rPr>
        <w:rStyle w:val="HideTWBExt"/>
        <w:noProof w:val="0"/>
      </w:rPr>
      <w:t>&lt;/Version&gt;</w:t>
    </w:r>
    <w:r w:rsidRPr="000759B6">
      <w:tab/>
    </w:r>
    <w:r w:rsidRPr="000759B6">
      <w:fldChar w:fldCharType="begin"/>
    </w:r>
    <w:r w:rsidRPr="000759B6">
      <w:instrText xml:space="preserve"> PAGE  \* MERGEFORMAT </w:instrText>
    </w:r>
    <w:r w:rsidRPr="000759B6">
      <w:fldChar w:fldCharType="separate"/>
    </w:r>
    <w:r w:rsidR="005867A7">
      <w:rPr>
        <w:noProof/>
      </w:rPr>
      <w:t>4</w:t>
    </w:r>
    <w:r w:rsidRPr="000759B6">
      <w:fldChar w:fldCharType="end"/>
    </w:r>
    <w:r w:rsidRPr="000759B6">
      <w:t>/</w:t>
    </w:r>
    <w:fldSimple w:instr=" NUMPAGES  \* MERGEFORMAT ">
      <w:r w:rsidR="005867A7">
        <w:rPr>
          <w:noProof/>
        </w:rPr>
        <w:t>5</w:t>
      </w:r>
    </w:fldSimple>
    <w:r w:rsidRPr="000759B6">
      <w:tab/>
    </w:r>
    <w:r w:rsidRPr="000759B6">
      <w:rPr>
        <w:rStyle w:val="HideTWBExt"/>
        <w:noProof w:val="0"/>
      </w:rPr>
      <w:t>&lt;PathFdR&gt;</w:t>
    </w:r>
    <w:r w:rsidRPr="000759B6">
      <w:t>RE\1185947SK.docx</w:t>
    </w:r>
    <w:r w:rsidRPr="000759B6">
      <w:rPr>
        <w:rStyle w:val="HideTWBExt"/>
        <w:noProof w:val="0"/>
      </w:rPr>
      <w:t>&lt;/PathFdR&gt;</w:t>
    </w:r>
  </w:p>
  <w:p w:rsidR="00B0765D" w:rsidRPr="000759B6" w:rsidRDefault="003F04CC" w:rsidP="003F04CC">
    <w:pPr>
      <w:pStyle w:val="Footer2"/>
    </w:pPr>
    <w:r w:rsidRPr="000759B6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CC" w:rsidRPr="000759B6" w:rsidRDefault="003F04CC" w:rsidP="003F04CC">
    <w:pPr>
      <w:pStyle w:val="Footer"/>
    </w:pPr>
    <w:r w:rsidRPr="000759B6">
      <w:rPr>
        <w:rStyle w:val="HideTWBExt"/>
        <w:noProof w:val="0"/>
      </w:rPr>
      <w:t>&lt;PathFdR&gt;</w:t>
    </w:r>
    <w:r w:rsidRPr="000759B6">
      <w:t>RE\1185947SK.docx</w:t>
    </w:r>
    <w:r w:rsidRPr="000759B6">
      <w:rPr>
        <w:rStyle w:val="HideTWBExt"/>
        <w:noProof w:val="0"/>
      </w:rPr>
      <w:t>&lt;/PathFdR&gt;</w:t>
    </w:r>
    <w:r w:rsidRPr="000759B6">
      <w:tab/>
    </w:r>
    <w:r w:rsidRPr="000759B6">
      <w:fldChar w:fldCharType="begin"/>
    </w:r>
    <w:r w:rsidRPr="000759B6">
      <w:instrText xml:space="preserve"> PAGE  \* MERGEFORMAT </w:instrText>
    </w:r>
    <w:r w:rsidRPr="000759B6">
      <w:fldChar w:fldCharType="separate"/>
    </w:r>
    <w:r w:rsidR="005867A7">
      <w:rPr>
        <w:noProof/>
      </w:rPr>
      <w:t>3</w:t>
    </w:r>
    <w:r w:rsidRPr="000759B6">
      <w:fldChar w:fldCharType="end"/>
    </w:r>
    <w:r w:rsidRPr="000759B6">
      <w:t>/</w:t>
    </w:r>
    <w:fldSimple w:instr=" NUMPAGES  \* MERGEFORMAT ">
      <w:r w:rsidR="005867A7">
        <w:rPr>
          <w:noProof/>
        </w:rPr>
        <w:t>5</w:t>
      </w:r>
    </w:fldSimple>
    <w:r w:rsidRPr="000759B6">
      <w:tab/>
      <w:t>PE</w:t>
    </w:r>
    <w:r w:rsidRPr="000759B6">
      <w:rPr>
        <w:rStyle w:val="HideTWBExt"/>
        <w:noProof w:val="0"/>
      </w:rPr>
      <w:t>&lt;NoPE&gt;</w:t>
    </w:r>
    <w:r w:rsidRPr="000759B6">
      <w:t>637.771</w:t>
    </w:r>
    <w:r w:rsidRPr="000759B6">
      <w:rPr>
        <w:rStyle w:val="HideTWBExt"/>
        <w:noProof w:val="0"/>
      </w:rPr>
      <w:t>&lt;/NoPE&gt;&lt;Version&gt;</w:t>
    </w:r>
    <w:r w:rsidRPr="000759B6">
      <w:t>v01-00</w:t>
    </w:r>
    <w:r w:rsidRPr="000759B6">
      <w:rPr>
        <w:rStyle w:val="HideTWBExt"/>
        <w:noProof w:val="0"/>
      </w:rPr>
      <w:t>&lt;/Version&gt;</w:t>
    </w:r>
  </w:p>
  <w:p w:rsidR="00B0765D" w:rsidRPr="000759B6" w:rsidRDefault="003F04CC" w:rsidP="003F04CC">
    <w:pPr>
      <w:pStyle w:val="Footer2"/>
    </w:pPr>
    <w:r w:rsidRPr="000759B6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CC" w:rsidRPr="000759B6" w:rsidRDefault="003F04CC" w:rsidP="003F04CC">
    <w:pPr>
      <w:pStyle w:val="Footer"/>
    </w:pPr>
    <w:r w:rsidRPr="000759B6">
      <w:rPr>
        <w:rStyle w:val="HideTWBExt"/>
        <w:noProof w:val="0"/>
      </w:rPr>
      <w:t>&lt;PathFdR&gt;</w:t>
    </w:r>
    <w:r w:rsidRPr="000759B6">
      <w:t>RE\1185947SK.docx</w:t>
    </w:r>
    <w:r w:rsidRPr="000759B6">
      <w:rPr>
        <w:rStyle w:val="HideTWBExt"/>
        <w:noProof w:val="0"/>
      </w:rPr>
      <w:t>&lt;/PathFdR&gt;</w:t>
    </w:r>
    <w:r w:rsidRPr="000759B6">
      <w:tab/>
    </w:r>
    <w:r w:rsidRPr="000759B6">
      <w:tab/>
      <w:t>PE</w:t>
    </w:r>
    <w:r w:rsidRPr="000759B6">
      <w:rPr>
        <w:rStyle w:val="HideTWBExt"/>
        <w:noProof w:val="0"/>
      </w:rPr>
      <w:t>&lt;NoPE&gt;</w:t>
    </w:r>
    <w:r w:rsidRPr="000759B6">
      <w:t>637.771</w:t>
    </w:r>
    <w:r w:rsidRPr="000759B6">
      <w:rPr>
        <w:rStyle w:val="HideTWBExt"/>
        <w:noProof w:val="0"/>
      </w:rPr>
      <w:t>&lt;/NoPE&gt;&lt;Version&gt;</w:t>
    </w:r>
    <w:r w:rsidRPr="000759B6">
      <w:t>v01-00</w:t>
    </w:r>
    <w:r w:rsidRPr="000759B6">
      <w:rPr>
        <w:rStyle w:val="HideTWBExt"/>
        <w:noProof w:val="0"/>
      </w:rPr>
      <w:t>&lt;/Version&gt;</w:t>
    </w:r>
  </w:p>
  <w:p w:rsidR="00B0765D" w:rsidRPr="000759B6" w:rsidRDefault="003F04CC" w:rsidP="003F04CC">
    <w:pPr>
      <w:pStyle w:val="Footer2"/>
      <w:tabs>
        <w:tab w:val="center" w:pos="4535"/>
      </w:tabs>
    </w:pPr>
    <w:r w:rsidRPr="000759B6">
      <w:t>SK</w:t>
    </w:r>
    <w:r w:rsidRPr="000759B6">
      <w:tab/>
    </w:r>
    <w:r w:rsidRPr="000759B6">
      <w:rPr>
        <w:b w:val="0"/>
        <w:i/>
        <w:color w:val="C0C0C0"/>
        <w:sz w:val="22"/>
      </w:rPr>
      <w:t>Zjednotení v rozmanitosti</w:t>
    </w:r>
    <w:r w:rsidRPr="000759B6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D7" w:rsidRPr="000759B6" w:rsidRDefault="008D07D7">
      <w:r w:rsidRPr="000759B6">
        <w:separator/>
      </w:r>
    </w:p>
  </w:footnote>
  <w:footnote w:type="continuationSeparator" w:id="0">
    <w:p w:rsidR="008D07D7" w:rsidRPr="000759B6" w:rsidRDefault="008D07D7">
      <w:r w:rsidRPr="000759B6">
        <w:continuationSeparator/>
      </w:r>
    </w:p>
  </w:footnote>
  <w:footnote w:id="1">
    <w:p w:rsidR="00E72A45" w:rsidRPr="000759B6" w:rsidRDefault="00E72A45">
      <w:pPr>
        <w:pStyle w:val="FootnoteText"/>
      </w:pPr>
      <w:r>
        <w:rPr>
          <w:rStyle w:val="FootnoteReference"/>
        </w:rPr>
        <w:footnoteRef/>
      </w:r>
      <w:r>
        <w:t xml:space="preserve"> Prijaté texty, P8_TA(2019)0408.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97" w:rsidRDefault="003E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97" w:rsidRDefault="003E6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97" w:rsidRDefault="003E6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3"/>
    <w:multiLevelType w:val="multilevel"/>
    <w:tmpl w:val="894EE885"/>
    <w:lvl w:ilvl="0">
      <w:start w:val="1"/>
      <w:numFmt w:val="bullet"/>
      <w:pStyle w:val="ImportWordListStyleDefinition727000750"/>
      <w:lvlText w:val="-"/>
      <w:lvlJc w:val="left"/>
      <w:pPr>
        <w:tabs>
          <w:tab w:val="num" w:pos="360"/>
        </w:tabs>
        <w:ind w:left="360" w:firstLine="170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206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78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50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2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94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66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38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10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SubDir" w:val="1185"/>
    <w:docVar w:name="TITLE2MNU" w:val=" 2"/>
    <w:docVar w:name="TITLEMNU" w:val=" 2"/>
    <w:docVar w:name="TXTDEL" w:val="interparliamentary delegations"/>
    <w:docVar w:name="TXTLANGUE" w:val="SK"/>
    <w:docVar w:name="TXTLANGUEMIN" w:val="sk"/>
    <w:docVar w:name="TXTNRB" w:val="0005/2019"/>
    <w:docVar w:name="TXTNRPE" w:val="637.771"/>
    <w:docVar w:name="TXTNRRSO" w:val="2019/2719"/>
    <w:docVar w:name="TXTPEorAP" w:val="PE"/>
    <w:docVar w:name="TXTROUTE" w:val="RE\1185947SK.docx"/>
    <w:docVar w:name="TXTVERSION" w:val="01-00"/>
  </w:docVars>
  <w:rsids>
    <w:rsidRoot w:val="008D07D7"/>
    <w:rsid w:val="00063E41"/>
    <w:rsid w:val="000759B6"/>
    <w:rsid w:val="000A1552"/>
    <w:rsid w:val="000C27FC"/>
    <w:rsid w:val="001A0C6E"/>
    <w:rsid w:val="001A7754"/>
    <w:rsid w:val="00224630"/>
    <w:rsid w:val="0023461B"/>
    <w:rsid w:val="003045E1"/>
    <w:rsid w:val="00323323"/>
    <w:rsid w:val="00387C2C"/>
    <w:rsid w:val="003E6F97"/>
    <w:rsid w:val="003F04CC"/>
    <w:rsid w:val="003F4816"/>
    <w:rsid w:val="00433096"/>
    <w:rsid w:val="00435D9E"/>
    <w:rsid w:val="004711F9"/>
    <w:rsid w:val="004D5D76"/>
    <w:rsid w:val="0052459D"/>
    <w:rsid w:val="0052480F"/>
    <w:rsid w:val="005403E3"/>
    <w:rsid w:val="005867A7"/>
    <w:rsid w:val="005C40F7"/>
    <w:rsid w:val="005C6FBD"/>
    <w:rsid w:val="005E6004"/>
    <w:rsid w:val="00631553"/>
    <w:rsid w:val="006B1D63"/>
    <w:rsid w:val="00702555"/>
    <w:rsid w:val="007A391B"/>
    <w:rsid w:val="00831D75"/>
    <w:rsid w:val="00860D76"/>
    <w:rsid w:val="008A01C8"/>
    <w:rsid w:val="008D07D7"/>
    <w:rsid w:val="008D7A69"/>
    <w:rsid w:val="009E195B"/>
    <w:rsid w:val="009E46A2"/>
    <w:rsid w:val="009E6900"/>
    <w:rsid w:val="00B0765D"/>
    <w:rsid w:val="00B232F2"/>
    <w:rsid w:val="00B3458A"/>
    <w:rsid w:val="00B52B42"/>
    <w:rsid w:val="00B74BB8"/>
    <w:rsid w:val="00B750F7"/>
    <w:rsid w:val="00B86026"/>
    <w:rsid w:val="00BC4E8D"/>
    <w:rsid w:val="00D944DE"/>
    <w:rsid w:val="00DA4287"/>
    <w:rsid w:val="00E72A45"/>
    <w:rsid w:val="00F42746"/>
    <w:rsid w:val="00F43871"/>
    <w:rsid w:val="00F511FA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940F9F-128A-461B-8604-15D1F24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Normal"/>
    <w:rsid w:val="00BC4E8D"/>
    <w:pPr>
      <w:ind w:left="1418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8D7A69"/>
    <w:pPr>
      <w:tabs>
        <w:tab w:val="left" w:pos="567"/>
        <w:tab w:val="left" w:pos="1134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NormalTab">
    <w:name w:val="CoverNormalTab"/>
    <w:basedOn w:val="Normal"/>
    <w:pPr>
      <w:tabs>
        <w:tab w:val="left" w:pos="2268"/>
        <w:tab w:val="left" w:pos="3119"/>
      </w:tabs>
      <w:ind w:left="1418"/>
    </w:pPr>
  </w:style>
  <w:style w:type="paragraph" w:customStyle="1" w:styleId="NormalHangingLeft12a">
    <w:name w:val="NormalHangingLeft12a"/>
    <w:basedOn w:val="Normal"/>
    <w:rsid w:val="000C27FC"/>
    <w:pPr>
      <w:spacing w:after="240"/>
      <w:ind w:left="1134" w:hanging="567"/>
    </w:pPr>
  </w:style>
  <w:style w:type="paragraph" w:customStyle="1" w:styleId="ZSessionDoc">
    <w:name w:val="ZSessionDoc"/>
    <w:basedOn w:val="Normal"/>
    <w:next w:val="Normal"/>
    <w:rsid w:val="00BC4E8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BC4E8D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B1D63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B0765D"/>
    <w:pPr>
      <w:spacing w:after="480"/>
    </w:pPr>
    <w:rPr>
      <w:b/>
    </w:rPr>
  </w:style>
  <w:style w:type="paragraph" w:customStyle="1" w:styleId="EPName">
    <w:name w:val="EPName"/>
    <w:basedOn w:val="Normal"/>
    <w:rsid w:val="007A391B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A391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A391B"/>
    <w:pPr>
      <w:jc w:val="right"/>
    </w:pPr>
  </w:style>
  <w:style w:type="paragraph" w:customStyle="1" w:styleId="RefProc">
    <w:name w:val="RefProc"/>
    <w:basedOn w:val="Normal"/>
    <w:rsid w:val="006B1D63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6B1D63"/>
    <w:pPr>
      <w:spacing w:after="1200"/>
    </w:pPr>
  </w:style>
  <w:style w:type="paragraph" w:customStyle="1" w:styleId="ImportWordListStyleDefinition727000750">
    <w:name w:val="Import Word List Style Definition 727000750"/>
    <w:rsid w:val="00387C2C"/>
    <w:pPr>
      <w:numPr>
        <w:numId w:val="41"/>
      </w:numPr>
    </w:pPr>
  </w:style>
  <w:style w:type="paragraph" w:styleId="FootnoteText">
    <w:name w:val="footnote text"/>
    <w:basedOn w:val="Normal"/>
    <w:link w:val="FootnoteTextChar"/>
    <w:rsid w:val="00E72A4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A45"/>
  </w:style>
  <w:style w:type="character" w:styleId="FootnoteReference">
    <w:name w:val="footnote reference"/>
    <w:basedOn w:val="DefaultParagraphFont"/>
    <w:rsid w:val="00E72A45"/>
    <w:rPr>
      <w:vertAlign w:val="superscript"/>
    </w:rPr>
  </w:style>
  <w:style w:type="paragraph" w:styleId="BalloonText">
    <w:name w:val="Balloon Text"/>
    <w:basedOn w:val="Normal"/>
    <w:link w:val="BalloonTextChar"/>
    <w:rsid w:val="00E72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681D-7B6A-4BCB-AEC9-DD304AB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3851</Characters>
  <Application>Microsoft Office Word</Application>
  <DocSecurity>0</DocSecurity>
  <Lines>87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RE_Delegations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RE_Delegations</dc:title>
  <dc:subject/>
  <dc:creator>LUTOVS Vladimirs</dc:creator>
  <cp:keywords/>
  <dc:description/>
  <cp:lastModifiedBy>SABOLOVA Michaela</cp:lastModifiedBy>
  <cp:revision>2</cp:revision>
  <cp:lastPrinted>2019-07-11T14:09:00Z</cp:lastPrinted>
  <dcterms:created xsi:type="dcterms:W3CDTF">2019-07-12T13:22:00Z</dcterms:created>
  <dcterms:modified xsi:type="dcterms:W3CDTF">2019-07-12T13:22:00Z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1185947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\\eiciLUXpr1\pdocep$\DocEP\DOCS\General\RE\RE_Delegations.dot(28/06/2019 11:53:04)</vt:lpwstr>
  </property>
  <property fmtid="{D5CDD505-2E9C-101B-9397-08002B2CF9AE}" pid="7" name="&lt;ModelTra&gt;">
    <vt:lpwstr>\\eiciLUXpr1\pdocep$\DocEP\TRANSFIL\EN\RE_Delegations.EN(28/06/2019 11:48:52)</vt:lpwstr>
  </property>
  <property fmtid="{D5CDD505-2E9C-101B-9397-08002B2CF9AE}" pid="8" name="&lt;Model&gt;">
    <vt:lpwstr>RE_Delegations</vt:lpwstr>
  </property>
  <property fmtid="{D5CDD505-2E9C-101B-9397-08002B2CF9AE}" pid="9" name="FooterPath">
    <vt:lpwstr>RE\1185947SK.docx</vt:lpwstr>
  </property>
  <property fmtid="{D5CDD505-2E9C-101B-9397-08002B2CF9AE}" pid="10" name="PE number">
    <vt:lpwstr>637.771</vt:lpwstr>
  </property>
  <property fmtid="{D5CDD505-2E9C-101B-9397-08002B2CF9AE}" pid="11" name="Bookout">
    <vt:lpwstr>OK - 2019/07/12 15:22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