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962E37" w14:paraId="54B9290A" w14:textId="77777777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59B8F26C" w14:textId="77777777" w:rsidR="00706BC0" w:rsidRPr="00962E37" w:rsidRDefault="00675502" w:rsidP="00F26DE8">
            <w:pPr>
              <w:pStyle w:val="EPName"/>
            </w:pPr>
            <w:bookmarkStart w:id="0" w:name="_GoBack"/>
            <w:bookmarkEnd w:id="0"/>
            <w:r w:rsidRPr="00962E37">
              <w:t>Parlament Ewropew</w:t>
            </w:r>
          </w:p>
          <w:p w14:paraId="2739105F" w14:textId="77777777" w:rsidR="00706BC0" w:rsidRPr="00962E37" w:rsidRDefault="00D73899" w:rsidP="00D73899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962E37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5335DF02" w14:textId="77777777" w:rsidR="00706BC0" w:rsidRPr="00962E37" w:rsidRDefault="001E2450" w:rsidP="00F26DE8">
            <w:pPr>
              <w:pStyle w:val="EPLogo"/>
            </w:pPr>
            <w:r w:rsidRPr="00962E37">
              <w:drawing>
                <wp:inline distT="0" distB="0" distL="0" distR="0" wp14:anchorId="32906AA8" wp14:editId="695877A3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85240" w14:textId="77777777" w:rsidR="00E53167" w:rsidRPr="00962E37" w:rsidRDefault="00E53167" w:rsidP="00E53167">
      <w:pPr>
        <w:pStyle w:val="LineTop"/>
      </w:pPr>
    </w:p>
    <w:p w14:paraId="6328577C" w14:textId="77777777" w:rsidR="00E53167" w:rsidRPr="00962E37" w:rsidRDefault="00D73899" w:rsidP="00E53167">
      <w:pPr>
        <w:pStyle w:val="EPBody"/>
      </w:pPr>
      <w:r w:rsidRPr="00962E37">
        <w:t>Dokument ta' sessjoni</w:t>
      </w:r>
    </w:p>
    <w:p w14:paraId="1DB12204" w14:textId="77777777" w:rsidR="00094DDA" w:rsidRPr="00962E37" w:rsidRDefault="00094DDA" w:rsidP="00094DDA">
      <w:pPr>
        <w:pStyle w:val="LineBottom"/>
      </w:pPr>
    </w:p>
    <w:p w14:paraId="2F72B17F" w14:textId="77777777" w:rsidR="00094DDA" w:rsidRPr="00962E37" w:rsidRDefault="00094DDA" w:rsidP="00094DDA">
      <w:pPr>
        <w:pStyle w:val="CoverReference"/>
      </w:pPr>
      <w:r w:rsidRPr="00962E37">
        <w:rPr>
          <w:rStyle w:val="HideTWBExt"/>
          <w:b w:val="0"/>
          <w:noProof w:val="0"/>
        </w:rPr>
        <w:t>&lt;NoDocSe&gt;</w:t>
      </w:r>
      <w:r w:rsidRPr="00962E37">
        <w:t>B9</w:t>
      </w:r>
      <w:r w:rsidRPr="00962E37">
        <w:noBreakHyphen/>
        <w:t>0124/2019</w:t>
      </w:r>
      <w:r w:rsidRPr="00962E37">
        <w:rPr>
          <w:rStyle w:val="HideTWBExt"/>
          <w:b w:val="0"/>
          <w:noProof w:val="0"/>
        </w:rPr>
        <w:t>&lt;/NoDocSe&gt;</w:t>
      </w:r>
    </w:p>
    <w:p w14:paraId="5E1017E5" w14:textId="77777777" w:rsidR="00094DDA" w:rsidRPr="00962E37" w:rsidRDefault="00094DDA" w:rsidP="00094DDA">
      <w:pPr>
        <w:pStyle w:val="CoverDate"/>
      </w:pPr>
      <w:r w:rsidRPr="00962E37">
        <w:rPr>
          <w:rStyle w:val="HideTWBExt"/>
          <w:noProof w:val="0"/>
        </w:rPr>
        <w:t>&lt;Date&gt;</w:t>
      </w:r>
      <w:r w:rsidRPr="00962E37">
        <w:rPr>
          <w:rStyle w:val="HideTWBInt"/>
        </w:rPr>
        <w:t>{21/10/2019}</w:t>
      </w:r>
      <w:r w:rsidRPr="00962E37">
        <w:t>21.10.2019</w:t>
      </w:r>
      <w:r w:rsidRPr="00962E37">
        <w:rPr>
          <w:rStyle w:val="HideTWBExt"/>
          <w:noProof w:val="0"/>
        </w:rPr>
        <w:t>&lt;/Date&gt;</w:t>
      </w:r>
    </w:p>
    <w:p w14:paraId="2A71A653" w14:textId="77777777" w:rsidR="00814BC6" w:rsidRPr="00962E37" w:rsidRDefault="00814BC6">
      <w:pPr>
        <w:pStyle w:val="CoverDocType24a"/>
      </w:pPr>
      <w:r w:rsidRPr="00962E37">
        <w:rPr>
          <w:rStyle w:val="HideTWBExt"/>
          <w:b w:val="0"/>
          <w:noProof w:val="0"/>
        </w:rPr>
        <w:t>&lt;TitreType&gt;</w:t>
      </w:r>
      <w:r w:rsidRPr="00962E37">
        <w:t>MOZZJONI GĦAL RIŻOLUZZJONI</w:t>
      </w:r>
      <w:r w:rsidRPr="00962E37">
        <w:rPr>
          <w:rStyle w:val="HideTWBExt"/>
          <w:b w:val="0"/>
          <w:noProof w:val="0"/>
        </w:rPr>
        <w:t>&lt;/TitreType&gt;</w:t>
      </w:r>
    </w:p>
    <w:p w14:paraId="65069AD6" w14:textId="77777777" w:rsidR="00814BC6" w:rsidRPr="00962E37" w:rsidRDefault="00814BC6">
      <w:pPr>
        <w:pStyle w:val="CoverNormal12a"/>
      </w:pPr>
      <w:r w:rsidRPr="00962E37">
        <w:rPr>
          <w:rStyle w:val="HideTWBExt"/>
          <w:noProof w:val="0"/>
        </w:rPr>
        <w:t>&lt;TitreSuite&gt;</w:t>
      </w:r>
      <w:r w:rsidRPr="00962E37">
        <w:t>imressqa wara d-dikjarazzjoni tal-Kummissjoni</w:t>
      </w:r>
      <w:r w:rsidRPr="00962E37">
        <w:rPr>
          <w:rStyle w:val="HideTWBExt"/>
          <w:noProof w:val="0"/>
        </w:rPr>
        <w:t>&lt;/TitreSuite&gt;</w:t>
      </w:r>
    </w:p>
    <w:p w14:paraId="496EF808" w14:textId="77777777" w:rsidR="00814BC6" w:rsidRPr="00962E37" w:rsidRDefault="00814BC6">
      <w:pPr>
        <w:pStyle w:val="CoverNormal12a"/>
      </w:pPr>
      <w:r w:rsidRPr="00962E37">
        <w:rPr>
          <w:rStyle w:val="HideTWBExt"/>
          <w:noProof w:val="0"/>
        </w:rPr>
        <w:t>&lt;TitreRecueil&gt;</w:t>
      </w:r>
      <w:r w:rsidRPr="00962E37">
        <w:t>imressqa skont l-Artikolu 132(2) tar-Regoli ta' Proċedura</w:t>
      </w:r>
      <w:r w:rsidRPr="00962E37">
        <w:rPr>
          <w:rStyle w:val="HideTWBExt"/>
          <w:noProof w:val="0"/>
        </w:rPr>
        <w:t>&lt;/TitreRecueil&gt;</w:t>
      </w:r>
    </w:p>
    <w:p w14:paraId="412E2126" w14:textId="0B86A84F" w:rsidR="00C23264" w:rsidRPr="00962E37" w:rsidRDefault="00C23264" w:rsidP="00C23264">
      <w:pPr>
        <w:pStyle w:val="CoverNormal"/>
      </w:pPr>
      <w:r w:rsidRPr="00962E37">
        <w:rPr>
          <w:rStyle w:val="HideTWBExt"/>
          <w:noProof w:val="0"/>
        </w:rPr>
        <w:t>&lt;Titre&gt;</w:t>
      </w:r>
      <w:r w:rsidRPr="00962E37">
        <w:t>dwar l-effetti tal-falliment tat-Thomas Cook Group</w:t>
      </w:r>
      <w:r w:rsidRPr="00962E37">
        <w:rPr>
          <w:rStyle w:val="HideTWBExt"/>
          <w:noProof w:val="0"/>
        </w:rPr>
        <w:t>&lt;/Titre&gt;</w:t>
      </w:r>
    </w:p>
    <w:p w14:paraId="21BA8B45" w14:textId="77777777" w:rsidR="00C23264" w:rsidRPr="00962E37" w:rsidRDefault="00C23264" w:rsidP="00C23264">
      <w:pPr>
        <w:pStyle w:val="CoverNormal24a"/>
      </w:pPr>
      <w:r w:rsidRPr="00962E37">
        <w:rPr>
          <w:rStyle w:val="HideTWBExt"/>
          <w:noProof w:val="0"/>
        </w:rPr>
        <w:t>&lt;DocRef&gt;</w:t>
      </w:r>
      <w:r w:rsidRPr="00962E37">
        <w:t>(2019/2854(RSP))</w:t>
      </w:r>
      <w:r w:rsidRPr="00962E37">
        <w:rPr>
          <w:rStyle w:val="HideTWBExt"/>
          <w:noProof w:val="0"/>
        </w:rPr>
        <w:t>&lt;/DocRef&gt;</w:t>
      </w:r>
    </w:p>
    <w:p w14:paraId="0C7D8F17" w14:textId="77777777" w:rsidR="002574AA" w:rsidRPr="00962E37" w:rsidRDefault="002574AA" w:rsidP="002574AA">
      <w:pPr>
        <w:pStyle w:val="CoverBold"/>
      </w:pPr>
      <w:r w:rsidRPr="00962E37">
        <w:rPr>
          <w:rStyle w:val="HideTWBExt"/>
          <w:b w:val="0"/>
          <w:noProof w:val="0"/>
        </w:rPr>
        <w:t>&lt;RepeatBlock-By&gt;&lt;Depute&gt;</w:t>
      </w:r>
      <w:r w:rsidRPr="00962E37">
        <w:t>Elena Kountoura, Nikolaj Villumsen, Kateřina Konečná, Marisa Matias, Stelios Kouloglou, Helmut Scholz, João Ferreira, Sandra Pereira, Dimitrios Papadimoulis, Alexis Georgoulis, Emmanuel Maurel, Mick Wallace, Clare Daly, Anne</w:t>
      </w:r>
      <w:r w:rsidRPr="00962E37">
        <w:noBreakHyphen/>
        <w:t>Sophie Pelletier, Leila Chaibi, Manuel Bompard, Konstantinos Arvanitis, Petros Kokkalis, Miguel Urbán Crespo, Idoia Villanueva Ruiz, Eugenia Rodríguez Palop, Younous Omarjee</w:t>
      </w:r>
      <w:r w:rsidRPr="00962E37">
        <w:rPr>
          <w:rStyle w:val="HideTWBExt"/>
          <w:b w:val="0"/>
          <w:noProof w:val="0"/>
        </w:rPr>
        <w:t>&lt;/Depute&gt;</w:t>
      </w:r>
    </w:p>
    <w:p w14:paraId="47E72199" w14:textId="77777777" w:rsidR="002574AA" w:rsidRPr="00962E37" w:rsidRDefault="002574AA" w:rsidP="002574AA">
      <w:pPr>
        <w:pStyle w:val="CoverNormal"/>
      </w:pPr>
      <w:r w:rsidRPr="00962E37">
        <w:rPr>
          <w:rStyle w:val="HideTWBExt"/>
          <w:noProof w:val="0"/>
        </w:rPr>
        <w:t>&lt;Commission&gt;</w:t>
      </w:r>
      <w:r w:rsidRPr="00962E37">
        <w:rPr>
          <w:rStyle w:val="HideTWBInt"/>
        </w:rPr>
        <w:t>{GUE/NGL}</w:t>
      </w:r>
      <w:r w:rsidRPr="00962E37">
        <w:t>f'isem il-Grupp GUE/NGL</w:t>
      </w:r>
      <w:r w:rsidRPr="00962E37">
        <w:rPr>
          <w:rStyle w:val="HideTWBExt"/>
          <w:noProof w:val="0"/>
        </w:rPr>
        <w:t>&lt;/Commission&gt;</w:t>
      </w:r>
    </w:p>
    <w:p w14:paraId="0900C5EC" w14:textId="77777777" w:rsidR="002574AA" w:rsidRPr="00962E37" w:rsidRDefault="002574AA" w:rsidP="002574AA">
      <w:pPr>
        <w:pStyle w:val="CoverNormal"/>
      </w:pPr>
      <w:r w:rsidRPr="00962E37">
        <w:rPr>
          <w:rStyle w:val="HideTWBExt"/>
          <w:noProof w:val="0"/>
        </w:rPr>
        <w:t>&lt;/RepeatBlock-By&gt;</w:t>
      </w:r>
    </w:p>
    <w:p w14:paraId="7DB5B251" w14:textId="77777777" w:rsidR="00814BC6" w:rsidRPr="00962E37" w:rsidRDefault="00814BC6">
      <w:pPr>
        <w:pStyle w:val="NormalBold12a"/>
      </w:pPr>
      <w:r w:rsidRPr="00962E37">
        <w:br w:type="page"/>
      </w:r>
      <w:r w:rsidRPr="00962E37">
        <w:lastRenderedPageBreak/>
        <w:t>B9</w:t>
      </w:r>
      <w:r w:rsidRPr="00962E37">
        <w:noBreakHyphen/>
        <w:t>0124/2019</w:t>
      </w:r>
    </w:p>
    <w:p w14:paraId="3E86C77C" w14:textId="47F3A8BA" w:rsidR="00C23264" w:rsidRPr="00962E37" w:rsidRDefault="00675502" w:rsidP="00C23264">
      <w:pPr>
        <w:pStyle w:val="NormalBold"/>
      </w:pPr>
      <w:r w:rsidRPr="00962E37">
        <w:t>Riżoluzjoni tal-Parlament Ewropew dwar l-effetti tal-falliment tat-Thomas Cook Group</w:t>
      </w:r>
    </w:p>
    <w:p w14:paraId="539FB5D7" w14:textId="77777777" w:rsidR="00C23264" w:rsidRPr="00962E37" w:rsidRDefault="00675502" w:rsidP="00DF7943">
      <w:pPr>
        <w:pStyle w:val="NormalBold"/>
      </w:pPr>
      <w:r w:rsidRPr="00962E37">
        <w:t>(2019/2854(RSP))</w:t>
      </w:r>
    </w:p>
    <w:p w14:paraId="310FD21F" w14:textId="77777777" w:rsidR="00814BC6" w:rsidRPr="00962E37" w:rsidRDefault="00675502">
      <w:pPr>
        <w:pStyle w:val="EPComma"/>
      </w:pPr>
      <w:r w:rsidRPr="00962E37">
        <w:t>Il-Parlament Ewropew,</w:t>
      </w:r>
    </w:p>
    <w:p w14:paraId="69854A15" w14:textId="3D3BFA81" w:rsidR="00D73899" w:rsidRPr="00962E37" w:rsidRDefault="00814BC6" w:rsidP="00170CBC">
      <w:pPr>
        <w:pStyle w:val="NormalHanging12a"/>
      </w:pPr>
      <w:r w:rsidRPr="00962E37">
        <w:t>–</w:t>
      </w:r>
      <w:r w:rsidRPr="00962E37">
        <w:tab/>
        <w:t>wara li kkunsidra l-Artikoli 152 u 195 tat-Trattat dwar il-Funzjonament tal-Unjoni Ewropea,</w:t>
      </w:r>
    </w:p>
    <w:p w14:paraId="3977F819" w14:textId="37F80ED3" w:rsidR="00D73899" w:rsidRPr="00962E37" w:rsidRDefault="00D73899" w:rsidP="00D73899">
      <w:pPr>
        <w:pStyle w:val="NormalHanging12a"/>
      </w:pPr>
      <w:r w:rsidRPr="00962E37">
        <w:t>–</w:t>
      </w:r>
      <w:r w:rsidRPr="00962E37">
        <w:tab/>
        <w:t>wara li kkunsidra d-Direttiva (UE) 2015/2303 tal-Parlament Ewropew u tal-Kunsill tal-25 ta' Novembru 2015 dwar pakketti tal-ivvjaġġar u arranġamenti tal-ivvjaġġar marbuta, li temenda r-Regolament (KE) Nru 2006/2004 u d-Direttiva 2011/83/UE tal-Parlament Ewropew u tal-Kunsill u li tħassar id-Direttiva tal-Kunsill 90/314/KEE</w:t>
      </w:r>
      <w:r w:rsidR="00087328" w:rsidRPr="00962E37">
        <w:rPr>
          <w:rStyle w:val="FootnoteReference"/>
        </w:rPr>
        <w:footnoteReference w:id="2"/>
      </w:r>
      <w:r w:rsidRPr="00962E37">
        <w:t>,</w:t>
      </w:r>
    </w:p>
    <w:p w14:paraId="4A75A335" w14:textId="77777777" w:rsidR="00D73899" w:rsidRPr="00962E37" w:rsidRDefault="00D73899" w:rsidP="00D73899">
      <w:pPr>
        <w:pStyle w:val="NormalHanging12a"/>
      </w:pPr>
      <w:r w:rsidRPr="00962E37">
        <w:t>–</w:t>
      </w:r>
      <w:r w:rsidRPr="00962E37">
        <w:tab/>
        <w:t>wara li kkunsidra r-riżoluzzjoni tiegħu tad-29 ta' Ottubru 2015 dwar sfidi u kunċetti ġodda għall-promozzjoni tat-turiżmu fl-Ewropa</w:t>
      </w:r>
      <w:r w:rsidR="00170CBC" w:rsidRPr="00962E37">
        <w:rPr>
          <w:rStyle w:val="FootnoteReference"/>
        </w:rPr>
        <w:footnoteReference w:id="3"/>
      </w:r>
      <w:r w:rsidRPr="00962E37">
        <w:t>,</w:t>
      </w:r>
    </w:p>
    <w:p w14:paraId="1E031713" w14:textId="29BA51DA" w:rsidR="00D73899" w:rsidRPr="00962E37" w:rsidRDefault="00D73899" w:rsidP="00D73899">
      <w:pPr>
        <w:pStyle w:val="NormalHanging12a"/>
      </w:pPr>
      <w:r w:rsidRPr="00962E37">
        <w:t>–</w:t>
      </w:r>
      <w:r w:rsidRPr="00962E37">
        <w:tab/>
        <w:t>wara li kkunsidra r-riżoluzzjoni tiegħu tal-14 ta' Novembru 2018 dwar il-Qafas Finanzjarju Pluriennali 2021-2027 – Il-pożizzjoni tal-Parlament bil-ħsieb ta' ftehim</w:t>
      </w:r>
      <w:r w:rsidR="00170CBC" w:rsidRPr="00962E37">
        <w:rPr>
          <w:rStyle w:val="FootnoteReference"/>
        </w:rPr>
        <w:footnoteReference w:id="4"/>
      </w:r>
      <w:r w:rsidRPr="00962E37">
        <w:t>,</w:t>
      </w:r>
    </w:p>
    <w:p w14:paraId="7799002D" w14:textId="1FDD8FB7" w:rsidR="00D73899" w:rsidRPr="00962E37" w:rsidRDefault="00D73899" w:rsidP="00D73899">
      <w:pPr>
        <w:pStyle w:val="NormalHanging12a"/>
      </w:pPr>
      <w:r w:rsidRPr="00962E37">
        <w:t>–</w:t>
      </w:r>
      <w:r w:rsidRPr="00962E37">
        <w:tab/>
        <w:t>wara li kkunsidra l-Komunikazzjoni mill-Kummissjoni bit-titolu 'L-Ewropa, l-ewwel destinazzjoni turistika fid-dinja – qafas politiku ġdid għat-turiżmu Ewropew' (COM(2010)0352),</w:t>
      </w:r>
    </w:p>
    <w:p w14:paraId="43A8BB1A" w14:textId="61E0FCDA" w:rsidR="00D73899" w:rsidRPr="00962E37" w:rsidRDefault="00D73899" w:rsidP="00D73899">
      <w:pPr>
        <w:pStyle w:val="NormalHanging12a"/>
      </w:pPr>
      <w:r w:rsidRPr="00962E37">
        <w:t>–</w:t>
      </w:r>
      <w:r w:rsidRPr="00962E37">
        <w:tab/>
        <w:t>wara li kkunsidra d-deċiżjoni tal-Kummissjoni tal-14 ta' Ottubru 2019 dwar l-għajnuna ta' salvataġġ lill-Condor (SA.55394),</w:t>
      </w:r>
    </w:p>
    <w:p w14:paraId="3B1EBEEB" w14:textId="7B7A978B" w:rsidR="00D73899" w:rsidRPr="00962E37" w:rsidRDefault="00D73899" w:rsidP="00D73899">
      <w:pPr>
        <w:pStyle w:val="NormalHanging12a"/>
      </w:pPr>
      <w:r w:rsidRPr="00962E37">
        <w:t>–</w:t>
      </w:r>
      <w:r w:rsidRPr="00962E37">
        <w:tab/>
        <w:t>wara li kkunsidra r-Regolament (UE) Nru 1309/2013 tal-Parlament Ewropew u tal-Kunsill tas-17 ta' Diċembru 2013 dwar il-Fond Ewropew ta' Aġġustament għall-Globalizzazzjoni (2014-2020) u li jħassar ir-Regolament (KE) Nru 1927/2006 (ir-Regolament dwar il-FEG)</w:t>
      </w:r>
      <w:r w:rsidR="00170CBC" w:rsidRPr="00962E37">
        <w:rPr>
          <w:rStyle w:val="FootnoteReference"/>
        </w:rPr>
        <w:footnoteReference w:id="5"/>
      </w:r>
      <w:r w:rsidRPr="00962E37">
        <w:t>,</w:t>
      </w:r>
    </w:p>
    <w:p w14:paraId="258F1B7C" w14:textId="77777777" w:rsidR="00D73899" w:rsidRPr="00962E37" w:rsidRDefault="00D73899" w:rsidP="00D73899">
      <w:pPr>
        <w:pStyle w:val="NormalHanging12a"/>
      </w:pPr>
      <w:r w:rsidRPr="00962E37">
        <w:t>–</w:t>
      </w:r>
      <w:r w:rsidRPr="00962E37">
        <w:tab/>
        <w:t>wara li kkunsidra r-Regolament (KE) Nru 261/2004 tal-Parlament Ewropew u tal-Kunsill tal-11 ta' Frar 2004 li jistabbilixxi regoli komuni dwar il-kumpens u l-assistenza għal passiġġieri fil-każ li ma jitħallewx jitilgħu u ta' kanċellazzjoni jew dewmien twil ta' titjiriet, u li jħassar ir-Regolament (KEE) Nru 295/91</w:t>
      </w:r>
      <w:r w:rsidR="00170CBC" w:rsidRPr="00962E37">
        <w:rPr>
          <w:rStyle w:val="FootnoteReference"/>
        </w:rPr>
        <w:footnoteReference w:id="6"/>
      </w:r>
      <w:r w:rsidRPr="00962E37">
        <w:t>,</w:t>
      </w:r>
    </w:p>
    <w:p w14:paraId="6448380A" w14:textId="5BC5B068" w:rsidR="00D73899" w:rsidRPr="00962E37" w:rsidRDefault="00D73899" w:rsidP="00D73899">
      <w:pPr>
        <w:pStyle w:val="NormalHanging12a"/>
      </w:pPr>
      <w:r w:rsidRPr="00962E37">
        <w:t>–</w:t>
      </w:r>
      <w:r w:rsidRPr="00962E37">
        <w:tab/>
        <w:t>wara li kkunsidra l-komunikazzjoni tal-Kummissjoni tat-18 ta' Marzu 2013 bit-titlu "Il-protezzjoni tal-passiġġieri f'każ ta' falliment ta' linja tal-ajru" (COM(2013)0129),</w:t>
      </w:r>
    </w:p>
    <w:p w14:paraId="419ABB5D" w14:textId="4A0D7F3D" w:rsidR="00D73899" w:rsidRPr="00962E37" w:rsidRDefault="00D73899" w:rsidP="00D73899">
      <w:pPr>
        <w:pStyle w:val="NormalHanging12a"/>
      </w:pPr>
      <w:r w:rsidRPr="00962E37">
        <w:t>–</w:t>
      </w:r>
      <w:r w:rsidRPr="00962E37">
        <w:tab/>
        <w:t xml:space="preserve">wara li kkunsidra r-Regolament tal-Kunsill (KE) Nru 2027/97 tad-9 ta' Ottubru 1997 </w:t>
      </w:r>
      <w:r w:rsidRPr="00962E37">
        <w:lastRenderedPageBreak/>
        <w:t>dwar ir-responsabbiltà ta' trasportaturi bl-ajru fl-eventwalità ta' inċidenti</w:t>
      </w:r>
      <w:r w:rsidR="00087328" w:rsidRPr="00962E37">
        <w:rPr>
          <w:rStyle w:val="FootnoteReference"/>
        </w:rPr>
        <w:footnoteReference w:id="7"/>
      </w:r>
      <w:r w:rsidRPr="00962E37">
        <w:t>,</w:t>
      </w:r>
    </w:p>
    <w:p w14:paraId="6812AF8E" w14:textId="77777777" w:rsidR="00D73899" w:rsidRPr="00962E37" w:rsidRDefault="00D73899" w:rsidP="00D73899">
      <w:pPr>
        <w:pStyle w:val="NormalHanging12a"/>
      </w:pPr>
      <w:r w:rsidRPr="00962E37">
        <w:t>–</w:t>
      </w:r>
      <w:r w:rsidRPr="00962E37">
        <w:tab/>
        <w:t>wara li kkunsidra r-Regolament (KE) Nru 1008/2008 tal-Parlament Ewropew u tal-Kunsill tal-24 ta' Settembru 2008 dwar regoli komuni għall-operat ta' servizzi tal-ajru fil-Komunità</w:t>
      </w:r>
      <w:r w:rsidR="00170CBC" w:rsidRPr="00962E37">
        <w:rPr>
          <w:rStyle w:val="FootnoteReference"/>
        </w:rPr>
        <w:footnoteReference w:id="8"/>
      </w:r>
      <w:r w:rsidRPr="00962E37">
        <w:t>,</w:t>
      </w:r>
    </w:p>
    <w:p w14:paraId="1EED95BB" w14:textId="77777777" w:rsidR="00D73899" w:rsidRPr="00962E37" w:rsidRDefault="00ED22B8" w:rsidP="00D73899">
      <w:pPr>
        <w:pStyle w:val="NormalHanging12a"/>
      </w:pPr>
      <w:r w:rsidRPr="00962E37">
        <w:t>–</w:t>
      </w:r>
      <w:r w:rsidRPr="00962E37">
        <w:tab/>
        <w:t>wara li kkunsidra l-Artikolu 132(2) tar-Regoli ta' Proċedura tiegħu,</w:t>
      </w:r>
    </w:p>
    <w:p w14:paraId="1B95EE31" w14:textId="4D038DFE" w:rsidR="00D73899" w:rsidRPr="00962E37" w:rsidRDefault="00D73899" w:rsidP="00D73899">
      <w:pPr>
        <w:pStyle w:val="NormalHanging12a"/>
      </w:pPr>
      <w:r w:rsidRPr="00962E37">
        <w:t>A.</w:t>
      </w:r>
      <w:r w:rsidRPr="00962E37">
        <w:tab/>
        <w:t>billi fit-23 ta' Settembru 2019, it-Thomas Cook Group uffiċjalment iddikjara falliment u ħoloq waħda mill-akbar kriżijiet fis-settur tat-turiżmu;</w:t>
      </w:r>
    </w:p>
    <w:p w14:paraId="61DF9DAC" w14:textId="78D38FEE" w:rsidR="00D73899" w:rsidRPr="00962E37" w:rsidRDefault="00D73899" w:rsidP="00D73899">
      <w:pPr>
        <w:pStyle w:val="NormalHanging12a"/>
      </w:pPr>
      <w:r w:rsidRPr="00962E37">
        <w:t xml:space="preserve">B. </w:t>
      </w:r>
      <w:r w:rsidRPr="00962E37">
        <w:tab/>
        <w:t>billi l-kollass tat-Thomas Cook ħalla mijiet ta' eluf ta' persuni l-art f'postijiet differenti madwar id-dinja; billi l-waqfien tal-operazzjonijiet tat-Thomas Cook irrikjeda operazzjoni ta' ripatriazzjoni fuq skala kbira għal dawn in-nies minn postijiet differenti lejn il-postijiet ta' oriġini tagħhom;</w:t>
      </w:r>
    </w:p>
    <w:p w14:paraId="5AB0C173" w14:textId="07655A1A" w:rsidR="00D73899" w:rsidRPr="00962E37" w:rsidRDefault="00D73899" w:rsidP="00D73899">
      <w:pPr>
        <w:pStyle w:val="NormalHanging12a"/>
      </w:pPr>
      <w:r w:rsidRPr="00962E37">
        <w:t>C.</w:t>
      </w:r>
      <w:r w:rsidRPr="00962E37">
        <w:tab/>
        <w:t>billi madwar 22 000 persuna direttament impjegati mit-Thomas Cook Group qed jiffaċċjaw il-qgħad; billi dan il-falliment irriżulta fl-għeluq ta' lukandi u faċilitajiet ta' akkomodazzjoni, u se jwassal ukoll għat-telf ta' eluf ta' impjiegi fis-settur tat-turiżmu u s-setturi dipendenti fuq it-turiżmu; billi bosta fornituri, li l-biċċa l-kbira tagħhom huma SMEs vijabbli, jistgħu jiffaċċjaw diffikultajiet konsiderevoli minħabba l-effett domino li ġie ġġenerat mill-kollass tat-Thomas Cook;</w:t>
      </w:r>
    </w:p>
    <w:p w14:paraId="49FA3D2E" w14:textId="1A18329B" w:rsidR="00D73899" w:rsidRPr="00962E37" w:rsidRDefault="00D73899" w:rsidP="00D73899">
      <w:pPr>
        <w:pStyle w:val="NormalHanging12a"/>
      </w:pPr>
      <w:r w:rsidRPr="00962E37">
        <w:t>D.</w:t>
      </w:r>
      <w:r w:rsidRPr="00962E37">
        <w:tab/>
        <w:t>billi l-kollass tat-Thomas Cook jista' jkollu effett negattiv sostanzjali fuq l-ekonomiji ta' ċerti reġjuni tal-UE li kienu direttament dipendenti fuq it-turs kollox kompriż tat-Thomas Cook; billi diversi trejdjunjins u assoċjazzjonijiet ta' lukandiera madwar l-UE esprimew it-tħassib serju tagħhom dwar it-telf ta' dħul u appellaw għal miżuri ta' appoġġ urġenti;</w:t>
      </w:r>
    </w:p>
    <w:p w14:paraId="2009F6D6" w14:textId="73947418" w:rsidR="00D73899" w:rsidRPr="00962E37" w:rsidRDefault="00D73899" w:rsidP="00D73899">
      <w:pPr>
        <w:pStyle w:val="NormalHanging12a"/>
      </w:pPr>
      <w:r w:rsidRPr="00962E37">
        <w:t>E.</w:t>
      </w:r>
      <w:r w:rsidRPr="00962E37">
        <w:tab/>
        <w:t>billi t-turiżmu huwa settur ewlieni fl-ekonomiji tal-Istati Membri, li jiġġenera aktar minn 10 % tal-PDG tal-UE jekk wieħed iqis ukoll is-setturi relatati mat-turiżmu; billi jikkostitwixxi wkoll xprun importanti għall-impjieg, peress li jimpjega direttament 13-il miljun ħaddiem u għalhekk jammonta għal mill-inqas 12 % tal-impjiegi fl-UE;</w:t>
      </w:r>
    </w:p>
    <w:p w14:paraId="394F4383" w14:textId="4BCF5D59" w:rsidR="00D73899" w:rsidRPr="00962E37" w:rsidRDefault="00D73899" w:rsidP="00D73899">
      <w:pPr>
        <w:pStyle w:val="NormalHanging12a"/>
      </w:pPr>
      <w:r w:rsidRPr="00962E37">
        <w:t>F.</w:t>
      </w:r>
      <w:r w:rsidRPr="00962E37">
        <w:tab/>
        <w:t>billi l-Ewropa hija l-ewwel destinazzjoni turistika fid-dinja, fejn għandha sehem tas-suq ta' 52 %; billi s-settur tat-turiżmu huwa partikolarment vulnerabbli kemm għall-perikli naturali kif ukoll dawk ta' oriġini umana li ma jistgħux jiġu previsti;</w:t>
      </w:r>
    </w:p>
    <w:p w14:paraId="30DDD547" w14:textId="5A5CA7E8" w:rsidR="00D73899" w:rsidRPr="00962E37" w:rsidRDefault="00D73899" w:rsidP="00D73899">
      <w:pPr>
        <w:pStyle w:val="NormalHanging12a"/>
      </w:pPr>
      <w:r w:rsidRPr="00962E37">
        <w:t>G.</w:t>
      </w:r>
      <w:r w:rsidRPr="00962E37">
        <w:tab/>
        <w:t>billi t-turiżmu jikkostitwixxi attività soċjoekonomika ewlenija fl-UE, b'impatt wiesa' fuq l-ekonomiji, l-impjiegi u l-iżvilupp soċjali;</w:t>
      </w:r>
    </w:p>
    <w:p w14:paraId="494BD2B8" w14:textId="25A6FDF8" w:rsidR="00D73899" w:rsidRPr="00962E37" w:rsidRDefault="00D73899" w:rsidP="00D73899">
      <w:pPr>
        <w:pStyle w:val="NormalHanging12a"/>
      </w:pPr>
      <w:r w:rsidRPr="00962E37">
        <w:t>H.</w:t>
      </w:r>
      <w:r w:rsidRPr="00962E37">
        <w:tab/>
        <w:t>billi diversi Stati Membri ħabbru miżuri mmirati biex jappoġġaw is-settur turistiku tagħhom bil-għan li jittaffew l-effetti negattivi tal-kollass tat-Thomas Cook Group; billi ma kien hemm l-ebda rispons konsolidat tal-UE għal din il-kriżi fis-settur tat-turiżmu; billi għadu ma ġie attivat l-ebda mekkaniżmu ta' appoġġ tal-UE;</w:t>
      </w:r>
    </w:p>
    <w:p w14:paraId="7CDFB315" w14:textId="4AFFD4A2" w:rsidR="00D73899" w:rsidRPr="00962E37" w:rsidRDefault="00D73899" w:rsidP="00D73899">
      <w:pPr>
        <w:pStyle w:val="NormalHanging12a"/>
      </w:pPr>
      <w:r w:rsidRPr="00962E37">
        <w:t>I.</w:t>
      </w:r>
      <w:r w:rsidRPr="00962E37">
        <w:tab/>
        <w:t xml:space="preserve">billi, sa mid-dħul fis-seħħ tat-Trattat ta' Lisbona, l-UE kellha l-kompetenza li ssostni </w:t>
      </w:r>
      <w:r w:rsidRPr="00962E37">
        <w:lastRenderedPageBreak/>
        <w:t>jew tissupplimenta l-azzjonijiet tal-Istati Membri fil-qasam tat-turiżmu; billi ma hemm l-ebda linja ddedikata għat-turiżmu fil-baġit tal-UE, u l-azzjonijiet f'dan il-qasam jaqgħu taħt diversi fondi, proġetti pilota u azzjonijiet preparatorji differenti;</w:t>
      </w:r>
    </w:p>
    <w:p w14:paraId="2CE62F75" w14:textId="5905AC75" w:rsidR="00D73899" w:rsidRPr="00962E37" w:rsidRDefault="00D73899" w:rsidP="00D73899">
      <w:pPr>
        <w:pStyle w:val="NormalHanging12a"/>
      </w:pPr>
      <w:r w:rsidRPr="00962E37">
        <w:t>J.</w:t>
      </w:r>
      <w:r w:rsidRPr="00962E37">
        <w:tab/>
        <w:t>billi l-UE ħolqot strumenti leġiżlattivi u baġitarji biex tipprovdi appoġġ addizzjonali lill-ħaddiema li qegħdin ibatu l-konsegwenzi ta' bidliet strutturali globali kbar jew tal-kriżi finanzjarja u ekonomika globali u biex tgħin fl-integrazzjoni mill-ġdid tagħhom fis-suq tax-xogħol;</w:t>
      </w:r>
    </w:p>
    <w:p w14:paraId="15B754AD" w14:textId="54E2992B" w:rsidR="00D73899" w:rsidRPr="00962E37" w:rsidRDefault="00D73899" w:rsidP="00D73899">
      <w:pPr>
        <w:pStyle w:val="NormalHanging12a"/>
      </w:pPr>
      <w:r w:rsidRPr="00962E37">
        <w:t>K.</w:t>
      </w:r>
      <w:r w:rsidRPr="00962E37">
        <w:tab/>
        <w:t>billi fil-25 ta' Settembru 2019 il-Gvern Federali tal-Ġermanja nnotifika lill-Kummissjoni bl-intenzjoni tiegħu li jagħti self ta' salvataġġ ta' EUR 380 miljun lill-Condor, kumpanija tal-ajru Ġermaniża tat-Thomas Cook, permezz tal-bank tal-iżvilupp pubbliku Ġermaniż Kreditanstalt für Wiederaufbau (KfW), u dan ġie approvat mill-Kummissjoni fl-14 ta' Ottubru 2019;</w:t>
      </w:r>
    </w:p>
    <w:p w14:paraId="35383B07" w14:textId="66BA1E34" w:rsidR="00D73899" w:rsidRPr="00962E37" w:rsidRDefault="00D73899" w:rsidP="00D73899">
      <w:pPr>
        <w:pStyle w:val="NormalHanging12a"/>
      </w:pPr>
      <w:r w:rsidRPr="00962E37">
        <w:t>L.</w:t>
      </w:r>
      <w:r w:rsidRPr="00962E37">
        <w:tab/>
        <w:t>billi hemm differenzi konsiderevoli fl-għażliet disponibbli għall-klijenti biex jiksbu rimborżi għall-vakanzi kkanċellati tagħhom; billi l-Artikolu 17 tad-Direttiva (UE) 2015/2302 jistipula li l-Istati Membri kollha għandhom jiżguraw il-protezzjoni tal-konsumatur f'każ ta' insolvenza ta' operatur;</w:t>
      </w:r>
    </w:p>
    <w:p w14:paraId="493D4EA3" w14:textId="7C4B18E9" w:rsidR="00D73899" w:rsidRPr="00962E37" w:rsidRDefault="00D73899" w:rsidP="00D73899">
      <w:pPr>
        <w:pStyle w:val="NormalHanging12a"/>
      </w:pPr>
      <w:r w:rsidRPr="00962E37">
        <w:t>M.</w:t>
      </w:r>
      <w:r w:rsidRPr="00962E37">
        <w:tab/>
        <w:t>billi l-Parlament diġà adotta l-pożizzjoni tiegħu dwar ir-reviżjoni tar-Regolament 261/2004 fil-5 ta' Frar 2014</w:t>
      </w:r>
      <w:r w:rsidR="00170CBC" w:rsidRPr="00962E37">
        <w:rPr>
          <w:rStyle w:val="FootnoteReference"/>
        </w:rPr>
        <w:footnoteReference w:id="9"/>
      </w:r>
      <w:r w:rsidRPr="00962E37">
        <w:t>, għalkemm in-negozjati bejn il-Parlament u l-Kunsill għadhom ma bdewx peress li l-fajl ġie imblukkat fil-Kunsill;</w:t>
      </w:r>
    </w:p>
    <w:p w14:paraId="4FFEADE9" w14:textId="77777777" w:rsidR="00D73899" w:rsidRPr="00962E37" w:rsidRDefault="00D73899" w:rsidP="00D73899">
      <w:pPr>
        <w:pStyle w:val="NormalHanging12a"/>
      </w:pPr>
      <w:r w:rsidRPr="00962E37">
        <w:t>N.</w:t>
      </w:r>
      <w:r w:rsidRPr="00962E37">
        <w:tab/>
        <w:t>billi ħafna konsumaturi mhumiex konxji tar-riskji finanzjarji li jiffaċċjaw f'każ ta' falliment ta' operatur turistiku;</w:t>
      </w:r>
    </w:p>
    <w:p w14:paraId="7862B6A8" w14:textId="06E57D42" w:rsidR="00D73899" w:rsidRPr="00962E37" w:rsidRDefault="00D73899" w:rsidP="00D73899">
      <w:pPr>
        <w:pStyle w:val="NormalHanging12a"/>
      </w:pPr>
      <w:r w:rsidRPr="00962E37">
        <w:t>O.</w:t>
      </w:r>
      <w:r w:rsidRPr="00962E37">
        <w:tab/>
        <w:t>billi l-konsumaturi li jibbukkjaw biljett ta' titjira direttament mhumiex protetti biżżejjed f'każ ta' insolvenza tal-linja tal-ajru, peress li l-qafas legali attwali tal-UE ma jistabbilixxi l-ebda rekwiżit dirett ta' protezzjoni mill-insolvenza għad-detenturi ta' biljetti għat-titjira biss;</w:t>
      </w:r>
    </w:p>
    <w:p w14:paraId="7E064443" w14:textId="66331FC3" w:rsidR="00D73899" w:rsidRPr="00962E37" w:rsidRDefault="00D73899" w:rsidP="00D73899">
      <w:pPr>
        <w:pStyle w:val="NormalHanging12a"/>
      </w:pPr>
      <w:r w:rsidRPr="00962E37">
        <w:t>P.</w:t>
      </w:r>
      <w:r w:rsidRPr="00962E37">
        <w:tab/>
        <w:t>billi skont l-Artikolu 9 tar-Regolament (KE) Nru 1008/2008 l-Istati Membri huma meħtieġa jieħdu azzjoni jekk ma jkunux sodisfatti bl-adegwatezza tal-kapital ta' trasportatur tal-ajru li huma jilliċenzaw, u jistgħu jikkunsidraw li jissospendu jew jirrevokaw il-liċenzja operattiva tat-trasportatur;</w:t>
      </w:r>
    </w:p>
    <w:p w14:paraId="5175BAA5" w14:textId="2A660DE6" w:rsidR="00D73899" w:rsidRPr="00962E37" w:rsidRDefault="00D73899" w:rsidP="00D73899">
      <w:pPr>
        <w:pStyle w:val="NormalHanging12a"/>
      </w:pPr>
      <w:r w:rsidRPr="00962E37">
        <w:t>Q.</w:t>
      </w:r>
      <w:r w:rsidRPr="00962E37">
        <w:tab/>
        <w:t>billi l-kapijiet eżekuttivi tat-Thomas Cook irċevew kważi EUR 22 miljun f'bonusijiet fl-aħħar ħames snin;</w:t>
      </w:r>
    </w:p>
    <w:p w14:paraId="2C8632F8" w14:textId="282FFBA2" w:rsidR="00D73899" w:rsidRPr="00962E37" w:rsidRDefault="00814BC6" w:rsidP="00D73899">
      <w:pPr>
        <w:pStyle w:val="NormalHanging12a"/>
      </w:pPr>
      <w:r w:rsidRPr="00962E37">
        <w:t>1.</w:t>
      </w:r>
      <w:r w:rsidRPr="00962E37">
        <w:tab/>
        <w:t>Jesprimi t-tħassib serju tiegħu dwar l-inkonvenjenza finanzjarja u psikoloġika li sofrew u għadhom isofru mijiet ta' eluf ta' konsumaturi u eluf ta' ħaddiema u partijiet interessati fis-settur tat-turiżmu, l-aktar l-SMEs lokali, minħabba l-falliment tat-Thomas Cook Group;</w:t>
      </w:r>
    </w:p>
    <w:p w14:paraId="335E2491" w14:textId="6AC19FA0" w:rsidR="00D73899" w:rsidRPr="00962E37" w:rsidRDefault="00D73899" w:rsidP="00D73899">
      <w:pPr>
        <w:pStyle w:val="NormalHanging12a"/>
      </w:pPr>
      <w:r w:rsidRPr="00962E37">
        <w:t>2.</w:t>
      </w:r>
      <w:r w:rsidRPr="00962E37">
        <w:tab/>
        <w:t xml:space="preserve">Jistieden lill-awtoritajiet tar-Renju Unit jiżgura li l-ħaddiema tat-Thomas Cook li </w:t>
      </w:r>
      <w:r w:rsidRPr="00962E37">
        <w:lastRenderedPageBreak/>
        <w:t>ngħataw is-sensja jitħallsulhom bis-sħiħ il-pagi li diġà ħadmu għalihom;</w:t>
      </w:r>
    </w:p>
    <w:p w14:paraId="3DADABAA" w14:textId="55A6AFC5" w:rsidR="00D73899" w:rsidRPr="00962E37" w:rsidRDefault="00D73899" w:rsidP="00D73899">
      <w:pPr>
        <w:pStyle w:val="NormalHanging12a"/>
      </w:pPr>
      <w:r w:rsidRPr="00962E37">
        <w:t>3.</w:t>
      </w:r>
      <w:r w:rsidRPr="00962E37">
        <w:tab/>
        <w:t>Jistieden lill-Kummissjoni tikkunsidra leġiżlazzjoni dwar il-protezzjoni tal-ħaddiema f'każ ta' insolvenza bil-għan li jingħatawlhom l-istess drittijiet ta' ripatrijazzjoni kif disponibbli għall-vjaġġaturi taħt il-leġiżlazzjoni tal-UE;</w:t>
      </w:r>
    </w:p>
    <w:p w14:paraId="4A9F5C31" w14:textId="571BAF1F" w:rsidR="00D73899" w:rsidRPr="00962E37" w:rsidRDefault="00D73899" w:rsidP="00D73899">
      <w:pPr>
        <w:pStyle w:val="NormalHanging12a"/>
      </w:pPr>
      <w:r w:rsidRPr="00962E37">
        <w:t>4.</w:t>
      </w:r>
      <w:r w:rsidRPr="00962E37">
        <w:tab/>
        <w:t>Jisħaq fuq il-fatt li l-waqfien ħesrem tal-operazzjonijiet mit-Thomas Cook u l-effetti negattivi riżultanti tiegħu għas-settur affettwaw serjament l-immaġni u r-reputazzjoni tal-Ewropa bħala l-ewwel destinazzjoni turistika fid-dinja;</w:t>
      </w:r>
    </w:p>
    <w:p w14:paraId="5EA0AFEC" w14:textId="5F2A342F" w:rsidR="00D73899" w:rsidRPr="00962E37" w:rsidRDefault="00D73899" w:rsidP="00D73899">
      <w:pPr>
        <w:pStyle w:val="NormalHanging12a"/>
      </w:pPr>
      <w:r w:rsidRPr="00962E37">
        <w:t>5.</w:t>
      </w:r>
      <w:r w:rsidRPr="00962E37">
        <w:tab/>
        <w:t>Jiddispjaċih ħafna li l-ħaddiema li ngħataw is-sensja ma kinux infurmati jew ikkonsultati kif xieraq; jisħaq fuq it-twemmin qawwwi tiegħu fid-djalogu soċjali fil-livelli kollha, ibbażat fuq il-fiduċja reċiproka u r-responsabbiltà kondiviża, inkwantu l-aħjar strument sabiex jinstabu soluzzjonijiet kunsenswali u approċċi miftehma meta jiġu previsti, evitati u ġestiti proċessi ta' ristrutturar; jenfasizza f'dan ir-rigward l-importanza tat-tisħiħ tal-Kunsilli Ewropej tax-Xogħlijiet;</w:t>
      </w:r>
    </w:p>
    <w:p w14:paraId="5589CEB2" w14:textId="12E91358" w:rsidR="00D73899" w:rsidRPr="00962E37" w:rsidRDefault="00D73899" w:rsidP="00D73899">
      <w:pPr>
        <w:pStyle w:val="NormalHanging12a"/>
      </w:pPr>
      <w:r w:rsidRPr="00962E37">
        <w:t>6.</w:t>
      </w:r>
      <w:r w:rsidRPr="00962E37">
        <w:tab/>
        <w:t>Jistieden lill-Istati Membri kollha milquta minn din l-insolvenza biex jagħmlu użu sħiħ mill-istrumenti disponibbli kollha, bħall-Fond Ewropew ta' Aġġustament għall-Globalizzazzjoni u l-Fond Soċjali Ewropew, biex jassistu fit-taħriġ mill-ġdid tal-ħaddiema li jkunu ngħataw is-sensja u biex jappoġġaw ir-ritorn tagħhom fis-suq tax-xogħol; ifakkar lill-Kummissjoni li l-għajnuna finanzjarja lill-ħaddiema li ngħataw is-sensja għandha tkun dinamika u għandha ssir disponibbli kemm jista' jkun malajr u kemm jista' jkun b'mod effiċjenti;</w:t>
      </w:r>
    </w:p>
    <w:p w14:paraId="22CB53F7" w14:textId="6FADFBAF" w:rsidR="00D73899" w:rsidRPr="00962E37" w:rsidRDefault="00D73899" w:rsidP="00D73899">
      <w:pPr>
        <w:pStyle w:val="NormalHanging12a"/>
      </w:pPr>
      <w:r w:rsidRPr="00962E37">
        <w:t>7.</w:t>
      </w:r>
      <w:r w:rsidRPr="00962E37">
        <w:tab/>
        <w:t>Jissottolinja li l-ħtieġa li tinħoloq intestatura baġitarja għat-turiżmu sostenibbli, kif mitlub mill-Parlament fir-riżoluzzjoni tiegħu tal-14 ta' Novembru 2018 dwar il-qafas finanzjarju pluriennali 2021-2027, fid-dawl tal-importanza tas-settur għall-ekonomiji tal-Istati Membri u bil-ħsieb li jiġu indirizzati sfidi komuni, bħall-impatt tat-tibdil fil-klima u kriżijiet oħra ta' oriġini umana b'mod ġenerali, permezz ta' mekkaniżmu għall-ġestjoni tal-kriżijiet fil-post tad-destinazzjoni u permezz tat-tisħiħ tal-kompetittività tas-settur permezz ta', fost miżuri oħra, il-promozzjoni tal-Ewropa bħala destinazzjoni turistika;</w:t>
      </w:r>
    </w:p>
    <w:p w14:paraId="6D60E147" w14:textId="4AD6551D" w:rsidR="00D73899" w:rsidRPr="00962E37" w:rsidRDefault="00D73899" w:rsidP="00D73899">
      <w:pPr>
        <w:pStyle w:val="NormalHanging12a"/>
      </w:pPr>
      <w:r w:rsidRPr="00962E37">
        <w:t>8.</w:t>
      </w:r>
      <w:r w:rsidRPr="00962E37">
        <w:tab/>
        <w:t>Jilqa' l-pjanijiet ta' kontinġenza adottati minn xi Stati Membri biex jiffaċilitaw ir-ripatrijazzjoni tal-vjaġġaturi affettwati, u biex itaffu l-effetti negattivi għan-negozji u l-ekonomiji lokali; jiddeplora, madankollu, in-nuqqas ta' qafas għal rispons Ewropew ikkoordinat għal sitwazzjonijiet simili;</w:t>
      </w:r>
    </w:p>
    <w:p w14:paraId="38AF43A0" w14:textId="7D833E89" w:rsidR="00D73899" w:rsidRPr="00962E37" w:rsidRDefault="00D73899" w:rsidP="00D73899">
      <w:pPr>
        <w:pStyle w:val="NormalHanging12a"/>
      </w:pPr>
      <w:r w:rsidRPr="00962E37">
        <w:t>9.</w:t>
      </w:r>
      <w:r w:rsidRPr="00962E37">
        <w:tab/>
        <w:t>Jilqa' b'sodisfazzjon id-deċiżjoni li jiġi pprovdut self ta' salvataġġ ta' EUR 380 miljun lill-Condor, kumpanija tal-ajru Ġermaniża tat-Thomas Cook, li ppermettiet li s-sussidjarja tevita s-sensji u tkompli bl-operat ta' titjiriet bħas-soltu; jistenna li l-gvern Ġermaniż jiżgura li s-self jitħallas lura kollu fi żmien sitt xhur, u li t-termini u l-kundizzjonijiet eżistenti għall-impjegati tal-Condor ma jmorrux għall-agħar;</w:t>
      </w:r>
    </w:p>
    <w:p w14:paraId="36C21B15" w14:textId="715CC239" w:rsidR="00D73899" w:rsidRPr="00962E37" w:rsidRDefault="00D73899" w:rsidP="00D73899">
      <w:pPr>
        <w:pStyle w:val="NormalHanging12a"/>
      </w:pPr>
      <w:r w:rsidRPr="00962E37">
        <w:t>10.</w:t>
      </w:r>
      <w:r w:rsidRPr="00962E37">
        <w:tab/>
        <w:t xml:space="preserve">Jistieden lill-awtoritajiet nazzjonali biex jistabbilixxu fond ta' kumpens nazzjonali biex jiġu żgurati r-rimborżi għall-konsumaturi li sfaw vittmi ta' dan il-falliment waqt il-vaganzi tagħhom jew li l-vjaġġ jew l-akkomodazzjoni bbukkjati tagħhom ġew ikkanċellati, jekk ma jkunu rċevew l-ebda kumpens mill-assigurazzjoni tal-insolvenza </w:t>
      </w:r>
      <w:r w:rsidRPr="00962E37">
        <w:lastRenderedPageBreak/>
        <w:t>għall-vjaġġaturi li jkunu jibbukkjaw vaganza kollox kompriż;</w:t>
      </w:r>
    </w:p>
    <w:p w14:paraId="4F95B2D2" w14:textId="7EBDD8F4" w:rsidR="00D73899" w:rsidRPr="00962E37" w:rsidRDefault="00D73899" w:rsidP="00D73899">
      <w:pPr>
        <w:pStyle w:val="NormalHanging12a"/>
      </w:pPr>
      <w:r w:rsidRPr="00962E37">
        <w:t>11.</w:t>
      </w:r>
      <w:r w:rsidRPr="00962E37">
        <w:tab/>
        <w:t>Josserva li s-sistemi ta' kumpens għall-konsumaturi f'dan il-każ ivarjaw ħafna, u għalhekk jappella għal armonizzazzjoni minima lejn 'l fuq biex jiġu żgurati l-ogħla standards tad-drittijiet tal-konsumatur fis-settur tat-trasport u tat-turiżmu;</w:t>
      </w:r>
    </w:p>
    <w:p w14:paraId="3CF9F2FD" w14:textId="053C61C6" w:rsidR="00D73899" w:rsidRPr="00962E37" w:rsidRDefault="00D73899" w:rsidP="00D73899">
      <w:pPr>
        <w:pStyle w:val="NormalHanging12a"/>
      </w:pPr>
      <w:r w:rsidRPr="00962E37">
        <w:t>12.</w:t>
      </w:r>
      <w:r w:rsidRPr="00962E37">
        <w:tab/>
        <w:t>Jistieden lill-Kummissjoni tistabbilixxi obbligu legali għat-trasportaturi tal-ajru biex joħolqu fond ta' garanzija għall-konsumaturi f'każ ta' insolvenza:</w:t>
      </w:r>
    </w:p>
    <w:p w14:paraId="5BEB9F70" w14:textId="4153FC49" w:rsidR="00D73899" w:rsidRPr="00962E37" w:rsidRDefault="00D73899" w:rsidP="00D73899">
      <w:pPr>
        <w:pStyle w:val="NormalHanging12a"/>
      </w:pPr>
      <w:r w:rsidRPr="00962E37">
        <w:t>13.</w:t>
      </w:r>
      <w:r w:rsidRPr="00962E37">
        <w:tab/>
        <w:t>Jistieden lill-Kummissjoni tistabbilixxi qafas legali għal rekwiżit dirett ta' protezzjoni mill-insolvenza għal detenturi ta' biljetti għat-titjira biss, inkluż obbligu għat-trasportaturi tal-ajru li jissottoskrivu assigurazzjoni ta' insolvenza meta japplikaw għal liċenzja operattiva;</w:t>
      </w:r>
    </w:p>
    <w:p w14:paraId="7950691F" w14:textId="77F959AD" w:rsidR="00D73899" w:rsidRPr="00962E37" w:rsidRDefault="00D73899" w:rsidP="00D73899">
      <w:pPr>
        <w:pStyle w:val="NormalHanging12a"/>
      </w:pPr>
      <w:r w:rsidRPr="00962E37">
        <w:t>14.</w:t>
      </w:r>
      <w:r w:rsidRPr="00962E37">
        <w:tab/>
        <w:t>Jinkoraġġixxi lill-awtoritajiet nazzjonali, lill-operaturi turistiċi u lill-organizzazzjonijiet tal-konsumaturi fl-Istati Membri biex b'mod xieraq u attiv jinfurmaw lill-konsumaturi dwar id-drittijiet tagħhom f'każ ta' falliment qabel ma jibbukkjaw it-titjiriet, l-akkomodazzjoni jew il-pakketti tal-ivvjaġġar;</w:t>
      </w:r>
    </w:p>
    <w:p w14:paraId="1CDDB782" w14:textId="2EC3DE84" w:rsidR="00D73899" w:rsidRPr="00962E37" w:rsidRDefault="00D73899" w:rsidP="00D73899">
      <w:pPr>
        <w:pStyle w:val="NormalHanging12a"/>
      </w:pPr>
      <w:r w:rsidRPr="00962E37">
        <w:t>15.</w:t>
      </w:r>
      <w:r w:rsidRPr="00962E37">
        <w:tab/>
        <w:t>Jistieden lill-Kunsill jimpenja ruħu li jagħti approċċ ġenerali rigward il-proposta tal-Kummissjoni dwar ir-Regolament (KE) Nru 2027/97, billi reviżjoni ta' dan ir-regolament hija meħtieġa ħafna sabiex jittejbu d-drittijiet tal-konsumatur u tingħata aktar ċertezza tad-dritt lill-konsumaturi;</w:t>
      </w:r>
    </w:p>
    <w:p w14:paraId="00D5C9C7" w14:textId="211563EF" w:rsidR="00D73899" w:rsidRPr="00962E37" w:rsidRDefault="00D73899" w:rsidP="00D73899">
      <w:pPr>
        <w:pStyle w:val="NormalHanging12a"/>
      </w:pPr>
      <w:r w:rsidRPr="00962E37">
        <w:t>16.</w:t>
      </w:r>
      <w:r w:rsidRPr="00962E37">
        <w:tab/>
        <w:t>Jitlob lill-Kummissjoni u lill-awtoritajiet kompetenti tal-Istati Membri kkonċernati biex iwettqu analiżi bir-reqqa tar-raġunijiet għall-falliment tat-Thomas Cook, sabiex jiġu antiċipati kriżijiet futuri u jiġu fformulati politiki li jnaqqsu r-riskju li jseħħu avvenimenti simili;</w:t>
      </w:r>
    </w:p>
    <w:p w14:paraId="24AA78B7" w14:textId="73224AEC" w:rsidR="00D73899" w:rsidRPr="00962E37" w:rsidRDefault="00D73899" w:rsidP="00D73899">
      <w:pPr>
        <w:pStyle w:val="NormalHanging12a"/>
      </w:pPr>
      <w:r w:rsidRPr="00962E37">
        <w:t>17.</w:t>
      </w:r>
      <w:r w:rsidRPr="00962E37">
        <w:tab/>
        <w:t>Jagħti istruzzjonijiet lill-President tiegħu biex jgħaddi din ir-riżoluzzjoni lill-Kunsill, lill-Kummissjoni u lill-gvernijiet u l-parlamenti tal-Istati Membri.</w:t>
      </w:r>
    </w:p>
    <w:p w14:paraId="3AE5B868" w14:textId="77777777" w:rsidR="00866D70" w:rsidRPr="00962E37" w:rsidRDefault="00866D70" w:rsidP="00D73899">
      <w:pPr>
        <w:pStyle w:val="NormalHanging12a"/>
      </w:pPr>
    </w:p>
    <w:sectPr w:rsidR="00866D70" w:rsidRPr="00962E37" w:rsidSect="007760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5D684" w14:textId="77777777" w:rsidR="00675502" w:rsidRPr="00962E37" w:rsidRDefault="00675502">
      <w:r w:rsidRPr="00962E37">
        <w:separator/>
      </w:r>
    </w:p>
  </w:endnote>
  <w:endnote w:type="continuationSeparator" w:id="0">
    <w:p w14:paraId="3B47D202" w14:textId="77777777" w:rsidR="00675502" w:rsidRPr="00962E37" w:rsidRDefault="00675502">
      <w:r w:rsidRPr="00962E37">
        <w:continuationSeparator/>
      </w:r>
    </w:p>
  </w:endnote>
  <w:endnote w:type="continuationNotice" w:id="1">
    <w:p w14:paraId="1FB0D6BB" w14:textId="77777777" w:rsidR="00170CBC" w:rsidRPr="00962E37" w:rsidRDefault="00170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3607" w14:textId="666857EC" w:rsidR="007760DC" w:rsidRPr="00962E37" w:rsidRDefault="007760DC" w:rsidP="007760DC">
    <w:pPr>
      <w:pStyle w:val="EPFooter"/>
    </w:pPr>
    <w:r w:rsidRPr="00962E37">
      <w:t>PE</w:t>
    </w:r>
    <w:r w:rsidRPr="00962E37">
      <w:rPr>
        <w:rStyle w:val="HideTWBExt"/>
        <w:noProof w:val="0"/>
      </w:rPr>
      <w:t>&lt;NoPE&gt;</w:t>
    </w:r>
    <w:r w:rsidRPr="00962E37">
      <w:t>637.865</w:t>
    </w:r>
    <w:r w:rsidRPr="00962E37">
      <w:rPr>
        <w:rStyle w:val="HideTWBExt"/>
        <w:noProof w:val="0"/>
      </w:rPr>
      <w:t>&lt;/NoPE&gt;&lt;Version&gt;</w:t>
    </w:r>
    <w:r w:rsidRPr="00962E37">
      <w:t>v01-00</w:t>
    </w:r>
    <w:r w:rsidRPr="00962E37">
      <w:rPr>
        <w:rStyle w:val="HideTWBExt"/>
        <w:noProof w:val="0"/>
      </w:rPr>
      <w:t>&lt;/Version&gt;</w:t>
    </w:r>
    <w:r w:rsidRPr="00962E37">
      <w:tab/>
    </w:r>
    <w:r w:rsidRPr="00962E37">
      <w:fldChar w:fldCharType="begin"/>
    </w:r>
    <w:r w:rsidRPr="00962E37">
      <w:instrText xml:space="preserve"> PAGE  \* MERGEFORMAT </w:instrText>
    </w:r>
    <w:r w:rsidRPr="00962E37">
      <w:fldChar w:fldCharType="separate"/>
    </w:r>
    <w:r w:rsidR="00BC21BC">
      <w:rPr>
        <w:noProof/>
      </w:rPr>
      <w:t>2</w:t>
    </w:r>
    <w:r w:rsidRPr="00962E37">
      <w:fldChar w:fldCharType="end"/>
    </w:r>
    <w:r w:rsidRPr="00962E37">
      <w:t>/</w:t>
    </w:r>
    <w:fldSimple w:instr=" NUMPAGES  \* MERGEFORMAT ">
      <w:r w:rsidR="00BC21BC">
        <w:rPr>
          <w:noProof/>
        </w:rPr>
        <w:t>6</w:t>
      </w:r>
    </w:fldSimple>
    <w:r w:rsidRPr="00962E37">
      <w:tab/>
    </w:r>
    <w:r w:rsidRPr="00962E37">
      <w:rPr>
        <w:rStyle w:val="HideTWBExt"/>
        <w:noProof w:val="0"/>
      </w:rPr>
      <w:t>&lt;PathFdR&gt;</w:t>
    </w:r>
    <w:r w:rsidRPr="00962E37">
      <w:t>RE\1191159MT.docx</w:t>
    </w:r>
    <w:r w:rsidRPr="00962E37">
      <w:rPr>
        <w:rStyle w:val="HideTWBExt"/>
        <w:noProof w:val="0"/>
      </w:rPr>
      <w:t>&lt;/PathFdR&gt;</w:t>
    </w:r>
  </w:p>
  <w:p w14:paraId="33FDC8DC" w14:textId="4943BC48" w:rsidR="00A90219" w:rsidRPr="00962E37" w:rsidRDefault="007760DC" w:rsidP="007760DC">
    <w:pPr>
      <w:pStyle w:val="EPFooter2"/>
    </w:pPr>
    <w:r w:rsidRPr="00962E37"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D7190" w14:textId="30157559" w:rsidR="007760DC" w:rsidRPr="00962E37" w:rsidRDefault="007760DC" w:rsidP="007760DC">
    <w:pPr>
      <w:pStyle w:val="EPFooter"/>
    </w:pPr>
    <w:r w:rsidRPr="00962E37">
      <w:rPr>
        <w:rStyle w:val="HideTWBExt"/>
        <w:noProof w:val="0"/>
      </w:rPr>
      <w:t>&lt;PathFdR&gt;</w:t>
    </w:r>
    <w:r w:rsidRPr="00962E37">
      <w:t>RE\1191159MT.docx</w:t>
    </w:r>
    <w:r w:rsidRPr="00962E37">
      <w:rPr>
        <w:rStyle w:val="HideTWBExt"/>
        <w:noProof w:val="0"/>
      </w:rPr>
      <w:t>&lt;/PathFdR&gt;</w:t>
    </w:r>
    <w:r w:rsidRPr="00962E37">
      <w:tab/>
    </w:r>
    <w:r w:rsidRPr="00962E37">
      <w:fldChar w:fldCharType="begin"/>
    </w:r>
    <w:r w:rsidRPr="00962E37">
      <w:instrText xml:space="preserve"> PAGE  \* MERGEFORMAT </w:instrText>
    </w:r>
    <w:r w:rsidRPr="00962E37">
      <w:fldChar w:fldCharType="separate"/>
    </w:r>
    <w:r w:rsidR="00BC21BC">
      <w:rPr>
        <w:noProof/>
      </w:rPr>
      <w:t>3</w:t>
    </w:r>
    <w:r w:rsidRPr="00962E37">
      <w:fldChar w:fldCharType="end"/>
    </w:r>
    <w:r w:rsidRPr="00962E37">
      <w:t>/</w:t>
    </w:r>
    <w:fldSimple w:instr=" NUMPAGES  \* MERGEFORMAT ">
      <w:r w:rsidR="00BC21BC">
        <w:rPr>
          <w:noProof/>
        </w:rPr>
        <w:t>6</w:t>
      </w:r>
    </w:fldSimple>
    <w:r w:rsidRPr="00962E37">
      <w:tab/>
      <w:t>PE</w:t>
    </w:r>
    <w:r w:rsidRPr="00962E37">
      <w:rPr>
        <w:rStyle w:val="HideTWBExt"/>
        <w:noProof w:val="0"/>
      </w:rPr>
      <w:t>&lt;NoPE&gt;</w:t>
    </w:r>
    <w:r w:rsidRPr="00962E37">
      <w:t>637.865</w:t>
    </w:r>
    <w:r w:rsidRPr="00962E37">
      <w:rPr>
        <w:rStyle w:val="HideTWBExt"/>
        <w:noProof w:val="0"/>
      </w:rPr>
      <w:t>&lt;/NoPE&gt;&lt;Version&gt;</w:t>
    </w:r>
    <w:r w:rsidRPr="00962E37">
      <w:t>v01-00</w:t>
    </w:r>
    <w:r w:rsidRPr="00962E37">
      <w:rPr>
        <w:rStyle w:val="HideTWBExt"/>
        <w:noProof w:val="0"/>
      </w:rPr>
      <w:t>&lt;/Version&gt;</w:t>
    </w:r>
  </w:p>
  <w:p w14:paraId="27AEFE96" w14:textId="46976F65" w:rsidR="00A90219" w:rsidRPr="00962E37" w:rsidRDefault="007760DC" w:rsidP="007760DC">
    <w:pPr>
      <w:pStyle w:val="EPFooter2"/>
    </w:pPr>
    <w:r w:rsidRPr="00962E37">
      <w:tab/>
    </w:r>
    <w:r w:rsidRPr="00962E37"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87196" w14:textId="77777777" w:rsidR="007760DC" w:rsidRPr="00962E37" w:rsidRDefault="007760DC" w:rsidP="007760DC">
    <w:pPr>
      <w:pStyle w:val="EPFooter"/>
    </w:pPr>
    <w:r w:rsidRPr="00962E37">
      <w:rPr>
        <w:rStyle w:val="HideTWBExt"/>
        <w:noProof w:val="0"/>
      </w:rPr>
      <w:t>&lt;PathFdR&gt;</w:t>
    </w:r>
    <w:r w:rsidRPr="00962E37">
      <w:t>RE\1191159MT.docx</w:t>
    </w:r>
    <w:r w:rsidRPr="00962E37">
      <w:rPr>
        <w:rStyle w:val="HideTWBExt"/>
        <w:noProof w:val="0"/>
      </w:rPr>
      <w:t>&lt;/PathFdR&gt;</w:t>
    </w:r>
    <w:r w:rsidRPr="00962E37">
      <w:tab/>
    </w:r>
    <w:r w:rsidRPr="00962E37">
      <w:tab/>
      <w:t>PE</w:t>
    </w:r>
    <w:r w:rsidRPr="00962E37">
      <w:rPr>
        <w:rStyle w:val="HideTWBExt"/>
        <w:noProof w:val="0"/>
      </w:rPr>
      <w:t>&lt;NoPE&gt;</w:t>
    </w:r>
    <w:r w:rsidRPr="00962E37">
      <w:t>637.865</w:t>
    </w:r>
    <w:r w:rsidRPr="00962E37">
      <w:rPr>
        <w:rStyle w:val="HideTWBExt"/>
        <w:noProof w:val="0"/>
      </w:rPr>
      <w:t>&lt;/NoPE&gt;&lt;Version&gt;</w:t>
    </w:r>
    <w:r w:rsidRPr="00962E37">
      <w:t>v01-00</w:t>
    </w:r>
    <w:r w:rsidRPr="00962E37">
      <w:rPr>
        <w:rStyle w:val="HideTWBExt"/>
        <w:noProof w:val="0"/>
      </w:rPr>
      <w:t>&lt;/Version&gt;</w:t>
    </w:r>
  </w:p>
  <w:p w14:paraId="1BE4A5A6" w14:textId="351811B9" w:rsidR="00A90219" w:rsidRPr="00962E37" w:rsidRDefault="007760DC" w:rsidP="007760DC">
    <w:pPr>
      <w:pStyle w:val="EPFooter2"/>
    </w:pPr>
    <w:r w:rsidRPr="00962E37">
      <w:t>MT</w:t>
    </w:r>
    <w:r w:rsidRPr="00962E37">
      <w:tab/>
    </w:r>
    <w:r w:rsidRPr="00962E37">
      <w:rPr>
        <w:b w:val="0"/>
        <w:i/>
        <w:color w:val="C0C0C0"/>
        <w:sz w:val="22"/>
      </w:rPr>
      <w:t>Magħquda fid-diversità</w:t>
    </w:r>
    <w:r w:rsidRPr="00962E37">
      <w:tab/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88142" w14:textId="77777777" w:rsidR="00675502" w:rsidRPr="00962E37" w:rsidRDefault="00675502">
      <w:r w:rsidRPr="00962E37">
        <w:separator/>
      </w:r>
    </w:p>
  </w:footnote>
  <w:footnote w:type="continuationSeparator" w:id="0">
    <w:p w14:paraId="0FCFF147" w14:textId="77777777" w:rsidR="00675502" w:rsidRPr="00962E37" w:rsidRDefault="00675502">
      <w:r w:rsidRPr="00962E37">
        <w:continuationSeparator/>
      </w:r>
    </w:p>
  </w:footnote>
  <w:footnote w:type="continuationNotice" w:id="1">
    <w:p w14:paraId="278A7E4B" w14:textId="77777777" w:rsidR="00170CBC" w:rsidRPr="00962E37" w:rsidRDefault="00170CBC"/>
  </w:footnote>
  <w:footnote w:id="2">
    <w:p w14:paraId="2A0340C7" w14:textId="01B95711" w:rsidR="00087328" w:rsidRPr="00962E37" w:rsidRDefault="00087328">
      <w:pPr>
        <w:pStyle w:val="FootnoteText"/>
      </w:pPr>
      <w:r w:rsidRPr="00962E37">
        <w:rPr>
          <w:rStyle w:val="FootnoteReference"/>
        </w:rPr>
        <w:footnoteRef/>
      </w:r>
      <w:r w:rsidRPr="00962E37">
        <w:t xml:space="preserve"> ĠU L 326, 11.12.2015, p. 1.</w:t>
      </w:r>
    </w:p>
  </w:footnote>
  <w:footnote w:id="3">
    <w:p w14:paraId="73211D77" w14:textId="77777777" w:rsidR="00170CBC" w:rsidRPr="00962E37" w:rsidRDefault="00170CBC">
      <w:pPr>
        <w:pStyle w:val="FootnoteText"/>
      </w:pPr>
      <w:r w:rsidRPr="00962E37">
        <w:rPr>
          <w:rStyle w:val="FootnoteReference"/>
        </w:rPr>
        <w:footnoteRef/>
      </w:r>
      <w:r w:rsidRPr="00962E37">
        <w:t xml:space="preserve"> ĠU C 355, 20.10.2017, p. 71.</w:t>
      </w:r>
    </w:p>
  </w:footnote>
  <w:footnote w:id="4">
    <w:p w14:paraId="58745451" w14:textId="77777777" w:rsidR="00170CBC" w:rsidRPr="00962E37" w:rsidRDefault="00170CBC">
      <w:pPr>
        <w:pStyle w:val="FootnoteText"/>
      </w:pPr>
      <w:r w:rsidRPr="00962E37">
        <w:rPr>
          <w:rStyle w:val="FootnoteReference"/>
        </w:rPr>
        <w:footnoteRef/>
      </w:r>
      <w:r w:rsidRPr="00962E37">
        <w:t>Testi adottati, P8_TA(2018)0449.</w:t>
      </w:r>
    </w:p>
  </w:footnote>
  <w:footnote w:id="5">
    <w:p w14:paraId="01D38B76" w14:textId="77777777" w:rsidR="00170CBC" w:rsidRPr="00962E37" w:rsidRDefault="00170CBC">
      <w:pPr>
        <w:pStyle w:val="FootnoteText"/>
      </w:pPr>
      <w:r w:rsidRPr="00962E37">
        <w:rPr>
          <w:rStyle w:val="FootnoteReference"/>
        </w:rPr>
        <w:footnoteRef/>
      </w:r>
      <w:r w:rsidRPr="00962E37">
        <w:t xml:space="preserve"> ĠU L 347, 20.12.2013, p. 855.</w:t>
      </w:r>
    </w:p>
  </w:footnote>
  <w:footnote w:id="6">
    <w:p w14:paraId="2B99CDCA" w14:textId="77777777" w:rsidR="00170CBC" w:rsidRPr="00962E37" w:rsidRDefault="00170CBC">
      <w:pPr>
        <w:pStyle w:val="FootnoteText"/>
      </w:pPr>
      <w:r w:rsidRPr="00962E37">
        <w:rPr>
          <w:rStyle w:val="FootnoteReference"/>
        </w:rPr>
        <w:footnoteRef/>
      </w:r>
      <w:r w:rsidRPr="00962E37">
        <w:t xml:space="preserve"> ĠU L 46, 17.2.2004, p. 1.</w:t>
      </w:r>
    </w:p>
  </w:footnote>
  <w:footnote w:id="7">
    <w:p w14:paraId="09AB9A2C" w14:textId="6F95F13E" w:rsidR="00087328" w:rsidRPr="00962E37" w:rsidRDefault="00087328">
      <w:pPr>
        <w:pStyle w:val="FootnoteText"/>
      </w:pPr>
      <w:r w:rsidRPr="00962E37">
        <w:rPr>
          <w:rStyle w:val="FootnoteReference"/>
        </w:rPr>
        <w:footnoteRef/>
      </w:r>
      <w:r w:rsidRPr="00962E37">
        <w:t xml:space="preserve"> ĠU L 285, 17.10.1997, p. 1.</w:t>
      </w:r>
    </w:p>
  </w:footnote>
  <w:footnote w:id="8">
    <w:p w14:paraId="46788066" w14:textId="77777777" w:rsidR="00170CBC" w:rsidRPr="00962E37" w:rsidRDefault="00170CBC">
      <w:pPr>
        <w:pStyle w:val="FootnoteText"/>
      </w:pPr>
      <w:r w:rsidRPr="00962E37">
        <w:rPr>
          <w:rStyle w:val="FootnoteReference"/>
        </w:rPr>
        <w:footnoteRef/>
      </w:r>
      <w:r w:rsidRPr="00962E37">
        <w:t xml:space="preserve"> ĠU L 293, 31.10.2008, p. 3.</w:t>
      </w:r>
    </w:p>
  </w:footnote>
  <w:footnote w:id="9">
    <w:p w14:paraId="17E29483" w14:textId="77777777" w:rsidR="00170CBC" w:rsidRPr="00962E37" w:rsidRDefault="00170CBC">
      <w:pPr>
        <w:pStyle w:val="FootnoteText"/>
      </w:pPr>
      <w:r w:rsidRPr="00962E37">
        <w:rPr>
          <w:rStyle w:val="FootnoteReference"/>
        </w:rPr>
        <w:footnoteRef/>
      </w:r>
      <w:r w:rsidRPr="00962E37">
        <w:t>Testi adottati, P7_TA(2014)0092.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D1D2" w14:textId="77777777" w:rsidR="00BC21BC" w:rsidRDefault="00BC2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5CB0E" w14:textId="77777777" w:rsidR="00BC21BC" w:rsidRDefault="00BC2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0B486" w14:textId="77777777" w:rsidR="00BC21BC" w:rsidRDefault="00BC2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MNU" w:val=" 2"/>
    <w:docVar w:name="LastEditedSection" w:val=" 1"/>
    <w:docVar w:name="STATMNU" w:val=" 1"/>
    <w:docVar w:name="strSubDir" w:val="1191"/>
    <w:docVar w:name="TXTLANGUE" w:val="MT"/>
    <w:docVar w:name="TXTLANGUEMIN" w:val="mt"/>
    <w:docVar w:name="TXTNRB" w:val="0124/2019"/>
    <w:docVar w:name="TXTNRPE" w:val="637.865"/>
    <w:docVar w:name="TXTNRRSP" w:val="2019/2854"/>
    <w:docVar w:name="TXTPEorAP" w:val="PE"/>
    <w:docVar w:name="TXTROUTE" w:val="RE\1191159MT.docx"/>
    <w:docVar w:name="TXTTITLE" w:val="the Effects of the bankruptcy of Thomas Cook Group"/>
    <w:docVar w:name="TXTVERSION" w:val="01-00"/>
  </w:docVars>
  <w:rsids>
    <w:rsidRoot w:val="00675502"/>
    <w:rsid w:val="00004FD6"/>
    <w:rsid w:val="00037F46"/>
    <w:rsid w:val="00087328"/>
    <w:rsid w:val="00094DDA"/>
    <w:rsid w:val="00117781"/>
    <w:rsid w:val="00170CBC"/>
    <w:rsid w:val="001B49A3"/>
    <w:rsid w:val="001B7CFB"/>
    <w:rsid w:val="001C16A7"/>
    <w:rsid w:val="001C62C5"/>
    <w:rsid w:val="001E2450"/>
    <w:rsid w:val="00222BBB"/>
    <w:rsid w:val="002574AA"/>
    <w:rsid w:val="002B3049"/>
    <w:rsid w:val="002C7767"/>
    <w:rsid w:val="00303413"/>
    <w:rsid w:val="00323074"/>
    <w:rsid w:val="003772FA"/>
    <w:rsid w:val="00411D03"/>
    <w:rsid w:val="00412503"/>
    <w:rsid w:val="00471D62"/>
    <w:rsid w:val="00475285"/>
    <w:rsid w:val="004B5166"/>
    <w:rsid w:val="00510C80"/>
    <w:rsid w:val="00516BD3"/>
    <w:rsid w:val="00550F46"/>
    <w:rsid w:val="00552B32"/>
    <w:rsid w:val="0058312A"/>
    <w:rsid w:val="005D6861"/>
    <w:rsid w:val="005E6FDF"/>
    <w:rsid w:val="00642783"/>
    <w:rsid w:val="00654CBD"/>
    <w:rsid w:val="006726A1"/>
    <w:rsid w:val="00675502"/>
    <w:rsid w:val="006817A8"/>
    <w:rsid w:val="006A27B7"/>
    <w:rsid w:val="006F48B8"/>
    <w:rsid w:val="00706BC0"/>
    <w:rsid w:val="00723A0B"/>
    <w:rsid w:val="007760DC"/>
    <w:rsid w:val="00780A7D"/>
    <w:rsid w:val="007E1AE4"/>
    <w:rsid w:val="007E1E11"/>
    <w:rsid w:val="00814BC6"/>
    <w:rsid w:val="008278C0"/>
    <w:rsid w:val="008613FF"/>
    <w:rsid w:val="00866D70"/>
    <w:rsid w:val="008A4052"/>
    <w:rsid w:val="008D7B31"/>
    <w:rsid w:val="00907285"/>
    <w:rsid w:val="00910F7E"/>
    <w:rsid w:val="00962E37"/>
    <w:rsid w:val="00967755"/>
    <w:rsid w:val="00981ED6"/>
    <w:rsid w:val="009848FC"/>
    <w:rsid w:val="009D24DE"/>
    <w:rsid w:val="00A32337"/>
    <w:rsid w:val="00A44C41"/>
    <w:rsid w:val="00A4763A"/>
    <w:rsid w:val="00A516B8"/>
    <w:rsid w:val="00A90219"/>
    <w:rsid w:val="00B34A46"/>
    <w:rsid w:val="00B90331"/>
    <w:rsid w:val="00B96F67"/>
    <w:rsid w:val="00B97E77"/>
    <w:rsid w:val="00BC21BC"/>
    <w:rsid w:val="00BC3002"/>
    <w:rsid w:val="00BF2C2D"/>
    <w:rsid w:val="00C1062D"/>
    <w:rsid w:val="00C23264"/>
    <w:rsid w:val="00CC09D8"/>
    <w:rsid w:val="00CF0B0B"/>
    <w:rsid w:val="00D12F64"/>
    <w:rsid w:val="00D44718"/>
    <w:rsid w:val="00D73899"/>
    <w:rsid w:val="00D90D37"/>
    <w:rsid w:val="00DF7943"/>
    <w:rsid w:val="00E53167"/>
    <w:rsid w:val="00EA43FB"/>
    <w:rsid w:val="00EC05E9"/>
    <w:rsid w:val="00ED22B8"/>
    <w:rsid w:val="00F02A2C"/>
    <w:rsid w:val="00F26DE8"/>
    <w:rsid w:val="00F4455A"/>
    <w:rsid w:val="00F7050A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1A6B2"/>
  <w15:chartTrackingRefBased/>
  <w15:docId w15:val="{8607AD8B-DBAE-4303-9153-BFA94A44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18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EPComma">
    <w:name w:val="EPComma"/>
    <w:basedOn w:val="Normal"/>
    <w:rsid w:val="00DF7943"/>
    <w:pPr>
      <w:spacing w:before="480" w:after="240"/>
    </w:pPr>
  </w:style>
  <w:style w:type="paragraph" w:styleId="TOC1">
    <w:name w:val="toc 1"/>
    <w:basedOn w:val="EPComma"/>
    <w:next w:val="EPComm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Bold12a">
    <w:name w:val="NormalBold12a"/>
    <w:basedOn w:val="Normal"/>
    <w:pPr>
      <w:spacing w:after="240"/>
    </w:pPr>
    <w:rPr>
      <w:b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CoverBold">
    <w:name w:val="CoverBold"/>
    <w:basedOn w:val="Normal"/>
    <w:rsid w:val="00B90331"/>
    <w:pPr>
      <w:ind w:left="1417"/>
    </w:pPr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CoverNormal12a">
    <w:name w:val="CoverNormal12a"/>
    <w:basedOn w:val="Normal"/>
    <w:rsid w:val="00B90331"/>
    <w:pPr>
      <w:spacing w:after="240"/>
      <w:ind w:left="1418"/>
    </w:pPr>
  </w:style>
  <w:style w:type="paragraph" w:customStyle="1" w:styleId="CoverNormal24a">
    <w:name w:val="CoverNormal24a"/>
    <w:basedOn w:val="Normal"/>
    <w:rsid w:val="00B90331"/>
    <w:pPr>
      <w:spacing w:after="480"/>
      <w:ind w:left="1417"/>
    </w:pPr>
  </w:style>
  <w:style w:type="paragraph" w:customStyle="1" w:styleId="CoverDocType24a">
    <w:name w:val="CoverDocType24a"/>
    <w:basedOn w:val="Normal"/>
    <w:rsid w:val="00EC05E9"/>
    <w:pPr>
      <w:spacing w:after="48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7E1E1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E53167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CoverReference">
    <w:name w:val="CoverReference"/>
    <w:basedOn w:val="Normal"/>
    <w:rsid w:val="00094DDA"/>
    <w:pPr>
      <w:spacing w:before="1080"/>
      <w:jc w:val="right"/>
    </w:pPr>
    <w:rPr>
      <w:rFonts w:ascii="Arial" w:hAnsi="Arial" w:cs="Arial"/>
      <w:b/>
    </w:rPr>
  </w:style>
  <w:style w:type="paragraph" w:customStyle="1" w:styleId="CoverDate">
    <w:name w:val="CoverDate"/>
    <w:basedOn w:val="Normal"/>
    <w:rsid w:val="00094DDA"/>
    <w:pPr>
      <w:spacing w:before="240" w:after="1200"/>
    </w:pPr>
  </w:style>
  <w:style w:type="paragraph" w:customStyle="1" w:styleId="EPFooter">
    <w:name w:val="EPFooter"/>
    <w:basedOn w:val="Normal"/>
    <w:rsid w:val="00EC05E9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7E1E11"/>
    <w:rPr>
      <w:sz w:val="24"/>
    </w:rPr>
  </w:style>
  <w:style w:type="paragraph" w:styleId="Footer">
    <w:name w:val="footer"/>
    <w:basedOn w:val="Normal"/>
    <w:link w:val="FooterChar"/>
    <w:semiHidden/>
    <w:rsid w:val="00D73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D73899"/>
    <w:rPr>
      <w:sz w:val="24"/>
    </w:rPr>
  </w:style>
  <w:style w:type="character" w:styleId="CommentReference">
    <w:name w:val="annotation reference"/>
    <w:basedOn w:val="DefaultParagraphFont"/>
    <w:rsid w:val="00170C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CB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70CBC"/>
  </w:style>
  <w:style w:type="paragraph" w:styleId="CommentSubject">
    <w:name w:val="annotation subject"/>
    <w:basedOn w:val="CommentText"/>
    <w:next w:val="CommentText"/>
    <w:link w:val="CommentSubjectChar"/>
    <w:rsid w:val="00170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CBC"/>
    <w:rPr>
      <w:b/>
      <w:bCs/>
    </w:rPr>
  </w:style>
  <w:style w:type="paragraph" w:styleId="BalloonText">
    <w:name w:val="Balloon Text"/>
    <w:basedOn w:val="Normal"/>
    <w:link w:val="BalloonTextChar"/>
    <w:rsid w:val="00170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0CB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170CB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70CBC"/>
  </w:style>
  <w:style w:type="character" w:styleId="FootnoteReference">
    <w:name w:val="footnote reference"/>
    <w:basedOn w:val="DefaultParagraphFont"/>
    <w:rsid w:val="00170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C284-F7FB-45F2-8EA5-34ABEC21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11878</Characters>
  <Application>Microsoft Office Word</Application>
  <DocSecurity>0</DocSecurity>
  <Lines>194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LUTOVS Vladimirs</dc:creator>
  <cp:keywords/>
  <dc:description/>
  <cp:lastModifiedBy>SCIRTO GAUCI Lindsay</cp:lastModifiedBy>
  <cp:revision>2</cp:revision>
  <cp:lastPrinted>2019-10-22T10:22:00Z</cp:lastPrinted>
  <dcterms:created xsi:type="dcterms:W3CDTF">2019-10-23T15:51:00Z</dcterms:created>
  <dcterms:modified xsi:type="dcterms:W3CDTF">2019-10-23T15:51:00Z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Created with">
    <vt:lpwstr>9.8.0 Build [20191010]</vt:lpwstr>
  </property>
  <property fmtid="{D5CDD505-2E9C-101B-9397-08002B2CF9AE}" pid="4" name="LastEdited with">
    <vt:lpwstr>9.8.0 Build [20191010]</vt:lpwstr>
  </property>
  <property fmtid="{D5CDD505-2E9C-101B-9397-08002B2CF9AE}" pid="5" name="&lt;FdR&gt;">
    <vt:lpwstr>1191159</vt:lpwstr>
  </property>
  <property fmtid="{D5CDD505-2E9C-101B-9397-08002B2CF9AE}" pid="6" name="&lt;Type&gt;">
    <vt:lpwstr>RE</vt:lpwstr>
  </property>
  <property fmtid="{D5CDD505-2E9C-101B-9397-08002B2CF9AE}" pid="7" name="&lt;ModelCod&gt;">
    <vt:lpwstr>\\eiciLUXpr1\pdocep$\DocEP\DOCS\General\RE\RE_Statements.dotx(15/10/2019 07:18:29)</vt:lpwstr>
  </property>
  <property fmtid="{D5CDD505-2E9C-101B-9397-08002B2CF9AE}" pid="8" name="&lt;ModelTra&gt;">
    <vt:lpwstr>\\eiciLUXpr1\pdocep$\DocEP\TRANSFIL\EN\RE_Statements.EN(25/06/2019 12:01:00)</vt:lpwstr>
  </property>
  <property fmtid="{D5CDD505-2E9C-101B-9397-08002B2CF9AE}" pid="9" name="&lt;Model&gt;">
    <vt:lpwstr>RE_Statements</vt:lpwstr>
  </property>
  <property fmtid="{D5CDD505-2E9C-101B-9397-08002B2CF9AE}" pid="10" name="FooterPath">
    <vt:lpwstr>RE\1191159MT.docx</vt:lpwstr>
  </property>
  <property fmtid="{D5CDD505-2E9C-101B-9397-08002B2CF9AE}" pid="11" name="PE number">
    <vt:lpwstr>637.865</vt:lpwstr>
  </property>
  <property fmtid="{D5CDD505-2E9C-101B-9397-08002B2CF9AE}" pid="12" name="Bookout">
    <vt:lpwstr>OK - 2019/10/23 17:51</vt:lpwstr>
  </property>
  <property fmtid="{D5CDD505-2E9C-101B-9397-08002B2CF9AE}" pid="13" name="SubscribeElise">
    <vt:lpwstr/>
  </property>
</Properties>
</file>