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1E05C1" w14:paraId="28DAE5FE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59CA2857" w14:textId="77777777" w:rsidR="00706BC0" w:rsidRPr="001E05C1" w:rsidRDefault="00C01E22" w:rsidP="00F26DE8">
            <w:pPr>
              <w:pStyle w:val="EPName"/>
            </w:pPr>
            <w:bookmarkStart w:id="0" w:name="_GoBack"/>
            <w:bookmarkEnd w:id="0"/>
            <w:r w:rsidRPr="001E05C1">
              <w:t>Европейски парламент</w:t>
            </w:r>
          </w:p>
          <w:p w14:paraId="3B7A6DC5" w14:textId="77777777" w:rsidR="00706BC0" w:rsidRPr="001E05C1" w:rsidRDefault="00BC4AE8" w:rsidP="00BC4AE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1E05C1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62D1E213" w14:textId="77777777" w:rsidR="00706BC0" w:rsidRPr="001E05C1" w:rsidRDefault="001E2450" w:rsidP="00F26DE8">
            <w:pPr>
              <w:pStyle w:val="EPLogo"/>
            </w:pPr>
            <w:r w:rsidRPr="001E05C1">
              <w:drawing>
                <wp:inline distT="0" distB="0" distL="0" distR="0" wp14:anchorId="521C66E6" wp14:editId="26A4562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61B1C" w14:textId="77777777" w:rsidR="00E53167" w:rsidRPr="001E05C1" w:rsidRDefault="00E53167" w:rsidP="00E53167">
      <w:pPr>
        <w:pStyle w:val="LineTop"/>
      </w:pPr>
    </w:p>
    <w:p w14:paraId="153AF936" w14:textId="77777777" w:rsidR="00E53167" w:rsidRPr="001E05C1" w:rsidRDefault="00BC4AE8" w:rsidP="00E53167">
      <w:pPr>
        <w:pStyle w:val="EPBody"/>
      </w:pPr>
      <w:r w:rsidRPr="001E05C1">
        <w:t>Документ за разглеждане в заседание</w:t>
      </w:r>
    </w:p>
    <w:p w14:paraId="12773FCC" w14:textId="77777777" w:rsidR="00094DDA" w:rsidRPr="001E05C1" w:rsidRDefault="00094DDA" w:rsidP="00094DDA">
      <w:pPr>
        <w:pStyle w:val="LineBottom"/>
      </w:pPr>
    </w:p>
    <w:p w14:paraId="03D72AE9" w14:textId="77777777" w:rsidR="00094DDA" w:rsidRPr="001E05C1" w:rsidRDefault="00094DDA" w:rsidP="00094DDA">
      <w:pPr>
        <w:pStyle w:val="CoverReference"/>
      </w:pPr>
      <w:r w:rsidRPr="001E05C1">
        <w:rPr>
          <w:rStyle w:val="HideTWBExt"/>
          <w:b w:val="0"/>
          <w:noProof w:val="0"/>
        </w:rPr>
        <w:t>&lt;NoDocSe&gt;</w:t>
      </w:r>
      <w:r w:rsidRPr="001E05C1">
        <w:t>B9</w:t>
      </w:r>
      <w:r w:rsidRPr="001E05C1">
        <w:noBreakHyphen/>
        <w:t>0155/2019</w:t>
      </w:r>
      <w:r w:rsidRPr="001E05C1">
        <w:rPr>
          <w:rStyle w:val="HideTWBExt"/>
          <w:b w:val="0"/>
          <w:noProof w:val="0"/>
        </w:rPr>
        <w:t>&lt;/NoDocSe&gt;</w:t>
      </w:r>
    </w:p>
    <w:p w14:paraId="7095F027" w14:textId="77777777" w:rsidR="00094DDA" w:rsidRPr="001E05C1" w:rsidRDefault="00094DDA" w:rsidP="00094DDA">
      <w:pPr>
        <w:pStyle w:val="CoverDate"/>
      </w:pPr>
      <w:r w:rsidRPr="001E05C1">
        <w:rPr>
          <w:rStyle w:val="HideTWBExt"/>
          <w:noProof w:val="0"/>
        </w:rPr>
        <w:t>&lt;Date&gt;</w:t>
      </w:r>
      <w:r w:rsidRPr="001E05C1">
        <w:rPr>
          <w:rStyle w:val="HideTWBInt"/>
        </w:rPr>
        <w:t>{22/10/2019}</w:t>
      </w:r>
      <w:r w:rsidRPr="001E05C1">
        <w:t>22.10.2019</w:t>
      </w:r>
      <w:r w:rsidRPr="001E05C1">
        <w:rPr>
          <w:rStyle w:val="HideTWBExt"/>
          <w:noProof w:val="0"/>
        </w:rPr>
        <w:t>&lt;/Date&gt;</w:t>
      </w:r>
    </w:p>
    <w:p w14:paraId="432AFB42" w14:textId="77777777" w:rsidR="00814BC6" w:rsidRPr="001E05C1" w:rsidRDefault="00814BC6">
      <w:pPr>
        <w:pStyle w:val="CoverDocType24a"/>
      </w:pPr>
      <w:r w:rsidRPr="001E05C1">
        <w:rPr>
          <w:rStyle w:val="HideTWBExt"/>
          <w:b w:val="0"/>
          <w:noProof w:val="0"/>
        </w:rPr>
        <w:t>&lt;TitreType&gt;</w:t>
      </w:r>
      <w:r w:rsidRPr="001E05C1">
        <w:t>ПРЕДЛОЖЕНИЕ ЗА РЕЗОЛЮЦИЯ</w:t>
      </w:r>
      <w:r w:rsidRPr="001E05C1">
        <w:rPr>
          <w:rStyle w:val="HideTWBExt"/>
          <w:b w:val="0"/>
          <w:noProof w:val="0"/>
        </w:rPr>
        <w:t>&lt;/TitreType&gt;</w:t>
      </w:r>
    </w:p>
    <w:p w14:paraId="62F5ECD0" w14:textId="77777777" w:rsidR="00814BC6" w:rsidRPr="001E05C1" w:rsidRDefault="00814BC6">
      <w:pPr>
        <w:pStyle w:val="CoverNormal12a"/>
      </w:pPr>
      <w:r w:rsidRPr="001E05C1">
        <w:rPr>
          <w:rStyle w:val="HideTWBExt"/>
          <w:noProof w:val="0"/>
        </w:rPr>
        <w:t>&lt;TitreSuite&gt;</w:t>
      </w:r>
      <w:r w:rsidRPr="001E05C1">
        <w:t>за приключване на разисквания по изявления на Съвета и на Комисията</w:t>
      </w:r>
      <w:r w:rsidRPr="001E05C1">
        <w:rPr>
          <w:rStyle w:val="HideTWBExt"/>
          <w:noProof w:val="0"/>
        </w:rPr>
        <w:t>&lt;/TitreSuite&gt;</w:t>
      </w:r>
    </w:p>
    <w:p w14:paraId="0F8ADF9A" w14:textId="77777777" w:rsidR="00814BC6" w:rsidRPr="001E05C1" w:rsidRDefault="00814BC6">
      <w:pPr>
        <w:pStyle w:val="CoverNormal12a"/>
      </w:pPr>
      <w:r w:rsidRPr="001E05C1">
        <w:rPr>
          <w:rStyle w:val="HideTWBExt"/>
          <w:noProof w:val="0"/>
        </w:rPr>
        <w:t>&lt;TitreRecueil&gt;</w:t>
      </w:r>
      <w:r w:rsidRPr="001E05C1">
        <w:t>внесено съгласно член 132, параграф 2 от Правилника за дейността</w:t>
      </w:r>
      <w:r w:rsidRPr="001E05C1">
        <w:rPr>
          <w:rStyle w:val="HideTWBExt"/>
          <w:noProof w:val="0"/>
        </w:rPr>
        <w:t>&lt;/TitreRecueil&gt;</w:t>
      </w:r>
    </w:p>
    <w:p w14:paraId="5DB0C9F8" w14:textId="77777777" w:rsidR="00C23264" w:rsidRPr="001E05C1" w:rsidRDefault="00C23264" w:rsidP="00C23264">
      <w:pPr>
        <w:pStyle w:val="CoverNormal"/>
      </w:pPr>
      <w:r w:rsidRPr="001E05C1">
        <w:rPr>
          <w:rStyle w:val="HideTWBExt"/>
          <w:noProof w:val="0"/>
        </w:rPr>
        <w:t>&lt;Titre&gt;</w:t>
      </w:r>
      <w:r w:rsidRPr="001E05C1">
        <w:t>относно започването на преговори за присъединяване със Северна Македония и Албания</w:t>
      </w:r>
      <w:r w:rsidRPr="001E05C1">
        <w:rPr>
          <w:rStyle w:val="HideTWBExt"/>
          <w:noProof w:val="0"/>
        </w:rPr>
        <w:t>&lt;/Titre&gt;</w:t>
      </w:r>
    </w:p>
    <w:p w14:paraId="624123AE" w14:textId="77777777" w:rsidR="00C23264" w:rsidRPr="001E05C1" w:rsidRDefault="00C23264" w:rsidP="00C23264">
      <w:pPr>
        <w:pStyle w:val="CoverNormal24a"/>
      </w:pPr>
      <w:r w:rsidRPr="001E05C1">
        <w:rPr>
          <w:rStyle w:val="HideTWBExt"/>
          <w:noProof w:val="0"/>
        </w:rPr>
        <w:t>&lt;DocRef&gt;</w:t>
      </w:r>
      <w:r w:rsidRPr="001E05C1">
        <w:t>(2019/2883(RSP))</w:t>
      </w:r>
      <w:r w:rsidRPr="001E05C1">
        <w:rPr>
          <w:rStyle w:val="HideTWBExt"/>
          <w:noProof w:val="0"/>
        </w:rPr>
        <w:t>&lt;/DocRef&gt;</w:t>
      </w:r>
    </w:p>
    <w:p w14:paraId="7802BC53" w14:textId="77777777" w:rsidR="002574AA" w:rsidRPr="001E05C1" w:rsidRDefault="002574AA" w:rsidP="002574AA">
      <w:pPr>
        <w:pStyle w:val="CoverBold"/>
      </w:pPr>
      <w:r w:rsidRPr="001E05C1">
        <w:rPr>
          <w:rStyle w:val="HideTWBExt"/>
          <w:b w:val="0"/>
          <w:noProof w:val="0"/>
        </w:rPr>
        <w:t>&lt;RepeatBlock-By&gt;&lt;Depute&gt;</w:t>
      </w:r>
      <w:r w:rsidRPr="001E05C1">
        <w:t>Йорг Мойтен, Ларс Патрик Берг, Гидо Райл</w:t>
      </w:r>
      <w:r w:rsidRPr="001E05C1">
        <w:rPr>
          <w:rStyle w:val="HideTWBExt"/>
          <w:b w:val="0"/>
          <w:noProof w:val="0"/>
          <w:color w:val="auto"/>
        </w:rPr>
        <w:t>&lt;/Depute&gt;</w:t>
      </w:r>
    </w:p>
    <w:p w14:paraId="1BFFAE7F" w14:textId="77777777" w:rsidR="002574AA" w:rsidRPr="001E05C1" w:rsidRDefault="002574AA" w:rsidP="002574AA">
      <w:pPr>
        <w:pStyle w:val="CoverNormal"/>
      </w:pPr>
      <w:r w:rsidRPr="001E05C1">
        <w:rPr>
          <w:rStyle w:val="HideTWBExt"/>
          <w:noProof w:val="0"/>
        </w:rPr>
        <w:t>&lt;Commission&gt;</w:t>
      </w:r>
      <w:r w:rsidRPr="001E05C1">
        <w:rPr>
          <w:rStyle w:val="HideTWBInt"/>
        </w:rPr>
        <w:t>{ID}</w:t>
      </w:r>
      <w:r w:rsidRPr="001E05C1">
        <w:t>от името на групата ID</w:t>
      </w:r>
      <w:r w:rsidRPr="001E05C1">
        <w:rPr>
          <w:rStyle w:val="HideTWBExt"/>
          <w:noProof w:val="0"/>
        </w:rPr>
        <w:t>&lt;/Commission&gt;</w:t>
      </w:r>
    </w:p>
    <w:p w14:paraId="3AD5F8CE" w14:textId="77777777" w:rsidR="002574AA" w:rsidRPr="001E05C1" w:rsidRDefault="002574AA" w:rsidP="002574AA">
      <w:pPr>
        <w:pStyle w:val="CoverNormal"/>
      </w:pPr>
      <w:r w:rsidRPr="001E05C1">
        <w:rPr>
          <w:rStyle w:val="HideTWBExt"/>
          <w:noProof w:val="0"/>
        </w:rPr>
        <w:t>&lt;/RepeatBlock-By&gt;</w:t>
      </w:r>
    </w:p>
    <w:p w14:paraId="3DB6D94B" w14:textId="77777777" w:rsidR="00814BC6" w:rsidRPr="001E05C1" w:rsidRDefault="00814BC6">
      <w:pPr>
        <w:pStyle w:val="NormalBold12a"/>
      </w:pPr>
      <w:r w:rsidRPr="001E05C1">
        <w:br w:type="page"/>
      </w:r>
      <w:r w:rsidRPr="001E05C1">
        <w:lastRenderedPageBreak/>
        <w:t>B9</w:t>
      </w:r>
      <w:r w:rsidRPr="001E05C1">
        <w:noBreakHyphen/>
        <w:t>0155/2019</w:t>
      </w:r>
    </w:p>
    <w:p w14:paraId="2ABADFA6" w14:textId="77777777" w:rsidR="00C23264" w:rsidRPr="001E05C1" w:rsidRDefault="00C01E22" w:rsidP="00C23264">
      <w:pPr>
        <w:pStyle w:val="NormalBold"/>
      </w:pPr>
      <w:r w:rsidRPr="001E05C1">
        <w:t>Резолюция на Европейския парламент относно започването на преговори за присъединяване със Северна Македония и Албания</w:t>
      </w:r>
    </w:p>
    <w:p w14:paraId="5E22AF21" w14:textId="68B45109" w:rsidR="00C23264" w:rsidRPr="001E05C1" w:rsidRDefault="00C01E22" w:rsidP="00DF7943">
      <w:pPr>
        <w:pStyle w:val="NormalBold"/>
      </w:pPr>
      <w:r w:rsidRPr="001E05C1">
        <w:t>(2019/2883(RSP))</w:t>
      </w:r>
    </w:p>
    <w:p w14:paraId="6895B4DD" w14:textId="477A713D" w:rsidR="002333EF" w:rsidRPr="001E05C1" w:rsidRDefault="002333EF" w:rsidP="00DF7943">
      <w:pPr>
        <w:pStyle w:val="NormalBold"/>
        <w:rPr>
          <w:b w:val="0"/>
        </w:rPr>
      </w:pPr>
    </w:p>
    <w:p w14:paraId="3F57035B" w14:textId="77777777" w:rsidR="002333EF" w:rsidRPr="001E05C1" w:rsidRDefault="002333EF" w:rsidP="00DF7943">
      <w:pPr>
        <w:pStyle w:val="NormalBold"/>
        <w:rPr>
          <w:b w:val="0"/>
        </w:rPr>
      </w:pPr>
    </w:p>
    <w:p w14:paraId="73A57E4B" w14:textId="77777777" w:rsidR="008D4F9C" w:rsidRPr="001E05C1" w:rsidRDefault="00C01E22" w:rsidP="008D4F9C">
      <w:pPr>
        <w:pStyle w:val="NormalHanging12a"/>
        <w:rPr>
          <w:i/>
          <w:color w:val="000000"/>
        </w:rPr>
      </w:pPr>
      <w:r w:rsidRPr="001E05C1">
        <w:rPr>
          <w:i/>
        </w:rPr>
        <w:t>Европейският парламент,</w:t>
      </w:r>
    </w:p>
    <w:p w14:paraId="2EEB065F" w14:textId="7A437EA5" w:rsidR="008D4F9C" w:rsidRPr="001E05C1" w:rsidRDefault="00814BC6" w:rsidP="008D4F9C">
      <w:pPr>
        <w:pStyle w:val="NormalHanging12a"/>
        <w:rPr>
          <w:color w:val="000000"/>
        </w:rPr>
      </w:pPr>
      <w:r w:rsidRPr="001E05C1">
        <w:rPr>
          <w:color w:val="000000"/>
        </w:rPr>
        <w:t>–</w:t>
      </w:r>
      <w:r w:rsidRPr="001E05C1">
        <w:rPr>
          <w:color w:val="000000"/>
        </w:rPr>
        <w:tab/>
        <w:t>като взе предвид решението на Европейския съвет от 17 октомври 2019 г. да забави започването на преговорите за присъединяване с Албания и Северна Македония,</w:t>
      </w:r>
    </w:p>
    <w:p w14:paraId="09603F8F" w14:textId="77777777" w:rsidR="008D4F9C" w:rsidRPr="001E05C1" w:rsidRDefault="00BC4AE8" w:rsidP="008D4F9C">
      <w:pPr>
        <w:pStyle w:val="NormalHanging12a"/>
        <w:rPr>
          <w:color w:val="000000"/>
        </w:rPr>
      </w:pPr>
      <w:r w:rsidRPr="001E05C1">
        <w:rPr>
          <w:color w:val="000000"/>
        </w:rPr>
        <w:t>–</w:t>
      </w:r>
      <w:r w:rsidRPr="001E05C1">
        <w:rPr>
          <w:color w:val="000000"/>
        </w:rPr>
        <w:tab/>
        <w:t>като взе предвид изявленията на Комисията и на Съвета от 23 октомври 2019 г. относно започването на преговори за присъединяване със Северна Македония и Албания,</w:t>
      </w:r>
    </w:p>
    <w:p w14:paraId="4C730AA5" w14:textId="77777777" w:rsidR="008D4F9C" w:rsidRPr="001E05C1" w:rsidRDefault="00ED22B8" w:rsidP="008D4F9C">
      <w:pPr>
        <w:pStyle w:val="NormalHanging12a"/>
        <w:rPr>
          <w:color w:val="000000"/>
        </w:rPr>
      </w:pPr>
      <w:r w:rsidRPr="001E05C1">
        <w:rPr>
          <w:color w:val="000000"/>
        </w:rPr>
        <w:t>–</w:t>
      </w:r>
      <w:r w:rsidRPr="001E05C1">
        <w:rPr>
          <w:color w:val="000000"/>
        </w:rPr>
        <w:tab/>
        <w:t>като взе предвид член 132, параграф 2 от своя Правилник за дейността,</w:t>
      </w:r>
    </w:p>
    <w:p w14:paraId="746C3088" w14:textId="77777777" w:rsidR="008D4F9C" w:rsidRPr="001E05C1" w:rsidRDefault="00814BC6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А.</w:t>
      </w:r>
      <w:r w:rsidRPr="001E05C1">
        <w:rPr>
          <w:color w:val="000000"/>
        </w:rPr>
        <w:tab/>
        <w:t>като има предвид, че в продължение на две последователни години Комисията заключи, че и двете държави са готови да започнат преговори за присъединяване;</w:t>
      </w:r>
    </w:p>
    <w:p w14:paraId="758ED461" w14:textId="77777777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Б.</w:t>
      </w:r>
      <w:r w:rsidRPr="001E05C1">
        <w:rPr>
          <w:color w:val="000000"/>
        </w:rPr>
        <w:tab/>
        <w:t>като има предвид, че Европейският съвет отказва да даде зелена светлина за започването на преговори за присъединяване;</w:t>
      </w:r>
    </w:p>
    <w:p w14:paraId="03767A90" w14:textId="63B15A57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В.</w:t>
      </w:r>
      <w:r w:rsidRPr="001E05C1">
        <w:rPr>
          <w:color w:val="000000"/>
        </w:rPr>
        <w:tab/>
        <w:t>като има предвид, че отказът на Европейския съвет отразява загрижеността на държавите членки относно сигурността и благосъстоянието на техните граждани и относно правилното използване на техните системи за социална закрила;</w:t>
      </w:r>
    </w:p>
    <w:p w14:paraId="73489A63" w14:textId="2A94FDCC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1.</w:t>
      </w:r>
      <w:r w:rsidRPr="001E05C1">
        <w:rPr>
          <w:color w:val="000000"/>
        </w:rPr>
        <w:tab/>
        <w:t>приветства решението на Европейския съвет;</w:t>
      </w:r>
    </w:p>
    <w:p w14:paraId="4357AB05" w14:textId="5E1B014F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2.</w:t>
      </w:r>
      <w:r w:rsidRPr="001E05C1">
        <w:rPr>
          <w:color w:val="000000"/>
        </w:rPr>
        <w:tab/>
        <w:t>подчертава, че икономическото положение в Албания и Северна Македония е потресаващо, не отговаря на европейските стандарти и се характеризира с висока безработица и много ниски заплати;</w:t>
      </w:r>
    </w:p>
    <w:p w14:paraId="1548BDC1" w14:textId="30F903FC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3.</w:t>
      </w:r>
      <w:r w:rsidRPr="001E05C1">
        <w:rPr>
          <w:color w:val="000000"/>
        </w:rPr>
        <w:tab/>
        <w:t>отбелязва, че институциите в Албания и Северна Македония са много уязвими и че е постигнат много малко напредък в реформата на съдебната система, насочена към повишаване на независимостта, отчетността и професионализма на съдебните институции;</w:t>
      </w:r>
    </w:p>
    <w:p w14:paraId="22A44DE9" w14:textId="05C3BFF2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4.</w:t>
      </w:r>
      <w:r w:rsidRPr="001E05C1">
        <w:rPr>
          <w:color w:val="000000"/>
        </w:rPr>
        <w:tab/>
        <w:t>отбелязва със загриженост, че е постигнат много малко напредък в борбата с корупцията и с организираната престъпност, които са широко разпространени;</w:t>
      </w:r>
    </w:p>
    <w:p w14:paraId="144DB159" w14:textId="7CB43DA9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5.</w:t>
      </w:r>
      <w:r w:rsidRPr="001E05C1">
        <w:rPr>
          <w:color w:val="000000"/>
        </w:rPr>
        <w:tab/>
        <w:t>подчертава, че корупцията по високите етажи на властта, сериозните недостатъци в областта на принципите на правовата държава и тромавите регулаторни процедури продължават да възпират инвестициите в Албания и в Северна Македония и възпрепятстват тяхното развитие;</w:t>
      </w:r>
    </w:p>
    <w:p w14:paraId="039964AC" w14:textId="257BD081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6.</w:t>
      </w:r>
      <w:r w:rsidRPr="001E05C1">
        <w:rPr>
          <w:color w:val="000000"/>
        </w:rPr>
        <w:tab/>
        <w:t>подчертава, че Албания и Северна Македония изпълняват особено слабо политиките си в областта на образованието и заетостта;</w:t>
      </w:r>
    </w:p>
    <w:p w14:paraId="2EB7DCF2" w14:textId="1BD0A922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lastRenderedPageBreak/>
        <w:t>7.</w:t>
      </w:r>
      <w:r w:rsidRPr="001E05C1">
        <w:rPr>
          <w:color w:val="000000"/>
        </w:rPr>
        <w:tab/>
        <w:t>отбелязва, че изключително високите равнища на недоволство на гражданите в Албания и в Северна Македония от положението в техните държави са отразени в желанието за емигриране на много от гражданите им; подчертава, че според последното проучване на Галъп в световен мащаб 60% от пълнолетното население в Албания иска да напусне страната</w:t>
      </w:r>
      <w:r w:rsidR="005B2E5A" w:rsidRPr="001E05C1">
        <w:rPr>
          <w:rStyle w:val="FootnoteReference"/>
          <w:color w:val="000000"/>
        </w:rPr>
        <w:footnoteReference w:id="2"/>
      </w:r>
      <w:r w:rsidRPr="001E05C1">
        <w:rPr>
          <w:color w:val="000000"/>
        </w:rPr>
        <w:t>;</w:t>
      </w:r>
    </w:p>
    <w:p w14:paraId="5EA40E2C" w14:textId="16D34CDF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8.</w:t>
      </w:r>
      <w:r w:rsidRPr="001E05C1">
        <w:rPr>
          <w:color w:val="000000"/>
        </w:rPr>
        <w:tab/>
        <w:t>подчертава, че и двете държави са засегнати от изтичане на мозъци и че в гореспоменатото проучване Албания е начело на тази класация; във връзка с това отбелязва, че 32% от високообразованите млади хора в Албания и 30% от същата група в Северна Македония искат да напуснат страната си; подчертава, че изтичането на мозъци ще има допълнителни сериозни последици за производителността, тъй като в Албания и в Северна Македония ще остане ниско квалифицирана работна сила;</w:t>
      </w:r>
    </w:p>
    <w:p w14:paraId="56C09B27" w14:textId="12D3CD98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9.</w:t>
      </w:r>
      <w:r w:rsidRPr="001E05C1">
        <w:rPr>
          <w:color w:val="000000"/>
        </w:rPr>
        <w:tab/>
        <w:t>отбелязва, че правителствата на Албания и Северна Македония все още не са предложили план за противодействие на тази тенденция и за променяне на положението;</w:t>
      </w:r>
    </w:p>
    <w:p w14:paraId="360D19F6" w14:textId="785A819F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10.</w:t>
      </w:r>
      <w:r w:rsidRPr="001E05C1">
        <w:rPr>
          <w:color w:val="000000"/>
        </w:rPr>
        <w:tab/>
        <w:t>изразява съжаление, че Комисията все още не се е поучила от предишните си политики; във връзка с това отбелязва, че присъединяването на Румъния и България не само доведе до изтичане на мозъци, но също така и до преместването на голям брой бедни мигранти в по-богати държави в Западна и Северна Европа; подчертава, че това доведе до много социални проблеми в градовете и държавите;</w:t>
      </w:r>
    </w:p>
    <w:p w14:paraId="2FA9B056" w14:textId="52E4CCAC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11.</w:t>
      </w:r>
      <w:r w:rsidRPr="001E05C1">
        <w:rPr>
          <w:color w:val="000000"/>
        </w:rPr>
        <w:tab/>
        <w:t>отбелязва, че 12 години след присъединяването си Румъния и България все още са част от Механизма за сътрудничество и проверка – преходен инструмент за мониторинг и оказване на помощ на двете държави в областта на съдебната реформа и борбата с корупцията и организираната престъпност;</w:t>
      </w:r>
    </w:p>
    <w:p w14:paraId="1BDE8F0A" w14:textId="6C34FEE0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12.</w:t>
      </w:r>
      <w:r w:rsidRPr="001E05C1">
        <w:rPr>
          <w:color w:val="000000"/>
        </w:rPr>
        <w:tab/>
        <w:t>отбелязва, че Румъния и България все още имат сериозни проблеми по отношение на усвояването на средства от ЕС, главно поради корупция и липса на административен капацитет;</w:t>
      </w:r>
    </w:p>
    <w:p w14:paraId="44222429" w14:textId="0C5E2109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13.</w:t>
      </w:r>
      <w:r w:rsidRPr="001E05C1">
        <w:rPr>
          <w:color w:val="000000"/>
        </w:rPr>
        <w:tab/>
        <w:t>призовава Европейския съвет, с оглед на тези въпроси и основни проблеми, да спре перспективата за провеждане на преговори за присъединяване и да поиска предложение на Комисията за ново партньорство с тези държави;</w:t>
      </w:r>
    </w:p>
    <w:p w14:paraId="6CD21534" w14:textId="71F4815D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14.</w:t>
      </w:r>
      <w:r w:rsidRPr="001E05C1">
        <w:rPr>
          <w:color w:val="000000"/>
        </w:rPr>
        <w:tab/>
        <w:t>подчертава, че Албания и Северна Македония се възползваха от финансова помощ по линия на Инструмента за предприсъединителна помощ I (ИПП I 2007 – 2013 г.) и получават финансиране по ИПП II (2014 – 2020 г.) , както и че ще бъдат създадени други финансови инструменти по ИПП III (2021 – 2027 г.);</w:t>
      </w:r>
    </w:p>
    <w:p w14:paraId="528463B3" w14:textId="5A4A64E4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15.</w:t>
      </w:r>
      <w:r w:rsidRPr="001E05C1">
        <w:rPr>
          <w:color w:val="000000"/>
        </w:rPr>
        <w:tab/>
        <w:t>призовава Комисията да наблюдава използването на финансирането в Северна Македония и да представи подробен доклад на Парламента;</w:t>
      </w:r>
    </w:p>
    <w:p w14:paraId="3BF1B4F3" w14:textId="77777777" w:rsidR="008D4F9C" w:rsidRPr="001E05C1" w:rsidRDefault="00BC4AE8" w:rsidP="008D4F9C">
      <w:pPr>
        <w:pStyle w:val="NormalHanging12a"/>
        <w:rPr>
          <w:color w:val="000000"/>
          <w:spacing w:val="-2"/>
          <w:szCs w:val="24"/>
        </w:rPr>
      </w:pPr>
      <w:r w:rsidRPr="001E05C1">
        <w:rPr>
          <w:color w:val="000000"/>
        </w:rPr>
        <w:t>16.</w:t>
      </w:r>
      <w:r w:rsidRPr="001E05C1">
        <w:rPr>
          <w:color w:val="000000"/>
        </w:rPr>
        <w:tab/>
        <w:t>възлага на своя председател да предаде настоящата резолюция съответно на Комисията, на Съвета, на правителствата и парламентите на държавите членки, както и на правителствата и парламентите на Албания и Северна Македония.</w:t>
      </w:r>
    </w:p>
    <w:sectPr w:rsidR="008D4F9C" w:rsidRPr="001E05C1" w:rsidSect="001E0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A285" w14:textId="77777777" w:rsidR="00C01E22" w:rsidRPr="001E05C1" w:rsidRDefault="00C01E22">
      <w:r w:rsidRPr="001E05C1">
        <w:separator/>
      </w:r>
    </w:p>
  </w:endnote>
  <w:endnote w:type="continuationSeparator" w:id="0">
    <w:p w14:paraId="761FF9EC" w14:textId="77777777" w:rsidR="00C01E22" w:rsidRPr="001E05C1" w:rsidRDefault="00C01E22">
      <w:r w:rsidRPr="001E05C1">
        <w:continuationSeparator/>
      </w:r>
    </w:p>
  </w:endnote>
  <w:endnote w:type="continuationNotice" w:id="1">
    <w:p w14:paraId="485B0B8F" w14:textId="77777777" w:rsidR="00240DFD" w:rsidRPr="001E05C1" w:rsidRDefault="00240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C8F1" w14:textId="0C5BB633" w:rsidR="001E05C1" w:rsidRPr="001E05C1" w:rsidRDefault="001E05C1" w:rsidP="001E05C1">
    <w:pPr>
      <w:pStyle w:val="EPFooter"/>
    </w:pPr>
    <w:r w:rsidRPr="001E05C1">
      <w:t>PE</w:t>
    </w:r>
    <w:r w:rsidRPr="001E05C1">
      <w:rPr>
        <w:rStyle w:val="HideTWBExt"/>
        <w:noProof w:val="0"/>
      </w:rPr>
      <w:t>&lt;NoPE&gt;</w:t>
    </w:r>
    <w:r w:rsidRPr="001E05C1">
      <w:t>643.321</w:t>
    </w:r>
    <w:r w:rsidRPr="001E05C1">
      <w:rPr>
        <w:rStyle w:val="HideTWBExt"/>
        <w:noProof w:val="0"/>
      </w:rPr>
      <w:t>&lt;/NoPE&gt;&lt;Version&gt;</w:t>
    </w:r>
    <w:r w:rsidRPr="001E05C1">
      <w:t>v01-00</w:t>
    </w:r>
    <w:r w:rsidRPr="001E05C1">
      <w:rPr>
        <w:rStyle w:val="HideTWBExt"/>
        <w:noProof w:val="0"/>
      </w:rPr>
      <w:t>&lt;/Version&gt;</w:t>
    </w:r>
    <w:r w:rsidRPr="001E05C1">
      <w:tab/>
    </w:r>
    <w:r w:rsidRPr="001E05C1">
      <w:fldChar w:fldCharType="begin"/>
    </w:r>
    <w:r w:rsidRPr="001E05C1">
      <w:instrText xml:space="preserve"> PAGE  \* MERGEFORMAT </w:instrText>
    </w:r>
    <w:r w:rsidRPr="001E05C1">
      <w:fldChar w:fldCharType="separate"/>
    </w:r>
    <w:r w:rsidR="002565BB">
      <w:rPr>
        <w:noProof/>
      </w:rPr>
      <w:t>2</w:t>
    </w:r>
    <w:r w:rsidRPr="001E05C1">
      <w:fldChar w:fldCharType="end"/>
    </w:r>
    <w:r w:rsidRPr="001E05C1">
      <w:t>/</w:t>
    </w:r>
    <w:fldSimple w:instr=" NUMPAGES  \* MERGEFORMAT ">
      <w:r w:rsidR="002565BB">
        <w:rPr>
          <w:noProof/>
        </w:rPr>
        <w:t>4</w:t>
      </w:r>
    </w:fldSimple>
    <w:r w:rsidRPr="001E05C1">
      <w:tab/>
    </w:r>
    <w:r w:rsidRPr="001E05C1">
      <w:rPr>
        <w:rStyle w:val="HideTWBExt"/>
        <w:noProof w:val="0"/>
      </w:rPr>
      <w:t>&lt;PathFdR&gt;</w:t>
    </w:r>
    <w:r w:rsidRPr="001E05C1">
      <w:t>RE\1191195BG.docx</w:t>
    </w:r>
    <w:r w:rsidRPr="001E05C1">
      <w:rPr>
        <w:rStyle w:val="HideTWBExt"/>
        <w:noProof w:val="0"/>
      </w:rPr>
      <w:t>&lt;/PathFdR&gt;</w:t>
    </w:r>
  </w:p>
  <w:p w14:paraId="7E4D79F9" w14:textId="45F70652" w:rsidR="00A90219" w:rsidRPr="001E05C1" w:rsidRDefault="001E05C1" w:rsidP="001E05C1">
    <w:pPr>
      <w:pStyle w:val="EPFooter2"/>
    </w:pPr>
    <w:r w:rsidRPr="001E05C1">
      <w:t>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525A" w14:textId="482B4663" w:rsidR="001E05C1" w:rsidRPr="001E05C1" w:rsidRDefault="001E05C1" w:rsidP="001E05C1">
    <w:pPr>
      <w:pStyle w:val="EPFooter"/>
    </w:pPr>
    <w:r w:rsidRPr="001E05C1">
      <w:rPr>
        <w:rStyle w:val="HideTWBExt"/>
        <w:noProof w:val="0"/>
      </w:rPr>
      <w:t>&lt;PathFdR&gt;</w:t>
    </w:r>
    <w:r w:rsidRPr="001E05C1">
      <w:t>RE\1191195BG.docx</w:t>
    </w:r>
    <w:r w:rsidRPr="001E05C1">
      <w:rPr>
        <w:rStyle w:val="HideTWBExt"/>
        <w:noProof w:val="0"/>
      </w:rPr>
      <w:t>&lt;/PathFdR&gt;</w:t>
    </w:r>
    <w:r w:rsidRPr="001E05C1">
      <w:tab/>
    </w:r>
    <w:r w:rsidRPr="001E05C1">
      <w:fldChar w:fldCharType="begin"/>
    </w:r>
    <w:r w:rsidRPr="001E05C1">
      <w:instrText xml:space="preserve"> PAGE  \* MERGEFORMAT </w:instrText>
    </w:r>
    <w:r w:rsidRPr="001E05C1">
      <w:fldChar w:fldCharType="separate"/>
    </w:r>
    <w:r w:rsidR="002565BB">
      <w:rPr>
        <w:noProof/>
      </w:rPr>
      <w:t>4</w:t>
    </w:r>
    <w:r w:rsidRPr="001E05C1">
      <w:fldChar w:fldCharType="end"/>
    </w:r>
    <w:r w:rsidRPr="001E05C1">
      <w:t>/</w:t>
    </w:r>
    <w:fldSimple w:instr=" NUMPAGES  \* MERGEFORMAT ">
      <w:r w:rsidR="002565BB">
        <w:rPr>
          <w:noProof/>
        </w:rPr>
        <w:t>4</w:t>
      </w:r>
    </w:fldSimple>
    <w:r w:rsidRPr="001E05C1">
      <w:tab/>
      <w:t>PE</w:t>
    </w:r>
    <w:r w:rsidRPr="001E05C1">
      <w:rPr>
        <w:rStyle w:val="HideTWBExt"/>
        <w:noProof w:val="0"/>
      </w:rPr>
      <w:t>&lt;NoPE&gt;</w:t>
    </w:r>
    <w:r w:rsidRPr="001E05C1">
      <w:t>643.321</w:t>
    </w:r>
    <w:r w:rsidRPr="001E05C1">
      <w:rPr>
        <w:rStyle w:val="HideTWBExt"/>
        <w:noProof w:val="0"/>
      </w:rPr>
      <w:t>&lt;/NoPE&gt;&lt;Version&gt;</w:t>
    </w:r>
    <w:r w:rsidRPr="001E05C1">
      <w:t>v01-00</w:t>
    </w:r>
    <w:r w:rsidRPr="001E05C1">
      <w:rPr>
        <w:rStyle w:val="HideTWBExt"/>
        <w:noProof w:val="0"/>
      </w:rPr>
      <w:t>&lt;/Version&gt;</w:t>
    </w:r>
  </w:p>
  <w:p w14:paraId="17D49463" w14:textId="7B9AE607" w:rsidR="00A90219" w:rsidRPr="001E05C1" w:rsidRDefault="001E05C1" w:rsidP="001E05C1">
    <w:pPr>
      <w:pStyle w:val="EPFooter2"/>
    </w:pPr>
    <w:r w:rsidRPr="001E05C1">
      <w:tab/>
    </w:r>
    <w:r w:rsidRPr="001E05C1"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D121" w14:textId="77777777" w:rsidR="001E05C1" w:rsidRPr="001E05C1" w:rsidRDefault="001E05C1" w:rsidP="001E05C1">
    <w:pPr>
      <w:pStyle w:val="EPFooter"/>
    </w:pPr>
    <w:r w:rsidRPr="001E05C1">
      <w:rPr>
        <w:rStyle w:val="HideTWBExt"/>
        <w:noProof w:val="0"/>
      </w:rPr>
      <w:t>&lt;PathFdR&gt;</w:t>
    </w:r>
    <w:r w:rsidRPr="001E05C1">
      <w:t>RE\1191195BG.docx</w:t>
    </w:r>
    <w:r w:rsidRPr="001E05C1">
      <w:rPr>
        <w:rStyle w:val="HideTWBExt"/>
        <w:noProof w:val="0"/>
      </w:rPr>
      <w:t>&lt;/PathFdR&gt;</w:t>
    </w:r>
    <w:r w:rsidRPr="001E05C1">
      <w:tab/>
    </w:r>
    <w:r w:rsidRPr="001E05C1">
      <w:tab/>
      <w:t>PE</w:t>
    </w:r>
    <w:r w:rsidRPr="001E05C1">
      <w:rPr>
        <w:rStyle w:val="HideTWBExt"/>
        <w:noProof w:val="0"/>
      </w:rPr>
      <w:t>&lt;NoPE&gt;</w:t>
    </w:r>
    <w:r w:rsidRPr="001E05C1">
      <w:t>643.321</w:t>
    </w:r>
    <w:r w:rsidRPr="001E05C1">
      <w:rPr>
        <w:rStyle w:val="HideTWBExt"/>
        <w:noProof w:val="0"/>
      </w:rPr>
      <w:t>&lt;/NoPE&gt;&lt;Version&gt;</w:t>
    </w:r>
    <w:r w:rsidRPr="001E05C1">
      <w:t>v01-00</w:t>
    </w:r>
    <w:r w:rsidRPr="001E05C1">
      <w:rPr>
        <w:rStyle w:val="HideTWBExt"/>
        <w:noProof w:val="0"/>
      </w:rPr>
      <w:t>&lt;/Version&gt;</w:t>
    </w:r>
  </w:p>
  <w:p w14:paraId="4A43A6F2" w14:textId="0E05205B" w:rsidR="00A90219" w:rsidRPr="001E05C1" w:rsidRDefault="001E05C1" w:rsidP="001E05C1">
    <w:pPr>
      <w:pStyle w:val="EPFooter2"/>
    </w:pPr>
    <w:r w:rsidRPr="001E05C1">
      <w:t>BG</w:t>
    </w:r>
    <w:r w:rsidRPr="001E05C1">
      <w:tab/>
    </w:r>
    <w:r w:rsidRPr="001E05C1">
      <w:rPr>
        <w:b w:val="0"/>
        <w:i/>
        <w:color w:val="C0C0C0"/>
        <w:sz w:val="22"/>
      </w:rPr>
      <w:t>Единство в многообразието</w:t>
    </w:r>
    <w:r w:rsidRPr="001E05C1">
      <w:tab/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E77A2" w14:textId="77777777" w:rsidR="00C01E22" w:rsidRPr="001E05C1" w:rsidRDefault="00C01E22">
      <w:r w:rsidRPr="001E05C1">
        <w:separator/>
      </w:r>
    </w:p>
  </w:footnote>
  <w:footnote w:type="continuationSeparator" w:id="0">
    <w:p w14:paraId="0C1A4C05" w14:textId="77777777" w:rsidR="00C01E22" w:rsidRPr="001E05C1" w:rsidRDefault="00C01E22">
      <w:r w:rsidRPr="001E05C1">
        <w:continuationSeparator/>
      </w:r>
    </w:p>
  </w:footnote>
  <w:footnote w:type="continuationNotice" w:id="1">
    <w:p w14:paraId="0DD41627" w14:textId="77777777" w:rsidR="00240DFD" w:rsidRPr="001E05C1" w:rsidRDefault="00240DFD"/>
  </w:footnote>
  <w:footnote w:id="2">
    <w:p w14:paraId="5513A9F6" w14:textId="4376DD2C" w:rsidR="005B2E5A" w:rsidRPr="001E05C1" w:rsidRDefault="005B2E5A">
      <w:pPr>
        <w:pStyle w:val="FootnoteText"/>
      </w:pPr>
      <w:r w:rsidRPr="001E05C1">
        <w:rPr>
          <w:rStyle w:val="FootnoteReference"/>
        </w:rPr>
        <w:footnoteRef/>
      </w:r>
      <w:r w:rsidRPr="001E05C1">
        <w:t xml:space="preserve"> </w:t>
      </w:r>
      <w:hyperlink r:id="rId1" w:history="1">
        <w:r w:rsidRPr="001E05C1">
          <w:rPr>
            <w:rStyle w:val="Hyperlink"/>
          </w:rPr>
          <w:t>https://exit.al/en/2019/01/05/gallup-survey-on-migration-and-brain-drain/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A6A48" w14:textId="77777777" w:rsidR="002565BB" w:rsidRDefault="0025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6EDA" w14:textId="77777777" w:rsidR="002565BB" w:rsidRDefault="00256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7DA3" w14:textId="77777777" w:rsidR="002565BB" w:rsidRDefault="00256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91"/>
    <w:docVar w:name="TXTLANGUE" w:val="EN"/>
    <w:docVar w:name="TXTLANGUEMIN" w:val="en"/>
    <w:docVar w:name="TXTNRB" w:val="0155/2019"/>
    <w:docVar w:name="TXTNRPE" w:val="643.321"/>
    <w:docVar w:name="TXTNRRSP" w:val="2019/2883"/>
    <w:docVar w:name="TXTPEorAP" w:val="PE"/>
    <w:docVar w:name="TXTROUTE" w:val="RE\1191195EN.docx"/>
    <w:docVar w:name="TXTTITLE" w:val="opening accession negotiations with North Macedonia and Albania"/>
    <w:docVar w:name="TXTVERSION" w:val="01-00"/>
  </w:docVars>
  <w:rsids>
    <w:rsidRoot w:val="00C01E22"/>
    <w:rsid w:val="00037F46"/>
    <w:rsid w:val="000764D2"/>
    <w:rsid w:val="00094DDA"/>
    <w:rsid w:val="00117781"/>
    <w:rsid w:val="001B49A3"/>
    <w:rsid w:val="001B7CFB"/>
    <w:rsid w:val="001C16A7"/>
    <w:rsid w:val="001C62C5"/>
    <w:rsid w:val="001E05C1"/>
    <w:rsid w:val="001E2450"/>
    <w:rsid w:val="00222BBB"/>
    <w:rsid w:val="002333EF"/>
    <w:rsid w:val="00240DFD"/>
    <w:rsid w:val="00242F6A"/>
    <w:rsid w:val="002565BB"/>
    <w:rsid w:val="002574AA"/>
    <w:rsid w:val="002C5EC3"/>
    <w:rsid w:val="002C7767"/>
    <w:rsid w:val="00303413"/>
    <w:rsid w:val="003266AB"/>
    <w:rsid w:val="003772FA"/>
    <w:rsid w:val="00411D03"/>
    <w:rsid w:val="00412503"/>
    <w:rsid w:val="00421A79"/>
    <w:rsid w:val="00471D62"/>
    <w:rsid w:val="00494B97"/>
    <w:rsid w:val="004B5166"/>
    <w:rsid w:val="00516BD3"/>
    <w:rsid w:val="0056659B"/>
    <w:rsid w:val="0058312A"/>
    <w:rsid w:val="005869F2"/>
    <w:rsid w:val="005B2E5A"/>
    <w:rsid w:val="005D6861"/>
    <w:rsid w:val="00654CBD"/>
    <w:rsid w:val="006726A1"/>
    <w:rsid w:val="006A27B7"/>
    <w:rsid w:val="006B60B3"/>
    <w:rsid w:val="006C38E3"/>
    <w:rsid w:val="006F48B8"/>
    <w:rsid w:val="006F57CA"/>
    <w:rsid w:val="00706BC0"/>
    <w:rsid w:val="00723A0B"/>
    <w:rsid w:val="00780A7D"/>
    <w:rsid w:val="00781A35"/>
    <w:rsid w:val="007E1E11"/>
    <w:rsid w:val="00814BC6"/>
    <w:rsid w:val="008278C0"/>
    <w:rsid w:val="00866D70"/>
    <w:rsid w:val="0089444C"/>
    <w:rsid w:val="008A4052"/>
    <w:rsid w:val="008D4F9C"/>
    <w:rsid w:val="008D7B31"/>
    <w:rsid w:val="00907285"/>
    <w:rsid w:val="00910F7E"/>
    <w:rsid w:val="00981ED6"/>
    <w:rsid w:val="009B3B91"/>
    <w:rsid w:val="009D24DE"/>
    <w:rsid w:val="00A32337"/>
    <w:rsid w:val="00A46903"/>
    <w:rsid w:val="00A4763A"/>
    <w:rsid w:val="00A516B8"/>
    <w:rsid w:val="00A90219"/>
    <w:rsid w:val="00B34A46"/>
    <w:rsid w:val="00B90331"/>
    <w:rsid w:val="00BC3002"/>
    <w:rsid w:val="00BC4AE8"/>
    <w:rsid w:val="00BF2C2D"/>
    <w:rsid w:val="00C01E22"/>
    <w:rsid w:val="00C23264"/>
    <w:rsid w:val="00CA321B"/>
    <w:rsid w:val="00CC09D8"/>
    <w:rsid w:val="00D12F64"/>
    <w:rsid w:val="00D44718"/>
    <w:rsid w:val="00D90D37"/>
    <w:rsid w:val="00DA4325"/>
    <w:rsid w:val="00DF7943"/>
    <w:rsid w:val="00E171A6"/>
    <w:rsid w:val="00E53167"/>
    <w:rsid w:val="00EA43FB"/>
    <w:rsid w:val="00EC05E9"/>
    <w:rsid w:val="00ED22B8"/>
    <w:rsid w:val="00F02A2C"/>
    <w:rsid w:val="00F26DE8"/>
    <w:rsid w:val="00F4455A"/>
    <w:rsid w:val="00F7050A"/>
    <w:rsid w:val="00F959BA"/>
    <w:rsid w:val="00FD25B7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6BE5E"/>
  <w15:chartTrackingRefBased/>
  <w15:docId w15:val="{583EE17B-C214-42E2-A055-8C02924B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DF7943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B90331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Normal12a">
    <w:name w:val="CoverNormal12a"/>
    <w:basedOn w:val="Normal"/>
    <w:rsid w:val="00B90331"/>
    <w:pPr>
      <w:spacing w:after="240"/>
      <w:ind w:left="1418"/>
    </w:pPr>
  </w:style>
  <w:style w:type="paragraph" w:customStyle="1" w:styleId="CoverNormal24a">
    <w:name w:val="CoverNormal24a"/>
    <w:basedOn w:val="Normal"/>
    <w:rsid w:val="00B90331"/>
    <w:pPr>
      <w:spacing w:after="480"/>
      <w:ind w:left="1417"/>
    </w:pPr>
  </w:style>
  <w:style w:type="paragraph" w:customStyle="1" w:styleId="CoverDocType24a">
    <w:name w:val="CoverDocType24a"/>
    <w:basedOn w:val="Normal"/>
    <w:rsid w:val="00EC05E9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7E1E1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E53167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CoverReference">
    <w:name w:val="CoverReference"/>
    <w:basedOn w:val="Normal"/>
    <w:rsid w:val="00094DDA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094DDA"/>
    <w:pPr>
      <w:spacing w:before="240" w:after="1200"/>
    </w:pPr>
  </w:style>
  <w:style w:type="paragraph" w:customStyle="1" w:styleId="EPFooter">
    <w:name w:val="EPFooter"/>
    <w:basedOn w:val="Normal"/>
    <w:rsid w:val="00EC05E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7E1E11"/>
    <w:rPr>
      <w:sz w:val="24"/>
    </w:rPr>
  </w:style>
  <w:style w:type="paragraph" w:styleId="Footer">
    <w:name w:val="footer"/>
    <w:basedOn w:val="Normal"/>
    <w:link w:val="FooterChar"/>
    <w:semiHidden/>
    <w:rsid w:val="008D4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D4F9C"/>
    <w:rPr>
      <w:sz w:val="24"/>
    </w:rPr>
  </w:style>
  <w:style w:type="character" w:styleId="CommentReference">
    <w:name w:val="annotation reference"/>
    <w:basedOn w:val="DefaultParagraphFont"/>
    <w:rsid w:val="00240D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0D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0DFD"/>
  </w:style>
  <w:style w:type="paragraph" w:styleId="CommentSubject">
    <w:name w:val="annotation subject"/>
    <w:basedOn w:val="CommentText"/>
    <w:next w:val="CommentText"/>
    <w:link w:val="CommentSubjectChar"/>
    <w:rsid w:val="00240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0DFD"/>
    <w:rPr>
      <w:b/>
      <w:bCs/>
    </w:rPr>
  </w:style>
  <w:style w:type="paragraph" w:styleId="BalloonText">
    <w:name w:val="Balloon Text"/>
    <w:basedOn w:val="Normal"/>
    <w:link w:val="BalloonTextChar"/>
    <w:rsid w:val="00240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0DF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5B2E5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2E5A"/>
  </w:style>
  <w:style w:type="character" w:styleId="FootnoteReference">
    <w:name w:val="footnote reference"/>
    <w:basedOn w:val="DefaultParagraphFont"/>
    <w:rsid w:val="005B2E5A"/>
    <w:rPr>
      <w:vertAlign w:val="superscript"/>
    </w:rPr>
  </w:style>
  <w:style w:type="character" w:styleId="Hyperlink">
    <w:name w:val="Hyperlink"/>
    <w:basedOn w:val="DefaultParagraphFont"/>
    <w:rsid w:val="005B2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5B2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xit.al/en/2019/01/05/gallup-survey-on-migration-and-brain-dr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0B88-4334-4004-AFC3-241CC9EE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4639</Characters>
  <Application>Microsoft Office Word</Application>
  <DocSecurity>0</DocSecurity>
  <Lines>100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BROCCA Monica</dc:creator>
  <cp:keywords/>
  <dc:description/>
  <cp:lastModifiedBy>YORDANOVA Mihaila</cp:lastModifiedBy>
  <cp:revision>2</cp:revision>
  <cp:lastPrinted>2019-10-22T14:48:00Z</cp:lastPrinted>
  <dcterms:created xsi:type="dcterms:W3CDTF">2019-10-23T12:47:00Z</dcterms:created>
  <dcterms:modified xsi:type="dcterms:W3CDTF">2019-10-23T12:47:00Z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1191195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\\eiciLUXpr1\pdocep$\DocEP\DOCS\General\RE\RE_Statements.dotx(15/10/2019 07:18:29)</vt:lpwstr>
  </property>
  <property fmtid="{D5CDD505-2E9C-101B-9397-08002B2CF9AE}" pid="7" name="&lt;ModelTra&gt;">
    <vt:lpwstr>\\eiciLUXpr1\pdocep$\DocEP\TRANSFIL\EN\RE_Statements.EN(25/06/2019 12:01:00)</vt:lpwstr>
  </property>
  <property fmtid="{D5CDD505-2E9C-101B-9397-08002B2CF9AE}" pid="8" name="&lt;Model&gt;">
    <vt:lpwstr>RE_Statements</vt:lpwstr>
  </property>
  <property fmtid="{D5CDD505-2E9C-101B-9397-08002B2CF9AE}" pid="9" name="FooterPath">
    <vt:lpwstr>RE\1191195BG.docx</vt:lpwstr>
  </property>
  <property fmtid="{D5CDD505-2E9C-101B-9397-08002B2CF9AE}" pid="10" name="PE number">
    <vt:lpwstr>643.321</vt:lpwstr>
  </property>
  <property fmtid="{D5CDD505-2E9C-101B-9397-08002B2CF9AE}" pid="11" name="SubscribeElise">
    <vt:lpwstr/>
  </property>
  <property fmtid="{D5CDD505-2E9C-101B-9397-08002B2CF9AE}" pid="12" name="Bookout">
    <vt:lpwstr>OK - 2019/10/23 14:46</vt:lpwstr>
  </property>
  <property fmtid="{D5CDD505-2E9C-101B-9397-08002B2CF9AE}" pid="13" name="SDLStudio">
    <vt:lpwstr/>
  </property>
  <property fmtid="{D5CDD505-2E9C-101B-9397-08002B2CF9AE}" pid="14" name="&lt;Extension&gt;">
    <vt:lpwstr>BG</vt:lpwstr>
  </property>
</Properties>
</file>