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6DA6" w:rsidRPr="00462482" w:rsidTr="00873258">
        <w:trPr>
          <w:trHeight w:hRule="exact" w:val="1418"/>
        </w:trPr>
        <w:tc>
          <w:tcPr>
            <w:tcW w:w="6804" w:type="dxa"/>
            <w:shd w:val="clear" w:color="auto" w:fill="auto"/>
            <w:vAlign w:val="center"/>
          </w:tcPr>
          <w:p w:rsidR="001241CE" w:rsidRPr="00462482" w:rsidRDefault="00772CC5" w:rsidP="00873258">
            <w:pPr>
              <w:pStyle w:val="EPName"/>
            </w:pPr>
            <w:bookmarkStart w:id="0" w:name="_GoBack"/>
            <w:bookmarkEnd w:id="0"/>
            <w:r w:rsidRPr="00462482">
              <w:t>Parlamentul European</w:t>
            </w:r>
          </w:p>
          <w:p w:rsidR="001241CE" w:rsidRPr="00462482" w:rsidRDefault="00772CC5" w:rsidP="00873258">
            <w:pPr>
              <w:pStyle w:val="EPTerm"/>
              <w:rPr>
                <w:rStyle w:val="HideTWBExt"/>
                <w:noProof w:val="0"/>
                <w:vanish w:val="0"/>
                <w:color w:val="auto"/>
              </w:rPr>
            </w:pPr>
            <w:r w:rsidRPr="00462482">
              <w:t>2019-2024</w:t>
            </w:r>
          </w:p>
        </w:tc>
        <w:tc>
          <w:tcPr>
            <w:tcW w:w="2268" w:type="dxa"/>
            <w:shd w:val="clear" w:color="auto" w:fill="auto"/>
          </w:tcPr>
          <w:p w:rsidR="001241CE" w:rsidRPr="00462482" w:rsidRDefault="00772CC5" w:rsidP="00873258">
            <w:pPr>
              <w:pStyle w:val="EPLogo"/>
            </w:pPr>
            <w:r w:rsidRPr="0046248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1233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1241CE" w:rsidRPr="00462482" w:rsidRDefault="001241CE" w:rsidP="001241CE">
      <w:pPr>
        <w:pStyle w:val="LineTop"/>
      </w:pPr>
    </w:p>
    <w:p w:rsidR="001241CE" w:rsidRPr="00462482" w:rsidRDefault="00772CC5" w:rsidP="001241CE">
      <w:pPr>
        <w:pStyle w:val="EPBody"/>
      </w:pPr>
      <w:r w:rsidRPr="00462482">
        <w:t xml:space="preserve">Document de </w:t>
      </w:r>
      <w:r w:rsidR="008E78D4">
        <w:t>ș</w:t>
      </w:r>
      <w:r w:rsidRPr="00462482">
        <w:t>edin</w:t>
      </w:r>
      <w:r w:rsidR="008E78D4">
        <w:t>ț</w:t>
      </w:r>
      <w:r w:rsidRPr="00462482">
        <w:t>ă</w:t>
      </w:r>
    </w:p>
    <w:p w:rsidR="001241CE" w:rsidRPr="00462482" w:rsidRDefault="001241CE" w:rsidP="001241CE">
      <w:pPr>
        <w:pStyle w:val="LineBottom"/>
      </w:pPr>
    </w:p>
    <w:p w:rsidR="001241CE" w:rsidRPr="00462482" w:rsidRDefault="00772CC5" w:rsidP="001241CE">
      <w:pPr>
        <w:pStyle w:val="CoverReference"/>
      </w:pPr>
      <w:r w:rsidRPr="00462482">
        <w:rPr>
          <w:rStyle w:val="HideTWBExt"/>
          <w:b w:val="0"/>
          <w:noProof w:val="0"/>
        </w:rPr>
        <w:t>&lt;NoDocSe&gt;</w:t>
      </w:r>
      <w:r w:rsidRPr="00462482">
        <w:t>B9-0180/2019</w:t>
      </w:r>
      <w:r w:rsidRPr="00462482">
        <w:rPr>
          <w:rStyle w:val="HideTWBExt"/>
          <w:b w:val="0"/>
          <w:noProof w:val="0"/>
        </w:rPr>
        <w:t>&lt;/NoDocSe&gt;</w:t>
      </w:r>
    </w:p>
    <w:p w:rsidR="001241CE" w:rsidRPr="00462482" w:rsidRDefault="00772CC5" w:rsidP="001241CE">
      <w:pPr>
        <w:pStyle w:val="CoverDate"/>
      </w:pPr>
      <w:r w:rsidRPr="00462482">
        <w:rPr>
          <w:rStyle w:val="HideTWBExt"/>
          <w:noProof w:val="0"/>
        </w:rPr>
        <w:t>&lt;Date&gt;</w:t>
      </w:r>
      <w:r w:rsidRPr="00462482">
        <w:rPr>
          <w:rStyle w:val="HideTWBInt"/>
        </w:rPr>
        <w:t>{20/11/2019}</w:t>
      </w:r>
      <w:r w:rsidRPr="00462482">
        <w:t>20.11.2019</w:t>
      </w:r>
      <w:r w:rsidRPr="00462482">
        <w:rPr>
          <w:rStyle w:val="HideTWBExt"/>
          <w:noProof w:val="0"/>
        </w:rPr>
        <w:t>&lt;/Date&gt;</w:t>
      </w:r>
    </w:p>
    <w:p w:rsidR="001241CE" w:rsidRPr="00462482" w:rsidRDefault="00772CC5" w:rsidP="001241CE">
      <w:pPr>
        <w:pStyle w:val="CoverDocType24a"/>
      </w:pPr>
      <w:r w:rsidRPr="00462482">
        <w:rPr>
          <w:rStyle w:val="HideTWBExt"/>
          <w:b w:val="0"/>
          <w:noProof w:val="0"/>
        </w:rPr>
        <w:t>&lt;TitreType&gt;</w:t>
      </w:r>
      <w:r w:rsidRPr="00462482">
        <w:t>PROPUNERE DE REZOLU</w:t>
      </w:r>
      <w:r w:rsidR="008E78D4">
        <w:t>Ț</w:t>
      </w:r>
      <w:r w:rsidRPr="00462482">
        <w:t>IE</w:t>
      </w:r>
      <w:r w:rsidRPr="00462482">
        <w:rPr>
          <w:rStyle w:val="HideTWBExt"/>
          <w:b w:val="0"/>
          <w:noProof w:val="0"/>
        </w:rPr>
        <w:t>&lt;/TitreType&gt;</w:t>
      </w:r>
    </w:p>
    <w:p w:rsidR="001241CE" w:rsidRPr="00462482" w:rsidRDefault="00772CC5" w:rsidP="001241CE">
      <w:pPr>
        <w:pStyle w:val="CoverNormal12a"/>
      </w:pPr>
      <w:r w:rsidRPr="00462482">
        <w:rPr>
          <w:rStyle w:val="HideTWBExt"/>
          <w:noProof w:val="0"/>
        </w:rPr>
        <w:t>&lt;TitreSuite&gt;</w:t>
      </w:r>
      <w:r w:rsidRPr="00462482">
        <w:t>depusă pe baza declara</w:t>
      </w:r>
      <w:r w:rsidR="008E78D4">
        <w:t>ț</w:t>
      </w:r>
      <w:r w:rsidRPr="00462482">
        <w:t xml:space="preserve">iilor Consiliului </w:t>
      </w:r>
      <w:r w:rsidR="008E78D4">
        <w:t>ș</w:t>
      </w:r>
      <w:r w:rsidRPr="00462482">
        <w:t>i Comisiei</w:t>
      </w:r>
      <w:r w:rsidRPr="00462482">
        <w:rPr>
          <w:rStyle w:val="HideTWBExt"/>
          <w:noProof w:val="0"/>
        </w:rPr>
        <w:t>&lt;/TitreSuite&gt;</w:t>
      </w:r>
    </w:p>
    <w:p w:rsidR="001241CE" w:rsidRPr="00462482" w:rsidRDefault="00772CC5" w:rsidP="001241CE">
      <w:pPr>
        <w:pStyle w:val="CoverNormal12a"/>
      </w:pPr>
      <w:r w:rsidRPr="00462482">
        <w:rPr>
          <w:rStyle w:val="HideTWBExt"/>
          <w:noProof w:val="0"/>
        </w:rPr>
        <w:t>&lt;TitreRecueil&gt;</w:t>
      </w:r>
      <w:r w:rsidRPr="00462482">
        <w:t>în conformitate cu articolul 132 alineatul (2) din Regulamentul de procedură</w:t>
      </w:r>
      <w:r w:rsidRPr="00462482">
        <w:rPr>
          <w:rStyle w:val="HideTWBExt"/>
          <w:noProof w:val="0"/>
        </w:rPr>
        <w:t>&lt;/TitreRecueil&gt;</w:t>
      </w:r>
    </w:p>
    <w:p w:rsidR="001241CE" w:rsidRPr="00462482" w:rsidRDefault="00772CC5" w:rsidP="001241CE">
      <w:pPr>
        <w:pStyle w:val="CoverNormal"/>
      </w:pPr>
      <w:r w:rsidRPr="00462482">
        <w:rPr>
          <w:rStyle w:val="HideTWBExt"/>
          <w:noProof w:val="0"/>
        </w:rPr>
        <w:t>&lt;Titre&gt;</w:t>
      </w:r>
      <w:r w:rsidRPr="00462482">
        <w:t>referitoare la drepturile copiilor cu ocazia celei de a 30-a aniversări a Conven</w:t>
      </w:r>
      <w:r w:rsidR="008E78D4">
        <w:t>ț</w:t>
      </w:r>
      <w:r w:rsidRPr="00462482">
        <w:t>iei ONU cu privire la drepturile copilului</w:t>
      </w:r>
      <w:r w:rsidRPr="00462482">
        <w:rPr>
          <w:rStyle w:val="HideTWBExt"/>
          <w:noProof w:val="0"/>
        </w:rPr>
        <w:t>&lt;/Titre&gt;</w:t>
      </w:r>
    </w:p>
    <w:p w:rsidR="001241CE" w:rsidRPr="00462482" w:rsidRDefault="00772CC5" w:rsidP="001241CE">
      <w:pPr>
        <w:pStyle w:val="CoverNormal24a"/>
      </w:pPr>
      <w:r w:rsidRPr="00462482">
        <w:rPr>
          <w:rStyle w:val="HideTWBExt"/>
          <w:noProof w:val="0"/>
        </w:rPr>
        <w:t>&lt;DocRef&gt;</w:t>
      </w:r>
      <w:r w:rsidRPr="00462482">
        <w:t>(2019/2876(RSP))</w:t>
      </w:r>
      <w:r w:rsidRPr="00462482">
        <w:rPr>
          <w:rStyle w:val="HideTWBExt"/>
          <w:noProof w:val="0"/>
        </w:rPr>
        <w:t>&lt;/DocRef&gt;</w:t>
      </w:r>
    </w:p>
    <w:p w:rsidR="001241CE" w:rsidRPr="00462482" w:rsidRDefault="00772CC5" w:rsidP="001241CE">
      <w:pPr>
        <w:pStyle w:val="CoverBold"/>
      </w:pPr>
      <w:r w:rsidRPr="00462482">
        <w:rPr>
          <w:rStyle w:val="HideTWBExt"/>
          <w:b w:val="0"/>
          <w:noProof w:val="0"/>
        </w:rPr>
        <w:t>&lt;RepeatBlock-By&gt;&lt;Depute&gt;</w:t>
      </w:r>
      <w:r w:rsidRPr="00462482">
        <w:t>Karlo Ressler, Dubravka Šuica, Cindy Franssen, Ewa Kopacz, Ioan-Rare</w:t>
      </w:r>
      <w:r w:rsidR="008E78D4">
        <w:t>ș</w:t>
      </w:r>
      <w:r w:rsidRPr="00462482">
        <w:t xml:space="preserve"> Bogdan, Eugen Tomac</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&lt;Commission&gt;</w:t>
      </w:r>
      <w:r w:rsidRPr="00462482">
        <w:rPr>
          <w:rStyle w:val="HideTWBInt"/>
        </w:rPr>
        <w:t>{PPE}</w:t>
      </w:r>
      <w:r w:rsidRPr="00462482">
        <w:t>în numele Grupului PPE</w:t>
      </w:r>
      <w:r w:rsidRPr="00462482">
        <w:rPr>
          <w:rStyle w:val="HideTWBExt"/>
          <w:noProof w:val="0"/>
        </w:rPr>
        <w:t>&lt;/Commission&gt;</w:t>
      </w:r>
    </w:p>
    <w:p w:rsidR="001241CE" w:rsidRPr="00462482" w:rsidRDefault="00772CC5" w:rsidP="001241CE">
      <w:pPr>
        <w:pStyle w:val="CoverBold"/>
      </w:pPr>
      <w:r w:rsidRPr="00462482">
        <w:rPr>
          <w:rStyle w:val="HideTWBExt"/>
          <w:b w:val="0"/>
          <w:noProof w:val="0"/>
        </w:rPr>
        <w:t>&lt;Depute&gt;</w:t>
      </w:r>
      <w:r w:rsidRPr="00462482">
        <w:t>Kati Piri, Caterina Chinnici, Juan Fernando López Aguilar, Claude Moraes, Javier Moreno Sánchez, Isabel Santos, Bettina Vollath</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&lt;Commission&gt;</w:t>
      </w:r>
      <w:r w:rsidRPr="00462482">
        <w:rPr>
          <w:rStyle w:val="HideTWBInt"/>
        </w:rPr>
        <w:t>{S&amp;D}</w:t>
      </w:r>
      <w:r w:rsidRPr="00462482">
        <w:t>în numele Grupului S&amp;D</w:t>
      </w:r>
      <w:r w:rsidRPr="00462482">
        <w:rPr>
          <w:rStyle w:val="HideTWBExt"/>
          <w:noProof w:val="0"/>
        </w:rPr>
        <w:t>&lt;/Commission&gt;</w:t>
      </w:r>
    </w:p>
    <w:p w:rsidR="001241CE" w:rsidRPr="00462482" w:rsidRDefault="00772CC5" w:rsidP="001241CE">
      <w:pPr>
        <w:pStyle w:val="CoverBold"/>
      </w:pPr>
      <w:r w:rsidRPr="00462482">
        <w:rPr>
          <w:rStyle w:val="HideTWBExt"/>
          <w:b w:val="0"/>
          <w:noProof w:val="0"/>
        </w:rPr>
        <w:t>&lt;Depute&gt;</w:t>
      </w:r>
      <w:r w:rsidRPr="00462482">
        <w:t>Hilde Vautmans, Drago</w:t>
      </w:r>
      <w:r w:rsidR="008E78D4">
        <w:t>ș</w:t>
      </w:r>
      <w:r w:rsidRPr="00462482">
        <w:t xml:space="preserve"> Pîslaru, Sophia in ’t Veld, Maite Pagazaurtundúa, Anna Júlia Donáth, Jan-Christoph Oetjen, Abir Al-Sahlani, Irina Von Wiese, Sylvie Brunet, Laurence Farreng, Marie-Pierre Vedrenne, Nathalie Loiseau, Bernard Guetta, Olivier Chastel, Petras Auštrevičius, Atidzhe Alieva-Veli, Ramona Strugariu, Lucy Nethsingha, Ivars Ijabs, Phil Bennion, Izaskun Bilbao Barandica, Luisa Porritt, Judith Bunting, Stéphanie Yon-Courtin, Fabienne Keller, Chrysoula </w:t>
      </w:r>
      <w:r w:rsidRPr="00462482">
        <w:lastRenderedPageBreak/>
        <w:t>Zacharopoulou, Frédérique Ries, Antony Hook, Stéphane Bijoux, Vlad-Marius Boto</w:t>
      </w:r>
      <w:r w:rsidR="008E78D4">
        <w:t>ș</w:t>
      </w:r>
      <w:r w:rsidRPr="00462482">
        <w:t>, Jane Brophy</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&lt;Commission&gt;</w:t>
      </w:r>
      <w:r w:rsidRPr="00462482">
        <w:rPr>
          <w:rStyle w:val="HideTWBInt"/>
        </w:rPr>
        <w:t>{Renew}</w:t>
      </w:r>
      <w:r w:rsidRPr="00462482">
        <w:t>în numele Grupului Renew</w:t>
      </w:r>
      <w:r w:rsidRPr="00462482">
        <w:rPr>
          <w:rStyle w:val="HideTWBExt"/>
          <w:noProof w:val="0"/>
        </w:rPr>
        <w:t>&lt;/Commission&gt;</w:t>
      </w:r>
    </w:p>
    <w:p w:rsidR="001241CE" w:rsidRPr="00462482" w:rsidRDefault="00772CC5" w:rsidP="001241CE">
      <w:pPr>
        <w:pStyle w:val="CoverBold"/>
      </w:pPr>
      <w:r w:rsidRPr="00462482">
        <w:rPr>
          <w:rStyle w:val="HideTWBExt"/>
          <w:b w:val="0"/>
          <w:noProof w:val="0"/>
        </w:rPr>
        <w:t>&lt;Depute&gt;</w:t>
      </w:r>
      <w:r w:rsidRPr="00462482">
        <w:t>Saskia Bricmont, Francisco Guerreiro, Diana Riba i Giner, Gwendoline Delbos-Corfield, Mounir Satouri, Hannah Neumann, Katrin Langensiepen, Henrike Hahn, Bronis Ropė, Pär Holmgren, Tilly Metz, Grace O’Sullivan, Alice Kuhnke, Tineke Strik, Petra De Sutter, Anna Cavazzini, Ellie Chowns, Romeo Franz, Marie Toussaint</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&lt;Commission&gt;</w:t>
      </w:r>
      <w:r w:rsidRPr="00462482">
        <w:rPr>
          <w:rStyle w:val="HideTWBInt"/>
        </w:rPr>
        <w:t>{Verts/ALE}</w:t>
      </w:r>
      <w:r w:rsidRPr="00462482">
        <w:t>în numele Grupului Verts/ALE</w:t>
      </w:r>
      <w:r w:rsidRPr="00462482">
        <w:rPr>
          <w:rStyle w:val="HideTWBExt"/>
          <w:noProof w:val="0"/>
        </w:rPr>
        <w:t>&lt;/Commission&gt;</w:t>
      </w:r>
    </w:p>
    <w:p w:rsidR="001241CE" w:rsidRPr="00462482" w:rsidRDefault="00772CC5" w:rsidP="001241CE">
      <w:pPr>
        <w:pStyle w:val="CoverBold"/>
      </w:pPr>
      <w:r w:rsidRPr="00462482">
        <w:rPr>
          <w:rStyle w:val="HideTWBExt"/>
          <w:b w:val="0"/>
          <w:noProof w:val="0"/>
        </w:rPr>
        <w:t>&lt;Depute&gt;</w:t>
      </w:r>
      <w:r w:rsidRPr="00462482">
        <w:t>Anne-Sophie Pelletier, Manon Aubry, Martin Schirdewan, José Gusmão, Marisa Matias, Pernando Barrena Arza, Nikolaj Villumsen, Manuel Bompard, Leila Chaibi, Giorgos Georgiou, Niyazi Kizilyürek, Dimitrios Papadimoulis, Martin Buschmann, Martina Anderson, Cornelia Ernst, Martina Michels, Malin Björk, Silvia Modig, Helmut Scholz, Özlem Demirel, Stelios Kouloglou</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&lt;Commission&gt;</w:t>
      </w:r>
      <w:r w:rsidRPr="00462482">
        <w:rPr>
          <w:rStyle w:val="HideTWBInt"/>
        </w:rPr>
        <w:t>{GUE/NGL}</w:t>
      </w:r>
      <w:r w:rsidRPr="00462482">
        <w:t>în numele Grupului GUE/NGL</w:t>
      </w:r>
      <w:r w:rsidRPr="00462482">
        <w:rPr>
          <w:rStyle w:val="HideTWBExt"/>
          <w:noProof w:val="0"/>
        </w:rPr>
        <w:t>&lt;/Commission&gt;</w:t>
      </w:r>
    </w:p>
    <w:p w:rsidR="001241CE" w:rsidRPr="00462482" w:rsidRDefault="00772CC5" w:rsidP="001241CE">
      <w:pPr>
        <w:pStyle w:val="CoverBold"/>
      </w:pPr>
      <w:r w:rsidRPr="00462482">
        <w:rPr>
          <w:rStyle w:val="HideTWBExt"/>
          <w:b w:val="0"/>
          <w:noProof w:val="0"/>
        </w:rPr>
        <w:t>&lt;Depute&gt;</w:t>
      </w:r>
      <w:r w:rsidRPr="00462482">
        <w:t>Fabio Massimo Castaldo, Laura Ferrara, Sabrina Pignedoli, Ignazio Corrao, Daniela Rondinelli, Piernicola Pedicini, Tiziana Beghin, Chiara Gemma, Eleonora Evi, Marco Zullo, Dino Giarrusso, Rosa D’Amato, Isabella Adinolfi, Mario Furore</w:t>
      </w:r>
      <w:r w:rsidRPr="00462482">
        <w:rPr>
          <w:rStyle w:val="HideTWBExt"/>
          <w:b w:val="0"/>
          <w:noProof w:val="0"/>
        </w:rPr>
        <w:t>&lt;/Depute&gt;</w:t>
      </w:r>
    </w:p>
    <w:p w:rsidR="001241CE" w:rsidRPr="00462482" w:rsidRDefault="00772CC5" w:rsidP="001241CE">
      <w:pPr>
        <w:pStyle w:val="CoverNormal"/>
      </w:pPr>
      <w:r w:rsidRPr="00462482">
        <w:rPr>
          <w:rStyle w:val="HideTWBExt"/>
          <w:noProof w:val="0"/>
        </w:rPr>
        <w:t>&lt;/RepeatBlock-By&gt;</w:t>
      </w:r>
    </w:p>
    <w:p w:rsidR="001241CE" w:rsidRPr="00462482" w:rsidRDefault="00772CC5" w:rsidP="001241CE">
      <w:pPr>
        <w:pStyle w:val="NormalBold12a"/>
      </w:pPr>
      <w:r w:rsidRPr="00462482">
        <w:br w:type="page"/>
        <w:t>B9-0180/2019</w:t>
      </w:r>
    </w:p>
    <w:p w:rsidR="001241CE" w:rsidRPr="00462482" w:rsidRDefault="00772CC5" w:rsidP="001241CE">
      <w:pPr>
        <w:pStyle w:val="NormalBold"/>
      </w:pPr>
      <w:r w:rsidRPr="00462482">
        <w:t>Rezolu</w:t>
      </w:r>
      <w:r w:rsidR="008E78D4">
        <w:t>ț</w:t>
      </w:r>
      <w:r w:rsidRPr="00462482">
        <w:t>ia Parlamentului European referitoare la drepturile copiilor cu ocazia celei de a 30-a aniversări a Conven</w:t>
      </w:r>
      <w:r w:rsidR="008E78D4">
        <w:t>ț</w:t>
      </w:r>
      <w:r w:rsidRPr="00462482">
        <w:t>iei ONU cu privire la drepturile copilului</w:t>
      </w:r>
    </w:p>
    <w:p w:rsidR="001241CE" w:rsidRPr="00462482" w:rsidRDefault="00772CC5" w:rsidP="001241CE">
      <w:pPr>
        <w:pStyle w:val="NormalBold"/>
      </w:pPr>
      <w:r w:rsidRPr="00462482">
        <w:t>(2019/2876(RSP))</w:t>
      </w:r>
    </w:p>
    <w:p w:rsidR="001241CE" w:rsidRPr="00462482" w:rsidRDefault="00772CC5" w:rsidP="001241CE">
      <w:pPr>
        <w:pStyle w:val="EPComma"/>
      </w:pPr>
      <w:r w:rsidRPr="00462482">
        <w:rPr>
          <w:i/>
        </w:rPr>
        <w:t>Parlamentul European,</w:t>
      </w:r>
    </w:p>
    <w:p w:rsidR="001241CE" w:rsidRDefault="00772CC5" w:rsidP="001241CE">
      <w:pPr>
        <w:pStyle w:val="Normal12Hanging"/>
      </w:pPr>
      <w:r w:rsidRPr="00462482">
        <w:t>–</w:t>
      </w:r>
      <w:r w:rsidRPr="00462482">
        <w:tab/>
        <w:t>având în vedere Conven</w:t>
      </w:r>
      <w:r w:rsidR="008E78D4">
        <w:t>ț</w:t>
      </w:r>
      <w:r w:rsidRPr="00462482">
        <w:t>ia ONU cu privire la drepturile copilului (CDC) din 20 noiembrie 1989,</w:t>
      </w:r>
    </w:p>
    <w:p w:rsidR="003D06D6" w:rsidRPr="00462482" w:rsidRDefault="003D06D6" w:rsidP="001241CE">
      <w:pPr>
        <w:pStyle w:val="Normal12Hanging"/>
        <w:rPr>
          <w:rStyle w:val="HideTWBExt"/>
          <w:rFonts w:ascii="Times New Roman" w:hAnsi="Times New Roman"/>
          <w:noProof w:val="0"/>
          <w:color w:val="auto"/>
          <w:sz w:val="24"/>
        </w:rPr>
      </w:pPr>
    </w:p>
    <w:p w:rsidR="001241CE" w:rsidRPr="00462482" w:rsidRDefault="00772CC5" w:rsidP="001241CE">
      <w:pPr>
        <w:pStyle w:val="Normal12Hanging"/>
      </w:pPr>
      <w:r w:rsidRPr="00462482">
        <w:t>–</w:t>
      </w:r>
      <w:r w:rsidRPr="00462482">
        <w:tab/>
        <w:t>având în vedere Conven</w:t>
      </w:r>
      <w:r w:rsidR="008E78D4">
        <w:t>ț</w:t>
      </w:r>
      <w:r w:rsidRPr="00462482">
        <w:t xml:space="preserve">ia pentru apărarea drepturilor omului </w:t>
      </w:r>
      <w:r w:rsidR="008E78D4">
        <w:t>ș</w:t>
      </w:r>
      <w:r w:rsidRPr="00462482">
        <w:t>i a libertă</w:t>
      </w:r>
      <w:r w:rsidR="008E78D4">
        <w:t>ț</w:t>
      </w:r>
      <w:r w:rsidRPr="00462482">
        <w:t>ilor fundamentale (CEDO),</w:t>
      </w:r>
    </w:p>
    <w:p w:rsidR="001241CE" w:rsidRPr="00462482" w:rsidRDefault="00772CC5" w:rsidP="001241CE">
      <w:pPr>
        <w:pStyle w:val="Normal12Hanging"/>
      </w:pPr>
      <w:r w:rsidRPr="00462482">
        <w:t>–</w:t>
      </w:r>
      <w:r w:rsidRPr="00462482">
        <w:tab/>
        <w:t>având în vedere articolul 24 din Carta drepturilor fundamentale a Uniunii Europene,</w:t>
      </w:r>
    </w:p>
    <w:p w:rsidR="001241CE" w:rsidRPr="00462482" w:rsidRDefault="00772CC5" w:rsidP="001241CE">
      <w:pPr>
        <w:pStyle w:val="Normal12Hanging"/>
      </w:pPr>
      <w:r w:rsidRPr="00462482">
        <w:t>–</w:t>
      </w:r>
      <w:r w:rsidRPr="00462482">
        <w:tab/>
        <w:t xml:space="preserve">având în vedere Directiva 2011/93/UE a Parlamentului European </w:t>
      </w:r>
      <w:r w:rsidR="008E78D4">
        <w:t>ș</w:t>
      </w:r>
      <w:r w:rsidRPr="00462482">
        <w:t xml:space="preserve">i a Consiliului din 13 decembrie 2011 privind combaterea abuzului sexual, a exploatării sexuale a copiilor </w:t>
      </w:r>
      <w:r w:rsidR="008E78D4">
        <w:t>ș</w:t>
      </w:r>
      <w:r w:rsidRPr="00462482">
        <w:t xml:space="preserve">i a pornografiei infantile </w:t>
      </w:r>
      <w:r w:rsidR="008E78D4">
        <w:t>ș</w:t>
      </w:r>
      <w:r w:rsidRPr="00462482">
        <w:t>i de înlocuire a Deciziei-cadru 2004/68/JAI a Consiliului</w:t>
      </w:r>
      <w:r w:rsidRPr="00462482">
        <w:rPr>
          <w:rStyle w:val="FootnoteReference"/>
        </w:rPr>
        <w:footnoteReference w:id="2"/>
      </w:r>
      <w:r w:rsidRPr="00462482">
        <w:t>,</w:t>
      </w:r>
    </w:p>
    <w:p w:rsidR="001241CE" w:rsidRPr="00462482" w:rsidRDefault="00772CC5" w:rsidP="001241CE">
      <w:pPr>
        <w:pStyle w:val="Normal12Hanging"/>
      </w:pPr>
      <w:r w:rsidRPr="00462482">
        <w:t>–</w:t>
      </w:r>
      <w:r w:rsidRPr="00462482">
        <w:tab/>
        <w:t xml:space="preserve">având în vedere Directiva (UE) 2016/800 a Parlamentului European </w:t>
      </w:r>
      <w:r w:rsidR="008E78D4">
        <w:t>ș</w:t>
      </w:r>
      <w:r w:rsidRPr="00462482">
        <w:t>i a Consiliului din 11 mai 2016 privind garan</w:t>
      </w:r>
      <w:r w:rsidR="008E78D4">
        <w:t>ț</w:t>
      </w:r>
      <w:r w:rsidRPr="00462482">
        <w:t>iile procedurale pentru copiii care sunt persoane suspectate sau acuzate în cadrul procedurilor penale</w:t>
      </w:r>
      <w:r w:rsidRPr="00462482">
        <w:rPr>
          <w:rStyle w:val="FootnoteReference"/>
        </w:rPr>
        <w:footnoteReference w:id="3"/>
      </w:r>
      <w:r w:rsidRPr="00462482">
        <w:t>,</w:t>
      </w:r>
    </w:p>
    <w:p w:rsidR="001241CE" w:rsidRPr="00462482" w:rsidRDefault="00772CC5" w:rsidP="001241CE">
      <w:pPr>
        <w:pStyle w:val="Normal12Hanging"/>
      </w:pPr>
      <w:r w:rsidRPr="00462482">
        <w:t>–</w:t>
      </w:r>
      <w:r w:rsidRPr="00462482">
        <w:tab/>
        <w:t xml:space="preserve">având în vedere Pilonul european al drepturilor sociale, în special principiul 11 privind îngrijirea </w:t>
      </w:r>
      <w:r w:rsidR="008E78D4">
        <w:t>ș</w:t>
      </w:r>
      <w:r w:rsidRPr="00462482">
        <w:t>i sprijinirea copiilor,</w:t>
      </w:r>
    </w:p>
    <w:p w:rsidR="001241CE" w:rsidRPr="00462482" w:rsidRDefault="00772CC5" w:rsidP="001241CE">
      <w:pPr>
        <w:pStyle w:val="Normal12Hanging"/>
      </w:pPr>
      <w:r w:rsidRPr="00462482">
        <w:t>–</w:t>
      </w:r>
      <w:r w:rsidRPr="00462482">
        <w:tab/>
        <w:t>având în vedere Rezolu</w:t>
      </w:r>
      <w:r w:rsidR="008E78D4">
        <w:t>ț</w:t>
      </w:r>
      <w:r w:rsidRPr="00462482">
        <w:t>ia sa din 3 mai 2018 referitoare la protec</w:t>
      </w:r>
      <w:r w:rsidR="008E78D4">
        <w:t>ț</w:t>
      </w:r>
      <w:r w:rsidRPr="00462482">
        <w:t>ia copiilor migran</w:t>
      </w:r>
      <w:r w:rsidR="008E78D4">
        <w:t>ț</w:t>
      </w:r>
      <w:r w:rsidRPr="00462482">
        <w:t>i</w:t>
      </w:r>
      <w:r w:rsidRPr="00462482">
        <w:rPr>
          <w:rStyle w:val="FootnoteReference"/>
        </w:rPr>
        <w:footnoteReference w:id="4"/>
      </w:r>
      <w:r w:rsidRPr="00462482">
        <w:t xml:space="preserve"> </w:t>
      </w:r>
      <w:r w:rsidR="008E78D4">
        <w:t>ș</w:t>
      </w:r>
      <w:r w:rsidRPr="00462482">
        <w:t>i Comunicarea Comisiei din 12 aprilie 2017 privind protec</w:t>
      </w:r>
      <w:r w:rsidR="008E78D4">
        <w:t>ț</w:t>
      </w:r>
      <w:r w:rsidRPr="00462482">
        <w:t>ia copiilor migran</w:t>
      </w:r>
      <w:r w:rsidR="008E78D4">
        <w:t>ț</w:t>
      </w:r>
      <w:r w:rsidRPr="00462482">
        <w:t>i (COM(2017)0211),</w:t>
      </w:r>
    </w:p>
    <w:p w:rsidR="001241CE" w:rsidRPr="00462482" w:rsidRDefault="00772CC5" w:rsidP="001241CE">
      <w:pPr>
        <w:pStyle w:val="Normal12Hanging"/>
      </w:pPr>
      <w:r w:rsidRPr="00462482">
        <w:t>–</w:t>
      </w:r>
      <w:r w:rsidRPr="00462482">
        <w:tab/>
        <w:t>având în vedere Rezolu</w:t>
      </w:r>
      <w:r w:rsidR="008E78D4">
        <w:t>ț</w:t>
      </w:r>
      <w:r w:rsidRPr="00462482">
        <w:t>ia sa din 14 februarie 2019 referitoare la drepturile persoanelor intersexuale</w:t>
      </w:r>
      <w:r w:rsidRPr="00462482">
        <w:rPr>
          <w:rStyle w:val="FootnoteReference"/>
        </w:rPr>
        <w:footnoteReference w:id="5"/>
      </w:r>
      <w:r w:rsidRPr="00462482">
        <w:t>,</w:t>
      </w:r>
    </w:p>
    <w:p w:rsidR="001241CE" w:rsidRPr="00462482" w:rsidRDefault="00772CC5" w:rsidP="001241CE">
      <w:pPr>
        <w:pStyle w:val="Normal12Hanging"/>
      </w:pPr>
      <w:r w:rsidRPr="00462482">
        <w:t>–</w:t>
      </w:r>
      <w:r w:rsidRPr="00462482">
        <w:tab/>
        <w:t>având în vedere Comentariul general nr. 10 al Comitetului pentru drepturile copilului din 25 aprilie 2007 privind drepturile copilului în justi</w:t>
      </w:r>
      <w:r w:rsidR="008E78D4">
        <w:t>ț</w:t>
      </w:r>
      <w:r w:rsidRPr="00462482">
        <w:t>ia pentru minori,</w:t>
      </w:r>
    </w:p>
    <w:p w:rsidR="001241CE" w:rsidRPr="00462482" w:rsidRDefault="00772CC5" w:rsidP="001241CE">
      <w:pPr>
        <w:pStyle w:val="Normal12Hanging"/>
      </w:pPr>
      <w:r w:rsidRPr="00462482">
        <w:t>–</w:t>
      </w:r>
      <w:r w:rsidRPr="00462482">
        <w:tab/>
        <w:t>având în vedere Comentariul general nr. 13 al Comitetului pentru drepturile copilului din 18 aprilie 2011 privind dreptul copilului la protec</w:t>
      </w:r>
      <w:r w:rsidR="008E78D4">
        <w:t>ț</w:t>
      </w:r>
      <w:r w:rsidRPr="00462482">
        <w:t>ie împotriva oricărei forme de violen</w:t>
      </w:r>
      <w:r w:rsidR="008E78D4">
        <w:t>ț</w:t>
      </w:r>
      <w:r w:rsidRPr="00462482">
        <w:t>ă,</w:t>
      </w:r>
    </w:p>
    <w:p w:rsidR="001241CE" w:rsidRPr="00462482" w:rsidRDefault="00772CC5" w:rsidP="001241CE">
      <w:pPr>
        <w:pStyle w:val="Normal12Hanging"/>
      </w:pPr>
      <w:r w:rsidRPr="00462482">
        <w:t>–</w:t>
      </w:r>
      <w:r w:rsidRPr="00462482">
        <w:tab/>
        <w:t>având în vedere Comentariul general nr. 14 al Comitetului pentru drepturile copilului din 29 mai 2013 privind dreptul copilului ca interesul său superior să fie considerat primordial,</w:t>
      </w:r>
    </w:p>
    <w:p w:rsidR="001241CE" w:rsidRPr="00462482" w:rsidRDefault="00772CC5" w:rsidP="001241CE">
      <w:pPr>
        <w:pStyle w:val="Normal12Hanging"/>
      </w:pPr>
      <w:r w:rsidRPr="00462482">
        <w:t>–</w:t>
      </w:r>
      <w:r w:rsidRPr="00462482">
        <w:tab/>
        <w:t xml:space="preserve">având în vedere articolul 37 din CDC a ONU, Comentariul general nr. 6 al Comitetului pentru drepturile copilului din 1 septembrie 2005 </w:t>
      </w:r>
      <w:r w:rsidR="008E78D4">
        <w:t>ș</w:t>
      </w:r>
      <w:r w:rsidRPr="00462482">
        <w:t xml:space="preserve">i Raportul Comitetului pentru drepturile copilului al ONU din 28 septembrie 2012, intitulat </w:t>
      </w:r>
      <w:r w:rsidRPr="00462482">
        <w:rPr>
          <w:i/>
        </w:rPr>
        <w:t>Report of the 2012 Day of General Discussion on the Rights of All Children in the Context of International Migration</w:t>
      </w:r>
      <w:r w:rsidRPr="00462482">
        <w:t xml:space="preserve"> (Raport al zilei de discu</w:t>
      </w:r>
      <w:r w:rsidR="008E78D4">
        <w:t>ț</w:t>
      </w:r>
      <w:r w:rsidRPr="00462482">
        <w:t>ii generale privind drepturile tuturor copiilor în contextul migra</w:t>
      </w:r>
      <w:r w:rsidR="008E78D4">
        <w:t>ț</w:t>
      </w:r>
      <w:r w:rsidRPr="00462482">
        <w:t>iei interna</w:t>
      </w:r>
      <w:r w:rsidR="008E78D4">
        <w:t>ț</w:t>
      </w:r>
      <w:r w:rsidRPr="00462482">
        <w:t>ionale),</w:t>
      </w:r>
    </w:p>
    <w:p w:rsidR="001241CE" w:rsidRPr="00462482" w:rsidRDefault="00772CC5" w:rsidP="001241CE">
      <w:pPr>
        <w:pStyle w:val="Normal12Hanging"/>
      </w:pPr>
      <w:r w:rsidRPr="00462482">
        <w:t>–</w:t>
      </w:r>
      <w:r w:rsidRPr="00462482">
        <w:tab/>
        <w:t xml:space="preserve">având în vedere raportul UNICEF intitulat </w:t>
      </w:r>
      <w:r w:rsidRPr="00462482">
        <w:rPr>
          <w:i/>
        </w:rPr>
        <w:t>The State of the World’s Children 2019</w:t>
      </w:r>
      <w:r w:rsidRPr="00462482">
        <w:t xml:space="preserve"> (Situa</w:t>
      </w:r>
      <w:r w:rsidR="008E78D4">
        <w:t>ț</w:t>
      </w:r>
      <w:r w:rsidRPr="00462482">
        <w:t>ia copiilor în lume 2019),</w:t>
      </w:r>
    </w:p>
    <w:p w:rsidR="001241CE" w:rsidRPr="00462482" w:rsidRDefault="00772CC5" w:rsidP="001241CE">
      <w:pPr>
        <w:pStyle w:val="Normal12Hanging"/>
      </w:pPr>
      <w:r w:rsidRPr="00462482">
        <w:t>–</w:t>
      </w:r>
      <w:r w:rsidRPr="00462482">
        <w:tab/>
        <w:t>având în vedere articolul 132 alineatul (2) din Regulamentul său de procedură,</w:t>
      </w:r>
    </w:p>
    <w:p w:rsidR="001241CE" w:rsidRPr="00462482" w:rsidRDefault="00772CC5" w:rsidP="001241CE">
      <w:pPr>
        <w:pStyle w:val="Normal12Hanging"/>
      </w:pPr>
      <w:r w:rsidRPr="00462482">
        <w:t>A.</w:t>
      </w:r>
      <w:r w:rsidRPr="00462482">
        <w:tab/>
        <w:t>întrucât articolul 1 din CDC prevede că „în sensul prezentei Conven</w:t>
      </w:r>
      <w:r w:rsidR="008E78D4">
        <w:t>ț</w:t>
      </w:r>
      <w:r w:rsidRPr="00462482">
        <w:t>ii, prin copil se în</w:t>
      </w:r>
      <w:r w:rsidR="008E78D4">
        <w:t>ț</w:t>
      </w:r>
      <w:r w:rsidRPr="00462482">
        <w:t>elege orice fiin</w:t>
      </w:r>
      <w:r w:rsidR="008E78D4">
        <w:t>ț</w:t>
      </w:r>
      <w:r w:rsidRPr="00462482">
        <w:t>ă umană cu vârsta sub 18 ani în afară de cazul în care, în conformitate cu legisla</w:t>
      </w:r>
      <w:r w:rsidR="008E78D4">
        <w:t>ț</w:t>
      </w:r>
      <w:r w:rsidRPr="00462482">
        <w:t>ia aplicabilă în cazul copiilor, majoratul este atins mai devreme”;</w:t>
      </w:r>
    </w:p>
    <w:p w:rsidR="001241CE" w:rsidRPr="00462482" w:rsidRDefault="00772CC5" w:rsidP="001241CE">
      <w:pPr>
        <w:pStyle w:val="Normal12Hanging"/>
      </w:pPr>
      <w:r w:rsidRPr="00462482">
        <w:t>B.</w:t>
      </w:r>
      <w:r w:rsidRPr="00462482">
        <w:tab/>
        <w:t>întrucât în Europa trăiesc 100 de milioane de copii, care reprezintă peste 20 % din popula</w:t>
      </w:r>
      <w:r w:rsidR="008E78D4">
        <w:t>ț</w:t>
      </w:r>
      <w:r w:rsidRPr="00462482">
        <w:t>ia UE, iar copiii sub 18 ani reprezintă mai mult de 40 % din popula</w:t>
      </w:r>
      <w:r w:rsidR="008E78D4">
        <w:t>ț</w:t>
      </w:r>
      <w:r w:rsidRPr="00462482">
        <w:t xml:space="preserve">ia </w:t>
      </w:r>
      <w:r w:rsidR="008E78D4">
        <w:t>ț</w:t>
      </w:r>
      <w:r w:rsidRPr="00462482">
        <w:t>ărilor în curs de dezvoltare;</w:t>
      </w:r>
    </w:p>
    <w:p w:rsidR="001241CE" w:rsidRPr="00462482" w:rsidRDefault="00772CC5" w:rsidP="001241CE">
      <w:pPr>
        <w:pStyle w:val="Normal12Hanging"/>
      </w:pPr>
      <w:r w:rsidRPr="00462482">
        <w:t>C.</w:t>
      </w:r>
      <w:r w:rsidRPr="00462482">
        <w:tab/>
        <w:t xml:space="preserve">întrucât promovarea drepturilor copilului este un obiectiv explicit al politicilor UE </w:t>
      </w:r>
      <w:r w:rsidR="008E78D4">
        <w:t>ș</w:t>
      </w:r>
      <w:r w:rsidRPr="00462482">
        <w:t>i întrucât Carta drepturilor fundamentale a Uniunii Europene prevede ca interesul superior al copilului să fie considerat preeminent în toate ac</w:t>
      </w:r>
      <w:r w:rsidR="008E78D4">
        <w:t>ț</w:t>
      </w:r>
      <w:r w:rsidRPr="00462482">
        <w:t>iunile UE;</w:t>
      </w:r>
    </w:p>
    <w:p w:rsidR="001241CE" w:rsidRPr="00462482" w:rsidRDefault="00772CC5" w:rsidP="001241CE">
      <w:pPr>
        <w:pStyle w:val="Normal12Hanging"/>
        <w:rPr>
          <w:rFonts w:eastAsia="Cambria"/>
          <w:szCs w:val="24"/>
        </w:rPr>
      </w:pPr>
      <w:r w:rsidRPr="00462482">
        <w:t>D.</w:t>
      </w:r>
      <w:r w:rsidRPr="00462482">
        <w:tab/>
        <w:t>întrucât CDC este tratatul interna</w:t>
      </w:r>
      <w:r w:rsidR="008E78D4">
        <w:t>ț</w:t>
      </w:r>
      <w:r w:rsidRPr="00462482">
        <w:t xml:space="preserve">ional privind drepturile omului ratificat la scara cea mai largă, fiind ratificat de toate statele membre </w:t>
      </w:r>
      <w:r w:rsidR="008E78D4">
        <w:t>ș</w:t>
      </w:r>
      <w:r w:rsidRPr="00462482">
        <w:t>i stabilind obliga</w:t>
      </w:r>
      <w:r w:rsidR="008E78D4">
        <w:t>ț</w:t>
      </w:r>
      <w:r w:rsidRPr="00462482">
        <w:t xml:space="preserve">ia juridică clară a acestora de a promova, proteja </w:t>
      </w:r>
      <w:r w:rsidR="008E78D4">
        <w:t>ș</w:t>
      </w:r>
      <w:r w:rsidRPr="00462482">
        <w:t>i apăra drepturile tuturor copiilor din jurisdic</w:t>
      </w:r>
      <w:r w:rsidR="008E78D4">
        <w:t>ț</w:t>
      </w:r>
      <w:r w:rsidRPr="00462482">
        <w:t>ia lor; întrucât Parlamentul European va găzdui, la 20 noiembrie, o conferin</w:t>
      </w:r>
      <w:r w:rsidR="008E78D4">
        <w:t>ț</w:t>
      </w:r>
      <w:r w:rsidRPr="00462482">
        <w:t>ă la nivel înalt pentru a celebra cea de a 30-a aniversare a CDC; întrucât Pre</w:t>
      </w:r>
      <w:r w:rsidR="008E78D4">
        <w:t>ș</w:t>
      </w:r>
      <w:r w:rsidRPr="00462482">
        <w:t>edintele Parlamentului European a promis că Ziua mondială a copiilor va fi sărbătorită în fiecare an la data de 20 noiembrie printr-un eveniment în care vor fi implica</w:t>
      </w:r>
      <w:r w:rsidR="008E78D4">
        <w:t>ț</w:t>
      </w:r>
      <w:r w:rsidRPr="00462482">
        <w:t>i copii, organizat la sediul Parlamentului European;</w:t>
      </w:r>
    </w:p>
    <w:p w:rsidR="001241CE" w:rsidRPr="00462482" w:rsidRDefault="00772CC5" w:rsidP="001241CE">
      <w:pPr>
        <w:pStyle w:val="Normal12Hanging"/>
      </w:pPr>
      <w:r w:rsidRPr="00462482">
        <w:t>E.</w:t>
      </w:r>
      <w:r w:rsidRPr="00462482">
        <w:tab/>
        <w:t>întrucât drepturile copilului continuă să fie încălcate în multe păr</w:t>
      </w:r>
      <w:r w:rsidR="008E78D4">
        <w:t>ț</w:t>
      </w:r>
      <w:r w:rsidRPr="00462482">
        <w:t>i ale lumii, inclusiv în statele membre ale UE, ca urmare a violen</w:t>
      </w:r>
      <w:r w:rsidR="008E78D4">
        <w:t>ț</w:t>
      </w:r>
      <w:r w:rsidRPr="00462482">
        <w:t xml:space="preserve">ei, abuzului, exploatării, sărăciei, excluziunii sociale </w:t>
      </w:r>
      <w:r w:rsidR="008E78D4">
        <w:t>ș</w:t>
      </w:r>
      <w:r w:rsidRPr="00462482">
        <w:t>i discriminării pe motive de religie, handicap, gen, identitate sexuală, vârstă, etnie, migra</w:t>
      </w:r>
      <w:r w:rsidR="008E78D4">
        <w:t>ț</w:t>
      </w:r>
      <w:r w:rsidRPr="00462482">
        <w:t>ie sau statut de reziden</w:t>
      </w:r>
      <w:r w:rsidR="008E78D4">
        <w:t>ț</w:t>
      </w:r>
      <w:r w:rsidRPr="00462482">
        <w:t>ă;</w:t>
      </w:r>
    </w:p>
    <w:p w:rsidR="001241CE" w:rsidRPr="00462482" w:rsidRDefault="00772CC5" w:rsidP="001241CE">
      <w:pPr>
        <w:pStyle w:val="Normal12Hanging"/>
      </w:pPr>
      <w:r w:rsidRPr="00462482">
        <w:t>F.</w:t>
      </w:r>
      <w:r w:rsidRPr="00462482">
        <w:tab/>
        <w:t xml:space="preserve">întrucât articolul 12 din CDC </w:t>
      </w:r>
      <w:r w:rsidR="008E78D4">
        <w:t>ș</w:t>
      </w:r>
      <w:r w:rsidRPr="00462482">
        <w:t xml:space="preserve">i articolul 24 din Carta drepturilor fundamentale a Uniunii Europene respectă drepturile copilului de a fi ascultat </w:t>
      </w:r>
      <w:r w:rsidR="008E78D4">
        <w:t>ș</w:t>
      </w:r>
      <w:r w:rsidRPr="00462482">
        <w:t xml:space="preserve">i de a se </w:t>
      </w:r>
      <w:r w:rsidR="008E78D4">
        <w:t>ț</w:t>
      </w:r>
      <w:r w:rsidRPr="00462482">
        <w:t>ine seama de opinia sa privind chestiuni care îl privesc, în func</w:t>
      </w:r>
      <w:r w:rsidR="008E78D4">
        <w:t>ț</w:t>
      </w:r>
      <w:r w:rsidRPr="00462482">
        <w:t xml:space="preserve">ie de vârsta </w:t>
      </w:r>
      <w:r w:rsidR="008E78D4">
        <w:t>ș</w:t>
      </w:r>
      <w:r w:rsidRPr="00462482">
        <w:t>i de gradul său de maturitate;</w:t>
      </w:r>
    </w:p>
    <w:p w:rsidR="001241CE" w:rsidRPr="00462482" w:rsidRDefault="00772CC5" w:rsidP="001241CE">
      <w:pPr>
        <w:pStyle w:val="Normal12Hanging"/>
        <w:rPr>
          <w:szCs w:val="24"/>
        </w:rPr>
      </w:pPr>
      <w:r w:rsidRPr="00462482">
        <w:t>G.</w:t>
      </w:r>
      <w:r w:rsidRPr="00462482">
        <w:tab/>
      </w:r>
      <w:r w:rsidRPr="00462482">
        <w:rPr>
          <w:szCs w:val="24"/>
          <w:shd w:val="clear" w:color="auto" w:fill="FFFFFF"/>
        </w:rPr>
        <w:t>întrucât articolul 5 din CDC prevede că „statele</w:t>
      </w:r>
      <w:r w:rsidRPr="00462482">
        <w:t xml:space="preserve"> păr</w:t>
      </w:r>
      <w:r w:rsidR="008E78D4">
        <w:t>ț</w:t>
      </w:r>
      <w:r w:rsidRPr="00462482">
        <w:t>i respectă responsabilită</w:t>
      </w:r>
      <w:r w:rsidR="008E78D4">
        <w:t>ț</w:t>
      </w:r>
      <w:r w:rsidRPr="00462482">
        <w:t xml:space="preserve">ile, drepturile </w:t>
      </w:r>
      <w:r w:rsidR="008E78D4">
        <w:t>ș</w:t>
      </w:r>
      <w:r w:rsidRPr="00462482">
        <w:t>i îndatoririle părin</w:t>
      </w:r>
      <w:r w:rsidR="008E78D4">
        <w:t>ț</w:t>
      </w:r>
      <w:r w:rsidRPr="00462482">
        <w:t>ilor sau, după caz, ale membrilor familiei extinse sau ale comunită</w:t>
      </w:r>
      <w:r w:rsidR="008E78D4">
        <w:t>ț</w:t>
      </w:r>
      <w:r w:rsidRPr="00462482">
        <w:t xml:space="preserve">ii, conform cutumelor locale, ale tutorilor legali sau altor persoane responsabile din punct de vedere legal de copil, de a oferi copilului o îndrumare </w:t>
      </w:r>
      <w:r w:rsidR="008E78D4">
        <w:t>ș</w:t>
      </w:r>
      <w:r w:rsidRPr="00462482">
        <w:t>i o orientare adecvate în exercitarea drepturilor recunoscute prin prezenta conven</w:t>
      </w:r>
      <w:r w:rsidR="008E78D4">
        <w:t>ț</w:t>
      </w:r>
      <w:r w:rsidRPr="00462482">
        <w:t>ie, de o manieră corespunzătoare capacită</w:t>
      </w:r>
      <w:r w:rsidR="008E78D4">
        <w:t>ț</w:t>
      </w:r>
      <w:r w:rsidRPr="00462482">
        <w:t>ilor în continuă dezvoltare ale copilului”;</w:t>
      </w:r>
    </w:p>
    <w:p w:rsidR="001241CE" w:rsidRPr="00462482" w:rsidRDefault="00772CC5" w:rsidP="001241CE">
      <w:pPr>
        <w:pStyle w:val="Normal12Hanging"/>
        <w:rPr>
          <w:rFonts w:eastAsia="Cambria"/>
          <w:szCs w:val="24"/>
        </w:rPr>
      </w:pPr>
      <w:r w:rsidRPr="00462482">
        <w:t>H.</w:t>
      </w:r>
      <w:r w:rsidRPr="00462482">
        <w:tab/>
        <w:t xml:space="preserve">întrucât aspectele globale, cum ar fi schimbările climatice, noile tehnologii </w:t>
      </w:r>
      <w:r w:rsidR="008E78D4">
        <w:t>ș</w:t>
      </w:r>
      <w:r w:rsidRPr="00462482">
        <w:t>i digitalizarea, creează noi amenin</w:t>
      </w:r>
      <w:r w:rsidR="008E78D4">
        <w:t>ț</w:t>
      </w:r>
      <w:r w:rsidRPr="00462482">
        <w:t xml:space="preserve">ări pentru copii, dar </w:t>
      </w:r>
      <w:r w:rsidR="008E78D4">
        <w:t>ș</w:t>
      </w:r>
      <w:r w:rsidRPr="00462482">
        <w:t>i noi oportunită</w:t>
      </w:r>
      <w:r w:rsidR="008E78D4">
        <w:t>ț</w:t>
      </w:r>
      <w:r w:rsidRPr="00462482">
        <w:t>i de învă</w:t>
      </w:r>
      <w:r w:rsidR="008E78D4">
        <w:t>ț</w:t>
      </w:r>
      <w:r w:rsidRPr="00462482">
        <w:t xml:space="preserve">are </w:t>
      </w:r>
      <w:r w:rsidR="008E78D4">
        <w:t>ș</w:t>
      </w:r>
      <w:r w:rsidRPr="00462482">
        <w:t>i creare de legături;</w:t>
      </w:r>
    </w:p>
    <w:p w:rsidR="001241CE" w:rsidRPr="00462482" w:rsidRDefault="00772CC5" w:rsidP="001241CE">
      <w:pPr>
        <w:pStyle w:val="Normal12Hanging"/>
      </w:pPr>
      <w:r w:rsidRPr="00462482">
        <w:t>I.</w:t>
      </w:r>
      <w:r w:rsidRPr="00462482">
        <w:tab/>
        <w:t xml:space="preserve">întrucât UE s-a angajat să pună în aplicare cele 17 obiective de dezvoltare durabilă (ODD), atât în politicile sale interne, cât </w:t>
      </w:r>
      <w:r w:rsidR="008E78D4">
        <w:t>ș</w:t>
      </w:r>
      <w:r w:rsidRPr="00462482">
        <w:t xml:space="preserve">i externe, inclusiv ODD 16.2 pentru „încetarea abuzului, a exploatării, a traficului </w:t>
      </w:r>
      <w:r w:rsidR="008E78D4">
        <w:t>ș</w:t>
      </w:r>
      <w:r w:rsidRPr="00462482">
        <w:t>i a tuturor formelor de violen</w:t>
      </w:r>
      <w:r w:rsidR="008E78D4">
        <w:t>ț</w:t>
      </w:r>
      <w:r w:rsidRPr="00462482">
        <w:t xml:space="preserve">ă </w:t>
      </w:r>
      <w:r w:rsidR="008E78D4">
        <w:t>ș</w:t>
      </w:r>
      <w:r w:rsidRPr="00462482">
        <w:t>i de tortură împotriva copiilor”;</w:t>
      </w:r>
    </w:p>
    <w:p w:rsidR="001241CE" w:rsidRPr="00462482" w:rsidRDefault="00772CC5" w:rsidP="001241CE">
      <w:pPr>
        <w:pStyle w:val="Normal12Hanging"/>
      </w:pPr>
      <w:r w:rsidRPr="00462482">
        <w:t>J.</w:t>
      </w:r>
      <w:r w:rsidRPr="00462482">
        <w:tab/>
        <w:t>întrucât, în UE, aproape 25 de milioane de copii sub 18 ani sunt expu</w:t>
      </w:r>
      <w:r w:rsidR="008E78D4">
        <w:t>ș</w:t>
      </w:r>
      <w:r w:rsidRPr="00462482">
        <w:t xml:space="preserve">i riscului de sărăcie </w:t>
      </w:r>
      <w:r w:rsidR="008E78D4">
        <w:t>ș</w:t>
      </w:r>
      <w:r w:rsidRPr="00462482">
        <w:t>i excluziune socială; întrucât sărăcia privează copiii de oportunită</w:t>
      </w:r>
      <w:r w:rsidR="008E78D4">
        <w:t>ț</w:t>
      </w:r>
      <w:r w:rsidRPr="00462482">
        <w:t>i educa</w:t>
      </w:r>
      <w:r w:rsidR="008E78D4">
        <w:t>ț</w:t>
      </w:r>
      <w:r w:rsidRPr="00462482">
        <w:t>ionale, de servicii de îngrijire, de acces la asisten</w:t>
      </w:r>
      <w:r w:rsidR="008E78D4">
        <w:t>ț</w:t>
      </w:r>
      <w:r w:rsidRPr="00462482">
        <w:t xml:space="preserve">ă medicală, de alimente </w:t>
      </w:r>
      <w:r w:rsidR="008E78D4">
        <w:t>ș</w:t>
      </w:r>
      <w:r w:rsidRPr="00462482">
        <w:t>i locuin</w:t>
      </w:r>
      <w:r w:rsidR="008E78D4">
        <w:t>ț</w:t>
      </w:r>
      <w:r w:rsidRPr="00462482">
        <w:t xml:space="preserve">e adecvate, de sprijin familial </w:t>
      </w:r>
      <w:r w:rsidR="008E78D4">
        <w:t>ș</w:t>
      </w:r>
      <w:r w:rsidRPr="00462482">
        <w:t>i chiar de protec</w:t>
      </w:r>
      <w:r w:rsidR="008E78D4">
        <w:t>ț</w:t>
      </w:r>
      <w:r w:rsidRPr="00462482">
        <w:t>ie împotriva violen</w:t>
      </w:r>
      <w:r w:rsidR="008E78D4">
        <w:t>ț</w:t>
      </w:r>
      <w:r w:rsidRPr="00462482">
        <w:t xml:space="preserve">ei </w:t>
      </w:r>
      <w:r w:rsidR="008E78D4">
        <w:t>ș</w:t>
      </w:r>
      <w:r w:rsidRPr="00462482">
        <w:t>i poate avea efecte foarte îndelungate; întrucât Agen</w:t>
      </w:r>
      <w:r w:rsidR="008E78D4">
        <w:t>ț</w:t>
      </w:r>
      <w:r w:rsidRPr="00462482">
        <w:t xml:space="preserve">ia pentru Drepturi Fundamentale a Uniunii Europene a subliniat că lupta împotriva sărăciei în rândul copiilor </w:t>
      </w:r>
      <w:r w:rsidR="008E78D4">
        <w:t>ț</w:t>
      </w:r>
      <w:r w:rsidRPr="00462482">
        <w:t xml:space="preserve">ine, de asemenea, de drepturile fundamentale </w:t>
      </w:r>
      <w:r w:rsidR="008E78D4">
        <w:t>ș</w:t>
      </w:r>
      <w:r w:rsidRPr="00462482">
        <w:t>i este o obliga</w:t>
      </w:r>
      <w:r w:rsidR="008E78D4">
        <w:t>ț</w:t>
      </w:r>
      <w:r w:rsidRPr="00462482">
        <w:t>ie juridică</w:t>
      </w:r>
      <w:r w:rsidRPr="00462482">
        <w:rPr>
          <w:rStyle w:val="FootnoteReference"/>
        </w:rPr>
        <w:footnoteReference w:id="6"/>
      </w:r>
      <w:r w:rsidRPr="00462482">
        <w:t>;</w:t>
      </w:r>
    </w:p>
    <w:p w:rsidR="001241CE" w:rsidRPr="00462482" w:rsidRDefault="00772CC5" w:rsidP="001241CE">
      <w:pPr>
        <w:pStyle w:val="Normal12Hanging"/>
      </w:pPr>
      <w:r w:rsidRPr="00462482">
        <w:t>K.</w:t>
      </w:r>
      <w:r w:rsidRPr="00462482">
        <w:tab/>
        <w:t xml:space="preserve">întrucât Consensul european pentru dezvoltare revizuit descrie copiii </w:t>
      </w:r>
      <w:r w:rsidR="008E78D4">
        <w:t>ș</w:t>
      </w:r>
      <w:r w:rsidRPr="00462482">
        <w:t>i tinerii ca agen</w:t>
      </w:r>
      <w:r w:rsidR="008E78D4">
        <w:t>ț</w:t>
      </w:r>
      <w:r w:rsidRPr="00462482">
        <w:t xml:space="preserve">i ai dezvoltării </w:t>
      </w:r>
      <w:r w:rsidR="008E78D4">
        <w:t>ș</w:t>
      </w:r>
      <w:r w:rsidRPr="00462482">
        <w:t xml:space="preserve">i ai schimbării, precum </w:t>
      </w:r>
      <w:r w:rsidR="008E78D4">
        <w:t>ș</w:t>
      </w:r>
      <w:r w:rsidRPr="00462482">
        <w:t>i contribuitori esen</w:t>
      </w:r>
      <w:r w:rsidR="008E78D4">
        <w:t>ț</w:t>
      </w:r>
      <w:r w:rsidRPr="00462482">
        <w:t xml:space="preserve">iali la Agenda 2030, inclusiv prin capacitatea lor de a inova; întrucât Consensul afirmă, de asemenea, că UE </w:t>
      </w:r>
      <w:r w:rsidR="008E78D4">
        <w:t>ș</w:t>
      </w:r>
      <w:r w:rsidRPr="00462482">
        <w:t xml:space="preserve">i statele sale membre vor consolida drepturile tinerilor </w:t>
      </w:r>
      <w:r w:rsidR="008E78D4">
        <w:t>ș</w:t>
      </w:r>
      <w:r w:rsidRPr="00462482">
        <w:t>i le vor permite să desfă</w:t>
      </w:r>
      <w:r w:rsidR="008E78D4">
        <w:t>ș</w:t>
      </w:r>
      <w:r w:rsidRPr="00462482">
        <w:t>oare activită</w:t>
      </w:r>
      <w:r w:rsidR="008E78D4">
        <w:t>ț</w:t>
      </w:r>
      <w:r w:rsidRPr="00462482">
        <w:t>i publice prin promovarea participării lor la economiile, societă</w:t>
      </w:r>
      <w:r w:rsidR="008E78D4">
        <w:t>ț</w:t>
      </w:r>
      <w:r w:rsidRPr="00462482">
        <w:t xml:space="preserve">ile </w:t>
      </w:r>
      <w:r w:rsidR="008E78D4">
        <w:t>ș</w:t>
      </w:r>
      <w:r w:rsidRPr="00462482">
        <w:t>i procesul decizional de la nivel local;</w:t>
      </w:r>
    </w:p>
    <w:p w:rsidR="001241CE" w:rsidRPr="00462482" w:rsidRDefault="00772CC5" w:rsidP="001241CE">
      <w:pPr>
        <w:pStyle w:val="Normal12Hanging"/>
      </w:pPr>
      <w:r w:rsidRPr="00462482">
        <w:t>L.</w:t>
      </w:r>
      <w:r w:rsidRPr="00462482">
        <w:tab/>
        <w:t>întrucât investi</w:t>
      </w:r>
      <w:r w:rsidR="008E78D4">
        <w:t>ț</w:t>
      </w:r>
      <w:r w:rsidRPr="00462482">
        <w:t>iile în viitorul copiilor, importan</w:t>
      </w:r>
      <w:r w:rsidR="008E78D4">
        <w:t>ț</w:t>
      </w:r>
      <w:r w:rsidRPr="00462482">
        <w:t xml:space="preserve">a protejării copiilor printr-o strategie cuprinzătoare privind drepturile lor </w:t>
      </w:r>
      <w:r w:rsidR="008E78D4">
        <w:t>ș</w:t>
      </w:r>
      <w:r w:rsidRPr="00462482">
        <w:t>i înfiin</w:t>
      </w:r>
      <w:r w:rsidR="008E78D4">
        <w:t>ț</w:t>
      </w:r>
      <w:r w:rsidRPr="00462482">
        <w:t>area „Garan</w:t>
      </w:r>
      <w:r w:rsidR="008E78D4">
        <w:t>ț</w:t>
      </w:r>
      <w:r w:rsidRPr="00462482">
        <w:t xml:space="preserve">iei pentru copii” ca instrument de combatere a sărăciei </w:t>
      </w:r>
      <w:r w:rsidR="008E78D4">
        <w:t>ș</w:t>
      </w:r>
      <w:r w:rsidRPr="00462482">
        <w:t>i de asigurare a accesului acestora la serviciile de bază sunt eviden</w:t>
      </w:r>
      <w:r w:rsidR="008E78D4">
        <w:t>ț</w:t>
      </w:r>
      <w:r w:rsidRPr="00462482">
        <w:t>iate ca priorită</w:t>
      </w:r>
      <w:r w:rsidR="008E78D4">
        <w:t>ț</w:t>
      </w:r>
      <w:r w:rsidRPr="00462482">
        <w:t>i absolute în scrisorile de misiune ale vicepre</w:t>
      </w:r>
      <w:r w:rsidR="008E78D4">
        <w:t>ș</w:t>
      </w:r>
      <w:r w:rsidRPr="00462482">
        <w:t>edintei Comisiei pentru democra</w:t>
      </w:r>
      <w:r w:rsidR="008E78D4">
        <w:t>ț</w:t>
      </w:r>
      <w:r w:rsidRPr="00462482">
        <w:t xml:space="preserve">ie </w:t>
      </w:r>
      <w:r w:rsidR="008E78D4">
        <w:t>ș</w:t>
      </w:r>
      <w:r w:rsidRPr="00462482">
        <w:t xml:space="preserve">i demografie, Dubravka Šuica, </w:t>
      </w:r>
      <w:r w:rsidR="008E78D4">
        <w:t>ș</w:t>
      </w:r>
      <w:r w:rsidRPr="00462482">
        <w:t>i ale comisarului desemnat pentru ocuparea for</w:t>
      </w:r>
      <w:r w:rsidR="008E78D4">
        <w:t>ț</w:t>
      </w:r>
      <w:r w:rsidRPr="00462482">
        <w:t>ei de muncă, Nicolas Schmit;</w:t>
      </w:r>
    </w:p>
    <w:p w:rsidR="001241CE" w:rsidRPr="00462482" w:rsidRDefault="00772CC5" w:rsidP="001241CE">
      <w:pPr>
        <w:pStyle w:val="Normal12Hanging"/>
      </w:pPr>
      <w:r w:rsidRPr="00462482">
        <w:t>M.</w:t>
      </w:r>
      <w:r w:rsidRPr="00462482">
        <w:tab/>
        <w:t>întrucât copiii reprezintă un grup vulnerabil care este puternic afectat de consecin</w:t>
      </w:r>
      <w:r w:rsidR="008E78D4">
        <w:t>ț</w:t>
      </w:r>
      <w:r w:rsidRPr="00462482">
        <w:t xml:space="preserve">ele negative ale schimbărilor climatice </w:t>
      </w:r>
      <w:r w:rsidR="008E78D4">
        <w:t>ș</w:t>
      </w:r>
      <w:r w:rsidRPr="00462482">
        <w:t>i se numără printre victimele efectelor dăunătoare ale acestora, cum ar fi seceta, inunda</w:t>
      </w:r>
      <w:r w:rsidR="008E78D4">
        <w:t>ț</w:t>
      </w:r>
      <w:r w:rsidRPr="00462482">
        <w:t xml:space="preserve">iile </w:t>
      </w:r>
      <w:r w:rsidR="008E78D4">
        <w:t>ș</w:t>
      </w:r>
      <w:r w:rsidRPr="00462482">
        <w:t xml:space="preserve">i furtunile, crizele alimentare </w:t>
      </w:r>
      <w:r w:rsidR="008E78D4">
        <w:t>ș</w:t>
      </w:r>
      <w:r w:rsidRPr="00462482">
        <w:t>i poluarea; întrucât peste unul din patru decese în rândul copiilor sub cinci ani la nivel mondial este legat în mod direct sau indirect de riscurile de mediu</w:t>
      </w:r>
      <w:r w:rsidRPr="00462482">
        <w:rPr>
          <w:rStyle w:val="FootnoteReference"/>
        </w:rPr>
        <w:footnoteReference w:id="7"/>
      </w:r>
      <w:r w:rsidRPr="00462482">
        <w:t>;</w:t>
      </w:r>
    </w:p>
    <w:p w:rsidR="001241CE" w:rsidRPr="00462482" w:rsidRDefault="00772CC5" w:rsidP="001241CE">
      <w:pPr>
        <w:pStyle w:val="Normal12Hanging"/>
      </w:pPr>
      <w:r w:rsidRPr="00462482">
        <w:t>N.</w:t>
      </w:r>
      <w:r w:rsidRPr="00462482">
        <w:tab/>
        <w:t>întrucât, aproape una din patru victime ale traficului de persoane înregistrat în UE este un copil, inclusiv în interiorul propriului său stat membru; întrucât sunt vizate, în primul rând, fetele, care fac obiectul traficului de persoane în scopul exploatării sexuale</w:t>
      </w:r>
      <w:r w:rsidRPr="00462482">
        <w:rPr>
          <w:rStyle w:val="FootnoteReference"/>
        </w:rPr>
        <w:footnoteReference w:id="8"/>
      </w:r>
      <w:r w:rsidRPr="00462482">
        <w:t>;</w:t>
      </w:r>
    </w:p>
    <w:p w:rsidR="001241CE" w:rsidRPr="00462482" w:rsidRDefault="00772CC5" w:rsidP="001241CE">
      <w:pPr>
        <w:pStyle w:val="Normal12Hanging"/>
      </w:pPr>
      <w:r w:rsidRPr="00462482">
        <w:t>O.</w:t>
      </w:r>
      <w:r w:rsidRPr="00462482">
        <w:tab/>
        <w:t xml:space="preserve">întrucât abuzul sexual asupra copiilor </w:t>
      </w:r>
      <w:r w:rsidR="008E78D4">
        <w:t>ș</w:t>
      </w:r>
      <w:r w:rsidRPr="00462482">
        <w:t xml:space="preserve">i exploatarea sexuală a copiilor în mediul online reprezintă o încălcare gravă a drepturilor fundamentale ale copiilor, având ca rezultat traume enorme </w:t>
      </w:r>
      <w:r w:rsidR="008E78D4">
        <w:t>ș</w:t>
      </w:r>
      <w:r w:rsidRPr="00462482">
        <w:t>i efecte dăunătoare de lungă durată asupra victimelor copii, care se pot resim</w:t>
      </w:r>
      <w:r w:rsidR="008E78D4">
        <w:t>ț</w:t>
      </w:r>
      <w:r w:rsidRPr="00462482">
        <w:t xml:space="preserve">i până târziu la vârsta adultă, </w:t>
      </w:r>
      <w:r w:rsidR="008E78D4">
        <w:t>ș</w:t>
      </w:r>
      <w:r w:rsidRPr="00462482">
        <w:t>i reprezintă un fenomen în continuă evolu</w:t>
      </w:r>
      <w:r w:rsidR="008E78D4">
        <w:t>ț</w:t>
      </w:r>
      <w:r w:rsidRPr="00462482">
        <w:t xml:space="preserve">ie; întrucât noile forme de criminalitate, cum ar fi „pornografia vindicativă” </w:t>
      </w:r>
      <w:r w:rsidR="008E78D4">
        <w:t>ș</w:t>
      </w:r>
      <w:r w:rsidRPr="00462482">
        <w:t>i extorsiunea de favoruri sexuale („sextortion”) sunt în cre</w:t>
      </w:r>
      <w:r w:rsidR="008E78D4">
        <w:t>ș</w:t>
      </w:r>
      <w:r w:rsidRPr="00462482">
        <w:t xml:space="preserve">tere pe internet </w:t>
      </w:r>
      <w:r w:rsidR="008E78D4">
        <w:t>ș</w:t>
      </w:r>
      <w:r w:rsidRPr="00462482">
        <w:t xml:space="preserve">i trebuie să fie abordate de statele </w:t>
      </w:r>
      <w:r w:rsidR="007256B8" w:rsidRPr="00462482">
        <w:t>membre</w:t>
      </w:r>
      <w:r w:rsidRPr="00462482">
        <w:t xml:space="preserve"> prin măsuri concrete; întrucât, potrivit celor mai recente date, numărul de imagini care con</w:t>
      </w:r>
      <w:r w:rsidR="008E78D4">
        <w:t>ț</w:t>
      </w:r>
      <w:r w:rsidRPr="00462482">
        <w:t xml:space="preserve">in abuzuri sexuale asupra copiilor în mediul online a crescut dramatic </w:t>
      </w:r>
      <w:r w:rsidR="008E78D4">
        <w:t>ș</w:t>
      </w:r>
      <w:r w:rsidRPr="00462482">
        <w:t xml:space="preserve">i într-un ritm fără precedent, odată cu utilizarea pe scară largă a internetului, </w:t>
      </w:r>
      <w:r w:rsidR="008E78D4">
        <w:t>ș</w:t>
      </w:r>
      <w:r w:rsidRPr="00462482">
        <w:t xml:space="preserve">i se estimează că 45 de milioane de imagini </w:t>
      </w:r>
      <w:r w:rsidR="008E78D4">
        <w:t>ș</w:t>
      </w:r>
      <w:r w:rsidRPr="00462482">
        <w:t>i videoclipuri sunt semnalate drept abuzuri sexuale asupra copiilor</w:t>
      </w:r>
      <w:r w:rsidRPr="00462482">
        <w:rPr>
          <w:rStyle w:val="FootnoteReference"/>
        </w:rPr>
        <w:footnoteReference w:id="9"/>
      </w:r>
      <w:r w:rsidRPr="00462482">
        <w:t>;</w:t>
      </w:r>
    </w:p>
    <w:p w:rsidR="001241CE" w:rsidRPr="00462482" w:rsidRDefault="00772CC5" w:rsidP="001241CE">
      <w:pPr>
        <w:pStyle w:val="Normal12Hanging"/>
      </w:pPr>
      <w:r w:rsidRPr="00462482">
        <w:t>P.</w:t>
      </w:r>
      <w:r w:rsidRPr="00462482">
        <w:tab/>
      </w:r>
      <w:r w:rsidRPr="00462482">
        <w:rPr>
          <w:szCs w:val="24"/>
          <w:shd w:val="clear" w:color="auto" w:fill="FFFFFF"/>
        </w:rPr>
        <w:t>întrucât dreptul copiilor la educa</w:t>
      </w:r>
      <w:r w:rsidR="008E78D4">
        <w:rPr>
          <w:szCs w:val="24"/>
          <w:shd w:val="clear" w:color="auto" w:fill="FFFFFF"/>
        </w:rPr>
        <w:t>ț</w:t>
      </w:r>
      <w:r w:rsidRPr="00462482">
        <w:rPr>
          <w:szCs w:val="24"/>
          <w:shd w:val="clear" w:color="auto" w:fill="FFFFFF"/>
        </w:rPr>
        <w:t>ie trebuie garantat întotdeauna</w:t>
      </w:r>
      <w:r w:rsidRPr="00462482">
        <w:t>,</w:t>
      </w:r>
    </w:p>
    <w:p w:rsidR="001241CE" w:rsidRPr="00462482" w:rsidRDefault="00772CC5" w:rsidP="001241CE">
      <w:pPr>
        <w:pStyle w:val="Normal12Hanging"/>
        <w:rPr>
          <w:b/>
          <w:i/>
        </w:rPr>
      </w:pPr>
      <w:r w:rsidRPr="00462482">
        <w:rPr>
          <w:b/>
          <w:i/>
        </w:rPr>
        <w:t>Observa</w:t>
      </w:r>
      <w:r w:rsidR="008E78D4">
        <w:rPr>
          <w:b/>
          <w:i/>
        </w:rPr>
        <w:t>ț</w:t>
      </w:r>
      <w:r w:rsidRPr="00462482">
        <w:rPr>
          <w:b/>
          <w:i/>
        </w:rPr>
        <w:t>ii generale</w:t>
      </w:r>
    </w:p>
    <w:p w:rsidR="001241CE" w:rsidRPr="00462482" w:rsidRDefault="00772CC5" w:rsidP="001241CE">
      <w:pPr>
        <w:pStyle w:val="Normal12Hanging"/>
      </w:pPr>
      <w:r w:rsidRPr="00462482">
        <w:t>1.</w:t>
      </w:r>
      <w:r w:rsidRPr="00462482">
        <w:tab/>
        <w:t xml:space="preserve">consideră că drepturile copiilor ar trebui să se afle în centrul politicilor UE </w:t>
      </w:r>
      <w:r w:rsidR="008E78D4">
        <w:t>ș</w:t>
      </w:r>
      <w:r w:rsidRPr="00462482">
        <w:t xml:space="preserve">i că cea de-a 30-a aniversare a CDC reprezintă o ocazie unică de a asigura punerea în aplicare deplină a acesteia la nivel de politici </w:t>
      </w:r>
      <w:r w:rsidR="008E78D4">
        <w:t>ș</w:t>
      </w:r>
      <w:r w:rsidRPr="00462482">
        <w:t xml:space="preserve">i de practică </w:t>
      </w:r>
      <w:r w:rsidR="008E78D4">
        <w:t>ș</w:t>
      </w:r>
      <w:r w:rsidRPr="00462482">
        <w:t>i de a lua măsuri suplimentare pentru a asigura respectarea drepturilor tuturor copiilor de pretutindeni, în special ale celor mai vulnerabili dintre ace</w:t>
      </w:r>
      <w:r w:rsidR="008E78D4">
        <w:t>ș</w:t>
      </w:r>
      <w:r w:rsidRPr="00462482">
        <w:t>tia, fără excep</w:t>
      </w:r>
      <w:r w:rsidR="008E78D4">
        <w:t>ț</w:t>
      </w:r>
      <w:r w:rsidRPr="00462482">
        <w:t>ie;</w:t>
      </w:r>
    </w:p>
    <w:p w:rsidR="001241CE" w:rsidRPr="00462482" w:rsidRDefault="00772CC5" w:rsidP="001241CE">
      <w:pPr>
        <w:pStyle w:val="Normal12Hanging"/>
      </w:pPr>
      <w:r w:rsidRPr="00462482">
        <w:t>2.</w:t>
      </w:r>
      <w:r w:rsidRPr="00462482">
        <w:tab/>
        <w:t>o îndeamnă pe pre</w:t>
      </w:r>
      <w:r w:rsidR="008E78D4">
        <w:t>ș</w:t>
      </w:r>
      <w:r w:rsidRPr="00462482">
        <w:t>edinta aleasă a Comisiei să ia măsuri concrete pentru a conferi o mai mare vizibilitate ac</w:t>
      </w:r>
      <w:r w:rsidR="008E78D4">
        <w:t>ț</w:t>
      </w:r>
      <w:r w:rsidRPr="00462482">
        <w:t>iunilor UE în ceea ce prive</w:t>
      </w:r>
      <w:r w:rsidR="008E78D4">
        <w:t>ș</w:t>
      </w:r>
      <w:r w:rsidRPr="00462482">
        <w:t>te drepturile copiilor, de exemplu prin numirea unei personalită</w:t>
      </w:r>
      <w:r w:rsidR="008E78D4">
        <w:t>ț</w:t>
      </w:r>
      <w:r w:rsidRPr="00462482">
        <w:t xml:space="preserve">i publice de nivel înalt în calitate de reprezentant al UE pentru drepturile copiilor; sugerează că acest reprezentant ar trebui să aibă o responsabilitate explicită </w:t>
      </w:r>
      <w:r w:rsidR="008E78D4">
        <w:t>ș</w:t>
      </w:r>
      <w:r w:rsidRPr="00462482">
        <w:t>i exclusivă pentru copii, ar trebui să servească drept punct de referin</w:t>
      </w:r>
      <w:r w:rsidR="008E78D4">
        <w:t>ț</w:t>
      </w:r>
      <w:r w:rsidRPr="00462482">
        <w:t xml:space="preserve">ă pentru toate chestiunile </w:t>
      </w:r>
      <w:r w:rsidR="008E78D4">
        <w:t>ș</w:t>
      </w:r>
      <w:r w:rsidRPr="00462482">
        <w:t xml:space="preserve">i domeniile de politică ale UE legate de copii </w:t>
      </w:r>
      <w:r w:rsidR="008E78D4">
        <w:t>ș</w:t>
      </w:r>
      <w:r w:rsidRPr="00462482">
        <w:t xml:space="preserve">i ar trebui să asigure o abordare consecventă </w:t>
      </w:r>
      <w:r w:rsidR="008E78D4">
        <w:t>ș</w:t>
      </w:r>
      <w:r w:rsidRPr="00462482">
        <w:t>i coordonată în ceea ce prive</w:t>
      </w:r>
      <w:r w:rsidR="008E78D4">
        <w:t>ș</w:t>
      </w:r>
      <w:r w:rsidRPr="00462482">
        <w:t>te protec</w:t>
      </w:r>
      <w:r w:rsidR="008E78D4">
        <w:t>ț</w:t>
      </w:r>
      <w:r w:rsidRPr="00462482">
        <w:t xml:space="preserve">ia drepturilor copiilor în cadrul tuturor politicilor </w:t>
      </w:r>
      <w:r w:rsidR="008E78D4">
        <w:t>ș</w:t>
      </w:r>
      <w:r w:rsidRPr="00462482">
        <w:t>i ac</w:t>
      </w:r>
      <w:r w:rsidR="008E78D4">
        <w:t>ț</w:t>
      </w:r>
      <w:r w:rsidRPr="00462482">
        <w:t xml:space="preserve">iunilor interne </w:t>
      </w:r>
      <w:r w:rsidR="008E78D4">
        <w:t>ș</w:t>
      </w:r>
      <w:r w:rsidRPr="00462482">
        <w:t>i externe ale UE; solicită crearea unui centru al UE pentru protec</w:t>
      </w:r>
      <w:r w:rsidR="008E78D4">
        <w:t>ț</w:t>
      </w:r>
      <w:r w:rsidRPr="00462482">
        <w:t xml:space="preserve">ia copilului, care să asigure această abordare eficace </w:t>
      </w:r>
      <w:r w:rsidR="008E78D4">
        <w:t>ș</w:t>
      </w:r>
      <w:r w:rsidRPr="00462482">
        <w:t xml:space="preserve">i coordonată </w:t>
      </w:r>
      <w:r w:rsidR="008E78D4">
        <w:t>ș</w:t>
      </w:r>
      <w:r w:rsidRPr="00462482">
        <w:t xml:space="preserve">i să ofere un răspuns eficace </w:t>
      </w:r>
      <w:r w:rsidR="008E78D4">
        <w:t>ș</w:t>
      </w:r>
      <w:r w:rsidRPr="00462482">
        <w:t xml:space="preserve">i coordonat la abuzurile sexuale asupra copiilor </w:t>
      </w:r>
      <w:r w:rsidR="008E78D4">
        <w:t>ș</w:t>
      </w:r>
      <w:r w:rsidRPr="00462482">
        <w:t>i la toate formele de violen</w:t>
      </w:r>
      <w:r w:rsidR="008E78D4">
        <w:t>ț</w:t>
      </w:r>
      <w:r w:rsidRPr="00462482">
        <w:t>ă împotriva copiilor;</w:t>
      </w:r>
    </w:p>
    <w:p w:rsidR="001241CE" w:rsidRPr="00462482" w:rsidRDefault="00772CC5" w:rsidP="001241CE">
      <w:pPr>
        <w:pStyle w:val="Normal12Hanging"/>
      </w:pPr>
      <w:r w:rsidRPr="00462482">
        <w:t>3.</w:t>
      </w:r>
      <w:r w:rsidRPr="00462482">
        <w:tab/>
        <w:t xml:space="preserve">solicită Comisiei </w:t>
      </w:r>
      <w:r w:rsidR="008E78D4">
        <w:t>ș</w:t>
      </w:r>
      <w:r w:rsidRPr="00462482">
        <w:t>i statelor membre să garanteze că principiul interesului superior al copilului este întotdeauna pe deplin respectat de întreaga legisla</w:t>
      </w:r>
      <w:r w:rsidR="008E78D4">
        <w:t>ț</w:t>
      </w:r>
      <w:r w:rsidRPr="00462482">
        <w:t xml:space="preserve">ie </w:t>
      </w:r>
      <w:r w:rsidR="008E78D4">
        <w:t>ș</w:t>
      </w:r>
      <w:r w:rsidRPr="00462482">
        <w:t>i în deciziile adoptate de reprezentan</w:t>
      </w:r>
      <w:r w:rsidR="008E78D4">
        <w:t>ț</w:t>
      </w:r>
      <w:r w:rsidRPr="00462482">
        <w:t xml:space="preserve">ii guvernamentali la toate nivelurile </w:t>
      </w:r>
      <w:r w:rsidR="008E78D4">
        <w:t>ș</w:t>
      </w:r>
      <w:r w:rsidRPr="00462482">
        <w:t>i în toate hotărârile instan</w:t>
      </w:r>
      <w:r w:rsidR="008E78D4">
        <w:t>ț</w:t>
      </w:r>
      <w:r w:rsidRPr="00462482">
        <w:t xml:space="preserve">elor </w:t>
      </w:r>
      <w:r w:rsidR="008E78D4">
        <w:t>ș</w:t>
      </w:r>
      <w:r w:rsidRPr="00462482">
        <w:t>i încurajează statele membre să facă schimb de bune practici, pentru a îmbunătă</w:t>
      </w:r>
      <w:r w:rsidR="008E78D4">
        <w:t>ț</w:t>
      </w:r>
      <w:r w:rsidRPr="00462482">
        <w:t>i aplicarea corectă a principiului interesului superior al copilului în cadrul UE;</w:t>
      </w:r>
    </w:p>
    <w:p w:rsidR="001241CE" w:rsidRPr="00462482" w:rsidRDefault="00772CC5" w:rsidP="001241CE">
      <w:pPr>
        <w:pStyle w:val="Normal12Hanging"/>
      </w:pPr>
      <w:r w:rsidRPr="00462482">
        <w:t>4.</w:t>
      </w:r>
      <w:r w:rsidRPr="00462482">
        <w:tab/>
        <w:t>salută angajamentul noii Comisii de a prezenta o nouă strategie cuprinzătoare privind drepturile copilului; reaminte</w:t>
      </w:r>
      <w:r w:rsidR="008E78D4">
        <w:t>ș</w:t>
      </w:r>
      <w:r w:rsidRPr="00462482">
        <w:t xml:space="preserve">te angajamentul UE de a proteja drepturile copilului, astfel cum sunt consacrate la articolul 3 alineatul (3) din TUE, la articolul 24 din Carta drepturilor fundamentale a Uniunii Europene </w:t>
      </w:r>
      <w:r w:rsidR="008E78D4">
        <w:t>ș</w:t>
      </w:r>
      <w:r w:rsidRPr="00462482">
        <w:t xml:space="preserve">i în Consensul european revizuit privind dezvoltarea; invită Comisia să prezinte o strategie pentru a sprijini </w:t>
      </w:r>
      <w:r w:rsidR="008E78D4">
        <w:t>ș</w:t>
      </w:r>
      <w:r w:rsidRPr="00462482">
        <w:t>i proteja copiii de pretutindeni, fără nicio excep</w:t>
      </w:r>
      <w:r w:rsidR="008E78D4">
        <w:t>ț</w:t>
      </w:r>
      <w:r w:rsidRPr="00462482">
        <w:t xml:space="preserve">ie, inclusiv un buget specific </w:t>
      </w:r>
      <w:r w:rsidR="008E78D4">
        <w:t>ș</w:t>
      </w:r>
      <w:r w:rsidRPr="00462482">
        <w:t xml:space="preserve">i un indicator pentru copii în alocarea bugetelor Comisiei, care ar permite măsurarea </w:t>
      </w:r>
      <w:r w:rsidR="008E78D4">
        <w:t>ș</w:t>
      </w:r>
      <w:r w:rsidRPr="00462482">
        <w:t>i monitorizarea investi</w:t>
      </w:r>
      <w:r w:rsidR="008E78D4">
        <w:t>ț</w:t>
      </w:r>
      <w:r w:rsidRPr="00462482">
        <w:t xml:space="preserve">iilor UE în copii </w:t>
      </w:r>
      <w:r w:rsidR="008E78D4">
        <w:t>ș</w:t>
      </w:r>
      <w:r w:rsidRPr="00462482">
        <w:t>i ar garanta responsabilitatea;</w:t>
      </w:r>
    </w:p>
    <w:p w:rsidR="001241CE" w:rsidRPr="00462482" w:rsidRDefault="00772CC5" w:rsidP="001241CE">
      <w:pPr>
        <w:pStyle w:val="Normal12Hanging"/>
      </w:pPr>
      <w:r w:rsidRPr="00462482">
        <w:t>5.</w:t>
      </w:r>
      <w:r w:rsidRPr="00462482">
        <w:tab/>
        <w:t>invită Comisia să analizeze modul în care UE, în calitate de organism, poate adera la CDC;</w:t>
      </w:r>
    </w:p>
    <w:p w:rsidR="001241CE" w:rsidRPr="00462482" w:rsidRDefault="00772CC5" w:rsidP="001241CE">
      <w:pPr>
        <w:pStyle w:val="Normal12Hanging"/>
      </w:pPr>
      <w:r w:rsidRPr="00462482">
        <w:t>6.</w:t>
      </w:r>
      <w:r w:rsidRPr="00462482">
        <w:tab/>
        <w:t>reaminte</w:t>
      </w:r>
      <w:r w:rsidR="008E78D4">
        <w:t>ș</w:t>
      </w:r>
      <w:r w:rsidRPr="00462482">
        <w:t xml:space="preserve">te că toate ODD sunt relevante pentru promovarea drepturilor copiilor; invită Comisia să propună, pentru UE </w:t>
      </w:r>
      <w:r w:rsidR="008E78D4">
        <w:t>ș</w:t>
      </w:r>
      <w:r w:rsidRPr="00462482">
        <w:t>i statele sale membre, un cadru ambi</w:t>
      </w:r>
      <w:r w:rsidR="008E78D4">
        <w:t>ț</w:t>
      </w:r>
      <w:r w:rsidRPr="00462482">
        <w:t xml:space="preserve">ios </w:t>
      </w:r>
      <w:r w:rsidR="008E78D4">
        <w:t>ș</w:t>
      </w:r>
      <w:r w:rsidRPr="00462482">
        <w:t xml:space="preserve">i cuprinzător privind drepturile copilului, care să le permită să îndeplinească cele 17 ODD, în special prin punerea în aplicare a ODD care se referă cel mai mult la copii </w:t>
      </w:r>
      <w:r w:rsidR="008E78D4">
        <w:t>ș</w:t>
      </w:r>
      <w:r w:rsidRPr="00462482">
        <w:t>i prin utilizarea indicatorilor ODD care sunt direct lega</w:t>
      </w:r>
      <w:r w:rsidR="008E78D4">
        <w:t>ț</w:t>
      </w:r>
      <w:r w:rsidRPr="00462482">
        <w:t>i de drepturile copiilor;</w:t>
      </w:r>
    </w:p>
    <w:p w:rsidR="001241CE" w:rsidRPr="00462482" w:rsidRDefault="00772CC5" w:rsidP="001241CE">
      <w:pPr>
        <w:pStyle w:val="Normal12Hanging"/>
      </w:pPr>
      <w:r w:rsidRPr="00462482">
        <w:t>7.</w:t>
      </w:r>
      <w:r w:rsidRPr="00462482">
        <w:tab/>
        <w:t>reaminte</w:t>
      </w:r>
      <w:r w:rsidR="008E78D4">
        <w:t>ș</w:t>
      </w:r>
      <w:r w:rsidRPr="00462482">
        <w:t xml:space="preserve">te că schimbările climatice </w:t>
      </w:r>
      <w:r w:rsidR="008E78D4">
        <w:t>ș</w:t>
      </w:r>
      <w:r w:rsidRPr="00462482">
        <w:t xml:space="preserve">i riscurile de mediu cauzate de activitatea umană, inclusiv poluarea aerului, perturbatorii endocrini </w:t>
      </w:r>
      <w:r w:rsidR="008E78D4">
        <w:t>ș</w:t>
      </w:r>
      <w:r w:rsidRPr="00462482">
        <w:t xml:space="preserve">i pesticidele, au un efect dăunător asupra copiilor; invită UE </w:t>
      </w:r>
      <w:r w:rsidR="008E78D4">
        <w:t>ș</w:t>
      </w:r>
      <w:r w:rsidRPr="00462482">
        <w:t>i statele membre să-</w:t>
      </w:r>
      <w:r w:rsidR="008E78D4">
        <w:t>ș</w:t>
      </w:r>
      <w:r w:rsidRPr="00462482">
        <w:t>i intensifice ac</w:t>
      </w:r>
      <w:r w:rsidR="008E78D4">
        <w:t>ț</w:t>
      </w:r>
      <w:r w:rsidRPr="00462482">
        <w:t xml:space="preserve">iunile menite să asigure un mediu sănătos pentru copii </w:t>
      </w:r>
      <w:r w:rsidR="008E78D4">
        <w:t>ș</w:t>
      </w:r>
      <w:r w:rsidRPr="00462482">
        <w:t>i să combată efectele negative ale schimbărilor climatice, în special prin reducerea emisiilor de gaze cu efect de seră, în conformitate cu Acordul de la Paris;</w:t>
      </w:r>
    </w:p>
    <w:p w:rsidR="001241CE" w:rsidRPr="00462482" w:rsidRDefault="00772CC5" w:rsidP="001241CE">
      <w:pPr>
        <w:pStyle w:val="Normal12Hanging"/>
      </w:pPr>
      <w:r w:rsidRPr="00462482">
        <w:t>8.</w:t>
      </w:r>
      <w:r w:rsidRPr="00462482">
        <w:tab/>
        <w:t>constată că inegalită</w:t>
      </w:r>
      <w:r w:rsidR="008E78D4">
        <w:t>ț</w:t>
      </w:r>
      <w:r w:rsidRPr="00462482">
        <w:t>ile de gen au un impact enorm asupra calită</w:t>
      </w:r>
      <w:r w:rsidR="008E78D4">
        <w:t>ț</w:t>
      </w:r>
      <w:r w:rsidRPr="00462482">
        <w:t>ii vie</w:t>
      </w:r>
      <w:r w:rsidR="008E78D4">
        <w:t>ț</w:t>
      </w:r>
      <w:r w:rsidRPr="00462482">
        <w:t xml:space="preserve">ii copiilor deoarece, în pofida progreselor remarcabile înregistrate, genul este în continuare unul dintre principalele motive de inegalitate, excluziune </w:t>
      </w:r>
      <w:r w:rsidR="008E78D4">
        <w:t>ș</w:t>
      </w:r>
      <w:r w:rsidRPr="00462482">
        <w:t>i violen</w:t>
      </w:r>
      <w:r w:rsidR="008E78D4">
        <w:t>ț</w:t>
      </w:r>
      <w:r w:rsidRPr="00462482">
        <w:t xml:space="preserve">ă în întreaga lume </w:t>
      </w:r>
      <w:r w:rsidR="008E78D4">
        <w:t>ș</w:t>
      </w:r>
      <w:r w:rsidRPr="00462482">
        <w:t>i are un impact profund asupra copiilor;</w:t>
      </w:r>
    </w:p>
    <w:p w:rsidR="001241CE" w:rsidRPr="00462482" w:rsidRDefault="00772CC5" w:rsidP="001241CE">
      <w:pPr>
        <w:pStyle w:val="Normal12Hanging"/>
      </w:pPr>
      <w:r w:rsidRPr="00462482">
        <w:t>9.</w:t>
      </w:r>
      <w:r w:rsidRPr="00462482">
        <w:tab/>
        <w:t xml:space="preserve">subliniază faptul că copiii sunt consumatori vulnerabili </w:t>
      </w:r>
      <w:r w:rsidR="008E78D4">
        <w:t>ș</w:t>
      </w:r>
      <w:r w:rsidRPr="00462482">
        <w:t>i, prin urmare, invită statele membre să protejeze copiii împotriva publicită</w:t>
      </w:r>
      <w:r w:rsidR="008E78D4">
        <w:t>ț</w:t>
      </w:r>
      <w:r w:rsidRPr="00462482">
        <w:t>ii agresive, în</w:t>
      </w:r>
      <w:r w:rsidR="008E78D4">
        <w:t>ș</w:t>
      </w:r>
      <w:r w:rsidRPr="00462482">
        <w:t xml:space="preserve">elătoare </w:t>
      </w:r>
      <w:r w:rsidR="008E78D4">
        <w:t>ș</w:t>
      </w:r>
      <w:r w:rsidRPr="00462482">
        <w:t xml:space="preserve">i intruzive </w:t>
      </w:r>
      <w:r w:rsidR="008E78D4">
        <w:t>ș</w:t>
      </w:r>
      <w:r w:rsidRPr="00462482">
        <w:t>i a creării de profiluri ale copiilor în scopuri comerciale, pentru a se asigura că comunicările comerciale audiovizuale puse la dispozi</w:t>
      </w:r>
      <w:r w:rsidR="008E78D4">
        <w:t>ț</w:t>
      </w:r>
      <w:r w:rsidRPr="00462482">
        <w:t xml:space="preserve">ie de furnizorii de servicii mass-media </w:t>
      </w:r>
      <w:r w:rsidR="008E78D4">
        <w:t>ș</w:t>
      </w:r>
      <w:r w:rsidRPr="00462482">
        <w:t>i de furnizorii de platforme de partajare a materialelor video afla</w:t>
      </w:r>
      <w:r w:rsidR="008E78D4">
        <w:t>ț</w:t>
      </w:r>
      <w:r w:rsidRPr="00462482">
        <w:t>i sub jurisdic</w:t>
      </w:r>
      <w:r w:rsidR="008E78D4">
        <w:t>ț</w:t>
      </w:r>
      <w:r w:rsidRPr="00462482">
        <w:t>ia lor nu încurajează comportamente care prejudiciază sănătatea sau siguran</w:t>
      </w:r>
      <w:r w:rsidR="008E78D4">
        <w:t>ț</w:t>
      </w:r>
      <w:r w:rsidRPr="00462482">
        <w:t>a copiilor, în special în ceea ce prive</w:t>
      </w:r>
      <w:r w:rsidR="008E78D4">
        <w:t>ș</w:t>
      </w:r>
      <w:r w:rsidRPr="00462482">
        <w:t xml:space="preserve">te alimentele </w:t>
      </w:r>
      <w:r w:rsidR="008E78D4">
        <w:t>ș</w:t>
      </w:r>
      <w:r w:rsidRPr="00462482">
        <w:t>i băuturile cu un con</w:t>
      </w:r>
      <w:r w:rsidR="008E78D4">
        <w:t>ț</w:t>
      </w:r>
      <w:r w:rsidRPr="00462482">
        <w:t>inut ridicat de sare, zahăr sau grăsimi, ori care nu respectă orientările în materie de nutri</w:t>
      </w:r>
      <w:r w:rsidR="008E78D4">
        <w:t>ț</w:t>
      </w:r>
      <w:r w:rsidRPr="00462482">
        <w:t>ie de la nivel na</w:t>
      </w:r>
      <w:r w:rsidR="008E78D4">
        <w:t>ț</w:t>
      </w:r>
      <w:r w:rsidRPr="00462482">
        <w:t>ional sau interna</w:t>
      </w:r>
      <w:r w:rsidR="008E78D4">
        <w:t>ț</w:t>
      </w:r>
      <w:r w:rsidRPr="00462482">
        <w:t>ional;</w:t>
      </w:r>
    </w:p>
    <w:p w:rsidR="001241CE" w:rsidRPr="00462482" w:rsidRDefault="00772CC5" w:rsidP="001241CE">
      <w:pPr>
        <w:pStyle w:val="Normal12Hanging"/>
      </w:pPr>
      <w:r w:rsidRPr="00462482">
        <w:t>10.</w:t>
      </w:r>
      <w:r w:rsidRPr="00462482">
        <w:tab/>
        <w:t>salută faptul că eradicarea muncii copiilor este una dintre priorită</w:t>
      </w:r>
      <w:r w:rsidR="008E78D4">
        <w:t>ț</w:t>
      </w:r>
      <w:r w:rsidRPr="00462482">
        <w:t>ile noii Comisii; invită noua Comisie să aplice o abordare de toleran</w:t>
      </w:r>
      <w:r w:rsidR="008E78D4">
        <w:t>ț</w:t>
      </w:r>
      <w:r w:rsidRPr="00462482">
        <w:t>ă zero în ceea ce prive</w:t>
      </w:r>
      <w:r w:rsidR="008E78D4">
        <w:t>ș</w:t>
      </w:r>
      <w:r w:rsidRPr="00462482">
        <w:t xml:space="preserve">te munca copiilor; solicită măsuri care să oblige industriile să elimine munca copiilor; solicită UE </w:t>
      </w:r>
      <w:r w:rsidR="008E78D4">
        <w:t>ș</w:t>
      </w:r>
      <w:r w:rsidRPr="00462482">
        <w:t>i statelor sale membre să se asigure că bunurile care circulă pe teritoriul lor nu au fost produse folosind munca for</w:t>
      </w:r>
      <w:r w:rsidR="008E78D4">
        <w:t>ț</w:t>
      </w:r>
      <w:r w:rsidRPr="00462482">
        <w:t>ată sau munca copiilor;</w:t>
      </w:r>
    </w:p>
    <w:p w:rsidR="001241CE" w:rsidRPr="00462482" w:rsidRDefault="00772CC5" w:rsidP="001241CE">
      <w:pPr>
        <w:pStyle w:val="Normal12Hanging"/>
        <w:rPr>
          <w:b/>
          <w:i/>
        </w:rPr>
      </w:pPr>
      <w:r w:rsidRPr="00462482">
        <w:rPr>
          <w:b/>
          <w:i/>
        </w:rPr>
        <w:t>Politici interne</w:t>
      </w:r>
    </w:p>
    <w:p w:rsidR="001241CE" w:rsidRPr="00462482" w:rsidRDefault="00772CC5" w:rsidP="001241CE">
      <w:pPr>
        <w:pStyle w:val="Normal12Hanging"/>
        <w:rPr>
          <w:i/>
        </w:rPr>
      </w:pPr>
      <w:r w:rsidRPr="00462482">
        <w:rPr>
          <w:i/>
        </w:rPr>
        <w:t>Încetarea tuturor formelor de violen</w:t>
      </w:r>
      <w:r w:rsidR="008E78D4">
        <w:rPr>
          <w:i/>
        </w:rPr>
        <w:t>ț</w:t>
      </w:r>
      <w:r w:rsidRPr="00462482">
        <w:rPr>
          <w:i/>
        </w:rPr>
        <w:t>ă împotriva copiilor</w:t>
      </w:r>
    </w:p>
    <w:p w:rsidR="001241CE" w:rsidRPr="00462482" w:rsidRDefault="00772CC5" w:rsidP="001241CE">
      <w:pPr>
        <w:pStyle w:val="Normal12Hanging"/>
      </w:pPr>
      <w:r w:rsidRPr="00462482">
        <w:t>11.</w:t>
      </w:r>
      <w:r w:rsidRPr="00462482">
        <w:tab/>
        <w:t>condamnă toate formele de violen</w:t>
      </w:r>
      <w:r w:rsidR="008E78D4">
        <w:t>ț</w:t>
      </w:r>
      <w:r w:rsidRPr="00462482">
        <w:t xml:space="preserve">ă împotriva copiilor, precum abuzurile fizice, sexuale </w:t>
      </w:r>
      <w:r w:rsidR="008E78D4">
        <w:t>ș</w:t>
      </w:r>
      <w:r w:rsidRPr="00462482">
        <w:t>i verbale, violen</w:t>
      </w:r>
      <w:r w:rsidR="008E78D4">
        <w:t>ț</w:t>
      </w:r>
      <w:r w:rsidRPr="00462482">
        <w:t xml:space="preserve">a online </w:t>
      </w:r>
      <w:r w:rsidR="008E78D4">
        <w:t>ș</w:t>
      </w:r>
      <w:r w:rsidRPr="00462482">
        <w:t>i offline, căsătoriile for</w:t>
      </w:r>
      <w:r w:rsidR="008E78D4">
        <w:t>ț</w:t>
      </w:r>
      <w:r w:rsidRPr="00462482">
        <w:t>ate, munca copiilor, prostitu</w:t>
      </w:r>
      <w:r w:rsidR="008E78D4">
        <w:t>ț</w:t>
      </w:r>
      <w:r w:rsidRPr="00462482">
        <w:t>ia, traficul de fiin</w:t>
      </w:r>
      <w:r w:rsidR="008E78D4">
        <w:t>ț</w:t>
      </w:r>
      <w:r w:rsidRPr="00462482">
        <w:t xml:space="preserve">e umane, traficul de organe, tortura, alte tratamente sau pedepse crude, inumane sau degradante, crimele de onoare, mutilarea genitală a femeilor, recrutarea, înrolarea </w:t>
      </w:r>
      <w:r w:rsidR="008E78D4">
        <w:t>ș</w:t>
      </w:r>
      <w:r w:rsidRPr="00462482">
        <w:t>i folosirea copiilor ca solda</w:t>
      </w:r>
      <w:r w:rsidR="008E78D4">
        <w:t>ț</w:t>
      </w:r>
      <w:r w:rsidRPr="00462482">
        <w:t xml:space="preserve">i </w:t>
      </w:r>
      <w:r w:rsidR="008E78D4">
        <w:t>ș</w:t>
      </w:r>
      <w:r w:rsidRPr="00462482">
        <w:t>i scuturi umane, priva</w:t>
      </w:r>
      <w:r w:rsidR="008E78D4">
        <w:t>ț</w:t>
      </w:r>
      <w:r w:rsidRPr="00462482">
        <w:t>iunile, neglijen</w:t>
      </w:r>
      <w:r w:rsidR="008E78D4">
        <w:t>ț</w:t>
      </w:r>
      <w:r w:rsidRPr="00462482">
        <w:t xml:space="preserve">a </w:t>
      </w:r>
      <w:r w:rsidR="008E78D4">
        <w:t>ș</w:t>
      </w:r>
      <w:r w:rsidRPr="00462482">
        <w:t>i malnutri</w:t>
      </w:r>
      <w:r w:rsidR="008E78D4">
        <w:t>ț</w:t>
      </w:r>
      <w:r w:rsidRPr="00462482">
        <w:t xml:space="preserve">ia, precum </w:t>
      </w:r>
      <w:r w:rsidR="008E78D4">
        <w:t>ș</w:t>
      </w:r>
      <w:r w:rsidRPr="00462482">
        <w:t>i violen</w:t>
      </w:r>
      <w:r w:rsidR="008E78D4">
        <w:t>ț</w:t>
      </w:r>
      <w:r w:rsidRPr="00462482">
        <w:t xml:space="preserve">a psihologică </w:t>
      </w:r>
      <w:r w:rsidR="008E78D4">
        <w:t>ș</w:t>
      </w:r>
      <w:r w:rsidRPr="00462482">
        <w:t>i toate formele de hăr</w:t>
      </w:r>
      <w:r w:rsidR="008E78D4">
        <w:t>ț</w:t>
      </w:r>
      <w:r w:rsidRPr="00462482">
        <w:t>uire; consideră că tradi</w:t>
      </w:r>
      <w:r w:rsidR="008E78D4">
        <w:t>ț</w:t>
      </w:r>
      <w:r w:rsidRPr="00462482">
        <w:t>ia, cultura, religia sau credin</w:t>
      </w:r>
      <w:r w:rsidR="008E78D4">
        <w:t>ț</w:t>
      </w:r>
      <w:r w:rsidRPr="00462482">
        <w:t>ele, opiniile politice sau de altă natură nu ar trebui utilizate niciodată pentru a justifica violen</w:t>
      </w:r>
      <w:r w:rsidR="008E78D4">
        <w:t>ț</w:t>
      </w:r>
      <w:r w:rsidRPr="00462482">
        <w:t>a împotriva copiilor; reaminte</w:t>
      </w:r>
      <w:r w:rsidR="008E78D4">
        <w:t>ș</w:t>
      </w:r>
      <w:r w:rsidRPr="00462482">
        <w:t>te rolul important pe care îl pot juca comunită</w:t>
      </w:r>
      <w:r w:rsidR="008E78D4">
        <w:t>ț</w:t>
      </w:r>
      <w:r w:rsidRPr="00462482">
        <w:t xml:space="preserve">ile </w:t>
      </w:r>
      <w:r w:rsidR="008E78D4">
        <w:t>ș</w:t>
      </w:r>
      <w:r w:rsidRPr="00462482">
        <w:t>i organiza</w:t>
      </w:r>
      <w:r w:rsidR="008E78D4">
        <w:t>ț</w:t>
      </w:r>
      <w:r w:rsidRPr="00462482">
        <w:t>iile societă</w:t>
      </w:r>
      <w:r w:rsidR="008E78D4">
        <w:t>ț</w:t>
      </w:r>
      <w:r w:rsidRPr="00462482">
        <w:t>ii civile în eliminarea tuturor formelor de violen</w:t>
      </w:r>
      <w:r w:rsidR="008E78D4">
        <w:t>ț</w:t>
      </w:r>
      <w:r w:rsidRPr="00462482">
        <w:t>ă împotriva copiilor;</w:t>
      </w:r>
    </w:p>
    <w:p w:rsidR="001241CE" w:rsidRPr="00462482" w:rsidRDefault="00772CC5" w:rsidP="001241CE">
      <w:pPr>
        <w:pStyle w:val="Normal12Hanging"/>
      </w:pPr>
      <w:r w:rsidRPr="00462482">
        <w:t>12.</w:t>
      </w:r>
      <w:r w:rsidRPr="00462482">
        <w:tab/>
        <w:t>invită statele membre să elaboreze o legisla</w:t>
      </w:r>
      <w:r w:rsidR="008E78D4">
        <w:t>ț</w:t>
      </w:r>
      <w:r w:rsidRPr="00462482">
        <w:t xml:space="preserve">ie care să interzică </w:t>
      </w:r>
      <w:r w:rsidR="008E78D4">
        <w:t>ș</w:t>
      </w:r>
      <w:r w:rsidRPr="00462482">
        <w:t>i să sanc</w:t>
      </w:r>
      <w:r w:rsidR="008E78D4">
        <w:t>ț</w:t>
      </w:r>
      <w:r w:rsidRPr="00462482">
        <w:t>ioneze pedepsele corporale împotriva copiilor sau, în cazurile în care o astfel de legisla</w:t>
      </w:r>
      <w:r w:rsidR="008E78D4">
        <w:t>ț</w:t>
      </w:r>
      <w:r w:rsidRPr="00462482">
        <w:t>ie există deja, să asigure punerea în aplicare efectivă a acesteia;</w:t>
      </w:r>
    </w:p>
    <w:p w:rsidR="001241CE" w:rsidRPr="00462482" w:rsidRDefault="00772CC5" w:rsidP="001241CE">
      <w:pPr>
        <w:pStyle w:val="Normal12Hanging"/>
      </w:pPr>
      <w:r w:rsidRPr="00462482">
        <w:t>13.</w:t>
      </w:r>
      <w:r w:rsidRPr="00462482">
        <w:tab/>
        <w:t xml:space="preserve">îndeamnă Comisia </w:t>
      </w:r>
      <w:r w:rsidR="008E78D4">
        <w:t>ș</w:t>
      </w:r>
      <w:r w:rsidRPr="00462482">
        <w:t>i statele membre să elaboreze o strategie na</w:t>
      </w:r>
      <w:r w:rsidR="008E78D4">
        <w:t>ț</w:t>
      </w:r>
      <w:r w:rsidRPr="00462482">
        <w:t xml:space="preserve">ională </w:t>
      </w:r>
      <w:r w:rsidR="008E78D4">
        <w:t>ș</w:t>
      </w:r>
      <w:r w:rsidRPr="00462482">
        <w:t>i să pună în aplicare o abordare globală, care să implice mai multe păr</w:t>
      </w:r>
      <w:r w:rsidR="008E78D4">
        <w:t>ț</w:t>
      </w:r>
      <w:r w:rsidRPr="00462482">
        <w:t>i interesate, pentru a eradica violen</w:t>
      </w:r>
      <w:r w:rsidR="008E78D4">
        <w:t>ț</w:t>
      </w:r>
      <w:r w:rsidRPr="00462482">
        <w:t xml:space="preserve">a sexuală </w:t>
      </w:r>
      <w:r w:rsidR="008E78D4">
        <w:t>ș</w:t>
      </w:r>
      <w:r w:rsidRPr="00462482">
        <w:t xml:space="preserve">i abuzurile asupra copiilor, atât online, cât </w:t>
      </w:r>
      <w:r w:rsidR="008E78D4">
        <w:t>ș</w:t>
      </w:r>
      <w:r w:rsidRPr="00462482">
        <w:t>i offline; subliniază că este esen</w:t>
      </w:r>
      <w:r w:rsidR="008E78D4">
        <w:t>ț</w:t>
      </w:r>
      <w:r w:rsidRPr="00462482">
        <w:t xml:space="preserve">ial să se coopereze cu întreprinderile </w:t>
      </w:r>
      <w:r w:rsidR="008E78D4">
        <w:t>ș</w:t>
      </w:r>
      <w:r w:rsidRPr="00462482">
        <w:t xml:space="preserve">i solicită întreprinderilor din domeniul TIC </w:t>
      </w:r>
      <w:r w:rsidR="008E78D4">
        <w:t>ș</w:t>
      </w:r>
      <w:r w:rsidRPr="00462482">
        <w:t>i platformelor online să î</w:t>
      </w:r>
      <w:r w:rsidR="008E78D4">
        <w:t>ș</w:t>
      </w:r>
      <w:r w:rsidRPr="00462482">
        <w:t xml:space="preserve">i asume partea lor de responsabilitate în lupta împotriva abuzului sexual asupra copiilor </w:t>
      </w:r>
      <w:r w:rsidR="008E78D4">
        <w:t>ș</w:t>
      </w:r>
      <w:r w:rsidRPr="00462482">
        <w:t>i a exploatării sexuale a copiilor în mediul online; subliniază că este important ca statele membre să lanseze, pe lângă campanii adresate părin</w:t>
      </w:r>
      <w:r w:rsidR="008E78D4">
        <w:t>ț</w:t>
      </w:r>
      <w:r w:rsidRPr="00462482">
        <w:t>ilor, campanii na</w:t>
      </w:r>
      <w:r w:rsidR="008E78D4">
        <w:t>ț</w:t>
      </w:r>
      <w:r w:rsidRPr="00462482">
        <w:t xml:space="preserve">ionale de sensibilizare care să informeze copiii într-un mod adaptat lor cu privire la riscurile </w:t>
      </w:r>
      <w:r w:rsidR="008E78D4">
        <w:t>ș</w:t>
      </w:r>
      <w:r w:rsidRPr="00462482">
        <w:t>i amenin</w:t>
      </w:r>
      <w:r w:rsidR="008E78D4">
        <w:t>ț</w:t>
      </w:r>
      <w:r w:rsidRPr="00462482">
        <w:t>ările asociate internetului;</w:t>
      </w:r>
    </w:p>
    <w:p w:rsidR="001241CE" w:rsidRPr="00462482" w:rsidRDefault="00772CC5" w:rsidP="001241CE">
      <w:pPr>
        <w:pStyle w:val="Normal12Hanging"/>
      </w:pPr>
      <w:r w:rsidRPr="00462482">
        <w:t>14.</w:t>
      </w:r>
      <w:r w:rsidRPr="00462482">
        <w:tab/>
        <w:t xml:space="preserve">salută concluziile Consiliului din 8 octombrie 2019 privind combaterea abuzului sexual asupra copiilor </w:t>
      </w:r>
      <w:r w:rsidR="008E78D4">
        <w:t>ș</w:t>
      </w:r>
      <w:r w:rsidRPr="00462482">
        <w:t>i invită pre</w:t>
      </w:r>
      <w:r w:rsidR="008E78D4">
        <w:t>ș</w:t>
      </w:r>
      <w:r w:rsidRPr="00462482">
        <w:t>edin</w:t>
      </w:r>
      <w:r w:rsidR="008E78D4">
        <w:t>ț</w:t>
      </w:r>
      <w:r w:rsidRPr="00462482">
        <w:t xml:space="preserve">iile actuale </w:t>
      </w:r>
      <w:r w:rsidR="008E78D4">
        <w:t>ș</w:t>
      </w:r>
      <w:r w:rsidRPr="00462482">
        <w:t>i viitoare ale Consiliului să î</w:t>
      </w:r>
      <w:r w:rsidR="008E78D4">
        <w:t>ș</w:t>
      </w:r>
      <w:r w:rsidRPr="00462482">
        <w:t>i intensifice eforturile pentru a se asigura că statele membre iau măsuri concrete pentru a acorda mai multă asisten</w:t>
      </w:r>
      <w:r w:rsidR="008E78D4">
        <w:t>ț</w:t>
      </w:r>
      <w:r w:rsidRPr="00462482">
        <w:t xml:space="preserve">ă victimelor </w:t>
      </w:r>
      <w:r w:rsidR="008E78D4">
        <w:t>ș</w:t>
      </w:r>
      <w:r w:rsidRPr="00462482">
        <w:t xml:space="preserve">i a pune în aplicare măsuri eficace de prevenire, de anchetă </w:t>
      </w:r>
      <w:r w:rsidR="008E78D4">
        <w:t>ș</w:t>
      </w:r>
      <w:r w:rsidRPr="00462482">
        <w:t>i de urmărire penală pentru a garanta că făpta</w:t>
      </w:r>
      <w:r w:rsidR="008E78D4">
        <w:t>ș</w:t>
      </w:r>
      <w:r w:rsidRPr="00462482">
        <w:t>ii sunt adu</w:t>
      </w:r>
      <w:r w:rsidR="008E78D4">
        <w:t>ș</w:t>
      </w:r>
      <w:r w:rsidRPr="00462482">
        <w:t>i în fa</w:t>
      </w:r>
      <w:r w:rsidR="008E78D4">
        <w:t>ț</w:t>
      </w:r>
      <w:r w:rsidRPr="00462482">
        <w:t>a justi</w:t>
      </w:r>
      <w:r w:rsidR="008E78D4">
        <w:t>ț</w:t>
      </w:r>
      <w:r w:rsidRPr="00462482">
        <w:t>iei;</w:t>
      </w:r>
    </w:p>
    <w:p w:rsidR="001241CE" w:rsidRPr="00462482" w:rsidRDefault="00772CC5" w:rsidP="001241CE">
      <w:pPr>
        <w:pStyle w:val="Normal12Hanging"/>
      </w:pPr>
      <w:r w:rsidRPr="00462482">
        <w:t>15.</w:t>
      </w:r>
      <w:r w:rsidRPr="00462482">
        <w:tab/>
        <w:t xml:space="preserve">invită statele membre să pună în aplicare pe deplin Directiva 2011/93/UE </w:t>
      </w:r>
      <w:r w:rsidR="008E78D4">
        <w:t>ș</w:t>
      </w:r>
      <w:r w:rsidRPr="00462482">
        <w:t>i Rezolu</w:t>
      </w:r>
      <w:r w:rsidR="008E78D4">
        <w:t>ț</w:t>
      </w:r>
      <w:r w:rsidRPr="00462482">
        <w:t xml:space="preserve">ia Parlamentului European referitoare la punerea în aplicare a Directivei 2011/93/UE privind combaterea abuzului sexual asupra copiilor, a exploatării sexuale a copiilor </w:t>
      </w:r>
      <w:r w:rsidR="008E78D4">
        <w:t>ș</w:t>
      </w:r>
      <w:r w:rsidRPr="00462482">
        <w:t>i a pornografiei infantile</w:t>
      </w:r>
      <w:r w:rsidRPr="00462482">
        <w:rPr>
          <w:rStyle w:val="FootnoteReference"/>
        </w:rPr>
        <w:footnoteReference w:id="10"/>
      </w:r>
      <w:r w:rsidRPr="00462482">
        <w:t>; invită statele membre care sunt state păr</w:t>
      </w:r>
      <w:r w:rsidR="008E78D4">
        <w:t>ț</w:t>
      </w:r>
      <w:r w:rsidRPr="00462482">
        <w:t>i la Conven</w:t>
      </w:r>
      <w:r w:rsidR="008E78D4">
        <w:t>ț</w:t>
      </w:r>
      <w:r w:rsidRPr="00462482">
        <w:t>ia Consiliului Europei privind protec</w:t>
      </w:r>
      <w:r w:rsidR="008E78D4">
        <w:t>ț</w:t>
      </w:r>
      <w:r w:rsidRPr="00462482">
        <w:t xml:space="preserve">ia copiilor împotriva exploatării sexuale </w:t>
      </w:r>
      <w:r w:rsidR="008E78D4">
        <w:t>ș</w:t>
      </w:r>
      <w:r w:rsidRPr="00462482">
        <w:t>i a abuzurilor sexuale (Conven</w:t>
      </w:r>
      <w:r w:rsidR="008E78D4">
        <w:t>ț</w:t>
      </w:r>
      <w:r w:rsidRPr="00462482">
        <w:t>ia de la Lanzarote) să pună în aplicare recomandările Comitetului de la Lanzarote (Comitetul păr</w:t>
      </w:r>
      <w:r w:rsidR="008E78D4">
        <w:t>ț</w:t>
      </w:r>
      <w:r w:rsidRPr="00462482">
        <w:t>ilor la Conven</w:t>
      </w:r>
      <w:r w:rsidR="008E78D4">
        <w:t>ț</w:t>
      </w:r>
      <w:r w:rsidRPr="00462482">
        <w:t>ia de la Lanzarote);</w:t>
      </w:r>
    </w:p>
    <w:p w:rsidR="001241CE" w:rsidRPr="00462482" w:rsidRDefault="00772CC5" w:rsidP="001241CE">
      <w:pPr>
        <w:pStyle w:val="Normal12Hanging"/>
      </w:pPr>
      <w:r w:rsidRPr="00462482">
        <w:t>16.</w:t>
      </w:r>
      <w:r w:rsidRPr="00462482">
        <w:tab/>
        <w:t>ia act de faptul că autorită</w:t>
      </w:r>
      <w:r w:rsidR="008E78D4">
        <w:t>ț</w:t>
      </w:r>
      <w:r w:rsidRPr="00462482">
        <w:t>ile de aplicare a legii se confruntă cu o cre</w:t>
      </w:r>
      <w:r w:rsidR="008E78D4">
        <w:t>ș</w:t>
      </w:r>
      <w:r w:rsidRPr="00462482">
        <w:t>tere fără precedent a cazurilor de materiale online care con</w:t>
      </w:r>
      <w:r w:rsidR="008E78D4">
        <w:t>ț</w:t>
      </w:r>
      <w:r w:rsidRPr="00462482">
        <w:t xml:space="preserve">in abuzuri sexuale asupra copiilor </w:t>
      </w:r>
      <w:r w:rsidR="008E78D4">
        <w:t>ș</w:t>
      </w:r>
      <w:r w:rsidRPr="00462482">
        <w:t>i se confruntă cu provocări enorme în ceea ce prive</w:t>
      </w:r>
      <w:r w:rsidR="008E78D4">
        <w:t>ș</w:t>
      </w:r>
      <w:r w:rsidRPr="00462482">
        <w:t>te gestionarea volumului de muncă, eforturile acestor autorită</w:t>
      </w:r>
      <w:r w:rsidR="008E78D4">
        <w:t>ț</w:t>
      </w:r>
      <w:r w:rsidRPr="00462482">
        <w:t xml:space="preserve">i concentrându-se asupra imaginilor în care apar victimele cele mai tinere </w:t>
      </w:r>
      <w:r w:rsidR="008E78D4">
        <w:t>ș</w:t>
      </w:r>
      <w:r w:rsidRPr="00462482">
        <w:t>i mai vulnerabile; subliniază că este nevoie de mai multe investi</w:t>
      </w:r>
      <w:r w:rsidR="008E78D4">
        <w:t>ț</w:t>
      </w:r>
      <w:r w:rsidRPr="00462482">
        <w:t xml:space="preserve">ii, în special din partea industriei </w:t>
      </w:r>
      <w:r w:rsidR="008E78D4">
        <w:t>ș</w:t>
      </w:r>
      <w:r w:rsidRPr="00462482">
        <w:t xml:space="preserve">i a sectorului privat, în cercetare </w:t>
      </w:r>
      <w:r w:rsidR="008E78D4">
        <w:t>ș</w:t>
      </w:r>
      <w:r w:rsidRPr="00462482">
        <w:t xml:space="preserve">i dezvoltare </w:t>
      </w:r>
      <w:r w:rsidR="008E78D4">
        <w:t>ș</w:t>
      </w:r>
      <w:r w:rsidRPr="00462482">
        <w:t>i în noile tehnologii destinate să detecteze materialele online care con</w:t>
      </w:r>
      <w:r w:rsidR="008E78D4">
        <w:t>ț</w:t>
      </w:r>
      <w:r w:rsidRPr="00462482">
        <w:t xml:space="preserve">in abuzuri sexuale asupra copiilor </w:t>
      </w:r>
      <w:r w:rsidR="008E78D4">
        <w:t>ș</w:t>
      </w:r>
      <w:r w:rsidRPr="00462482">
        <w:t xml:space="preserve">i să accelereze procedurile de retragere </w:t>
      </w:r>
      <w:r w:rsidR="008E78D4">
        <w:t>ș</w:t>
      </w:r>
      <w:r w:rsidRPr="00462482">
        <w:t>i de eliminare a acestor materiale;</w:t>
      </w:r>
    </w:p>
    <w:p w:rsidR="001241CE" w:rsidRPr="00462482" w:rsidRDefault="00772CC5" w:rsidP="001241CE">
      <w:pPr>
        <w:pStyle w:val="Normal12Hanging"/>
      </w:pPr>
      <w:r w:rsidRPr="00462482">
        <w:t>17.</w:t>
      </w:r>
      <w:r w:rsidRPr="00462482">
        <w:tab/>
        <w:t>invită statele membre să intensifice cooperarea dintre autorită</w:t>
      </w:r>
      <w:r w:rsidR="008E78D4">
        <w:t>ț</w:t>
      </w:r>
      <w:r w:rsidRPr="00462482">
        <w:t xml:space="preserve">ile de aplicare a legii </w:t>
      </w:r>
      <w:r w:rsidR="008E78D4">
        <w:t>ș</w:t>
      </w:r>
      <w:r w:rsidRPr="00462482">
        <w:t>i organiza</w:t>
      </w:r>
      <w:r w:rsidR="008E78D4">
        <w:t>ț</w:t>
      </w:r>
      <w:r w:rsidRPr="00462482">
        <w:t>iile societă</w:t>
      </w:r>
      <w:r w:rsidR="008E78D4">
        <w:t>ț</w:t>
      </w:r>
      <w:r w:rsidRPr="00462482">
        <w:t>ii civile, inclusiv re</w:t>
      </w:r>
      <w:r w:rsidR="008E78D4">
        <w:t>ț</w:t>
      </w:r>
      <w:r w:rsidRPr="00462482">
        <w:t>elele de linii de asisten</w:t>
      </w:r>
      <w:r w:rsidR="008E78D4">
        <w:t>ț</w:t>
      </w:r>
      <w:r w:rsidRPr="00462482">
        <w:t xml:space="preserve">ă telefonică, care combat abuzul sexual asupra copiilor </w:t>
      </w:r>
      <w:r w:rsidR="008E78D4">
        <w:t>ș</w:t>
      </w:r>
      <w:r w:rsidRPr="00462482">
        <w:t>i exploatarea sexuală a copiilor; invită Comisia să sprijine organiza</w:t>
      </w:r>
      <w:r w:rsidR="008E78D4">
        <w:t>ț</w:t>
      </w:r>
      <w:r w:rsidRPr="00462482">
        <w:t xml:space="preserve">iile care combat abuzul sexual asupra copiilor </w:t>
      </w:r>
      <w:r w:rsidR="008E78D4">
        <w:t>ș</w:t>
      </w:r>
      <w:r w:rsidRPr="00462482">
        <w:t>i exploatarea sexuală a copiilor, cum ar fi WePROTECT Global Alliance;</w:t>
      </w:r>
    </w:p>
    <w:p w:rsidR="001241CE" w:rsidRPr="00462482" w:rsidRDefault="00772CC5" w:rsidP="001241CE">
      <w:pPr>
        <w:pStyle w:val="Normal12Hanging"/>
      </w:pPr>
      <w:r w:rsidRPr="00462482">
        <w:t>18.</w:t>
      </w:r>
      <w:r w:rsidRPr="00462482">
        <w:tab/>
        <w:t xml:space="preserve">îndeamnă Comisia </w:t>
      </w:r>
      <w:r w:rsidR="008E78D4">
        <w:t>ș</w:t>
      </w:r>
      <w:r w:rsidRPr="00462482">
        <w:t>i statele membre să ia măsuri concrete pentru a combate abuzul sexual asupra copiilor, investind în măsuri preventive, identificând programe specifice pentru poten</w:t>
      </w:r>
      <w:r w:rsidR="008E78D4">
        <w:t>ț</w:t>
      </w:r>
      <w:r w:rsidRPr="00462482">
        <w:t xml:space="preserve">ialii infractori </w:t>
      </w:r>
      <w:r w:rsidR="008E78D4">
        <w:t>ș</w:t>
      </w:r>
      <w:r w:rsidRPr="00462482">
        <w:t>i oferind un sprijin mai eficace victimelor;</w:t>
      </w:r>
    </w:p>
    <w:p w:rsidR="001241CE" w:rsidRPr="00462482" w:rsidRDefault="00772CC5" w:rsidP="001241CE">
      <w:pPr>
        <w:pStyle w:val="Normal12Hanging"/>
      </w:pPr>
      <w:r w:rsidRPr="00462482">
        <w:t>19.</w:t>
      </w:r>
      <w:r w:rsidRPr="00462482">
        <w:rPr>
          <w:i/>
        </w:rPr>
        <w:tab/>
      </w:r>
      <w:r w:rsidRPr="00462482">
        <w:t>invită Comisia să actualizeze strategia privind „Un internet mai bun pentru copii” elaborată în 2012</w:t>
      </w:r>
      <w:r w:rsidRPr="00462482">
        <w:rPr>
          <w:rStyle w:val="FootnoteReference"/>
        </w:rPr>
        <w:footnoteReference w:id="11"/>
      </w:r>
      <w:r w:rsidRPr="00462482">
        <w:t>;</w:t>
      </w:r>
    </w:p>
    <w:p w:rsidR="007256B8" w:rsidRPr="00462482" w:rsidRDefault="007256B8" w:rsidP="007256B8">
      <w:pPr>
        <w:pStyle w:val="Normal12Hanging"/>
        <w:rPr>
          <w:i/>
        </w:rPr>
      </w:pPr>
      <w:r w:rsidRPr="00462482">
        <w:rPr>
          <w:i/>
        </w:rPr>
        <w:t>Investi</w:t>
      </w:r>
      <w:r w:rsidR="008E78D4">
        <w:rPr>
          <w:i/>
        </w:rPr>
        <w:t>ț</w:t>
      </w:r>
      <w:r w:rsidRPr="00462482">
        <w:rPr>
          <w:i/>
        </w:rPr>
        <w:t>ii în copii</w:t>
      </w:r>
    </w:p>
    <w:p w:rsidR="007256B8" w:rsidRPr="00462482" w:rsidRDefault="007256B8" w:rsidP="007256B8">
      <w:pPr>
        <w:pStyle w:val="Normal12Hanging"/>
        <w:rPr>
          <w:iCs/>
        </w:rPr>
      </w:pPr>
      <w:r w:rsidRPr="00462482">
        <w:t>20.</w:t>
      </w:r>
      <w:r w:rsidRPr="00462482">
        <w:tab/>
        <w:t xml:space="preserve">invită UE </w:t>
      </w:r>
      <w:r w:rsidR="008E78D4">
        <w:t>ș</w:t>
      </w:r>
      <w:r w:rsidRPr="00462482">
        <w:t>i statele sale membre să investească în servicii publice destinate copiilor, inclusiv în îngrijirea copiilor, în educa</w:t>
      </w:r>
      <w:r w:rsidR="008E78D4">
        <w:t>ț</w:t>
      </w:r>
      <w:r w:rsidRPr="00462482">
        <w:t xml:space="preserve">ie </w:t>
      </w:r>
      <w:r w:rsidR="008E78D4">
        <w:t>ș</w:t>
      </w:r>
      <w:r w:rsidRPr="00462482">
        <w:t xml:space="preserve">i sănătate </w:t>
      </w:r>
      <w:r w:rsidR="008E78D4">
        <w:t>ș</w:t>
      </w:r>
      <w:r w:rsidRPr="00462482">
        <w:t>i, în special, în extinderea re</w:t>
      </w:r>
      <w:r w:rsidR="008E78D4">
        <w:t>ț</w:t>
      </w:r>
      <w:r w:rsidRPr="00462482">
        <w:t>elei publice de grădini</w:t>
      </w:r>
      <w:r w:rsidR="008E78D4">
        <w:t>ț</w:t>
      </w:r>
      <w:r w:rsidRPr="00462482">
        <w:t>e, cre</w:t>
      </w:r>
      <w:r w:rsidR="008E78D4">
        <w:t>ș</w:t>
      </w:r>
      <w:r w:rsidRPr="00462482">
        <w:t xml:space="preserve">e </w:t>
      </w:r>
      <w:r w:rsidR="008E78D4">
        <w:t>ș</w:t>
      </w:r>
      <w:r w:rsidRPr="00462482">
        <w:t>i servicii de utilitate publică care oferă activită</w:t>
      </w:r>
      <w:r w:rsidR="008E78D4">
        <w:t>ț</w:t>
      </w:r>
      <w:r w:rsidRPr="00462482">
        <w:t>i de recreere pentru copii;</w:t>
      </w:r>
    </w:p>
    <w:p w:rsidR="007256B8" w:rsidRPr="00462482" w:rsidRDefault="007256B8" w:rsidP="007256B8">
      <w:pPr>
        <w:pStyle w:val="Normal12Hanging"/>
      </w:pPr>
      <w:r w:rsidRPr="00462482">
        <w:t>21.</w:t>
      </w:r>
      <w:r w:rsidRPr="00462482">
        <w:tab/>
        <w:t xml:space="preserve">invită statele membre să adopte legi care să apere </w:t>
      </w:r>
      <w:r w:rsidR="008E78D4">
        <w:t>ș</w:t>
      </w:r>
      <w:r w:rsidRPr="00462482">
        <w:t xml:space="preserve">i să consolideze drepturile de maternitate </w:t>
      </w:r>
      <w:r w:rsidR="008E78D4">
        <w:t>ș</w:t>
      </w:r>
      <w:r w:rsidRPr="00462482">
        <w:t xml:space="preserve">i paternitate, pentru a oferi copiilor un mediu sănătos </w:t>
      </w:r>
      <w:r w:rsidR="008E78D4">
        <w:t>ș</w:t>
      </w:r>
      <w:r w:rsidRPr="00462482">
        <w:t>i stabil, mai ales în primele luni de via</w:t>
      </w:r>
      <w:r w:rsidR="008E78D4">
        <w:t>ț</w:t>
      </w:r>
      <w:r w:rsidRPr="00462482">
        <w:t xml:space="preserve">ă; îndeamnă UE </w:t>
      </w:r>
      <w:r w:rsidR="008E78D4">
        <w:t>ș</w:t>
      </w:r>
      <w:r w:rsidRPr="00462482">
        <w:t>i statele sale membre să asigure punerea deplină în aplicare a Directivei privind echilibrul dintre via</w:t>
      </w:r>
      <w:r w:rsidR="008E78D4">
        <w:t>ț</w:t>
      </w:r>
      <w:r w:rsidRPr="00462482">
        <w:t xml:space="preserve">a profesională </w:t>
      </w:r>
      <w:r w:rsidR="008E78D4">
        <w:t>ș</w:t>
      </w:r>
      <w:r w:rsidRPr="00462482">
        <w:t>i cea privată, deoarece un echilibru mai bun, mai echitabil, între via</w:t>
      </w:r>
      <w:r w:rsidR="008E78D4">
        <w:t>ț</w:t>
      </w:r>
      <w:r w:rsidRPr="00462482">
        <w:t xml:space="preserve">a profesională </w:t>
      </w:r>
      <w:r w:rsidR="008E78D4">
        <w:t>ș</w:t>
      </w:r>
      <w:r w:rsidRPr="00462482">
        <w:t>i cea privată va influen</w:t>
      </w:r>
      <w:r w:rsidR="008E78D4">
        <w:t>ț</w:t>
      </w:r>
      <w:r w:rsidRPr="00462482">
        <w:t>a pozitiv bunăstarea copiilor; reaminte</w:t>
      </w:r>
      <w:r w:rsidR="008E78D4">
        <w:t>ș</w:t>
      </w:r>
      <w:r w:rsidRPr="00462482">
        <w:t>te că copiii au dreptul de a fi împreună cu părin</w:t>
      </w:r>
      <w:r w:rsidR="008E78D4">
        <w:t>ț</w:t>
      </w:r>
      <w:r w:rsidRPr="00462482">
        <w:t>ii lor, că au nevoie să petreacă suficient timp în compania părin</w:t>
      </w:r>
      <w:r w:rsidR="008E78D4">
        <w:t>ț</w:t>
      </w:r>
      <w:r w:rsidRPr="00462482">
        <w:t xml:space="preserve">ilor </w:t>
      </w:r>
      <w:r w:rsidR="008E78D4">
        <w:t>ș</w:t>
      </w:r>
      <w:r w:rsidRPr="00462482">
        <w:t>i să beneficieze de venituri suficiente pentru a putea trăi ferici</w:t>
      </w:r>
      <w:r w:rsidR="008E78D4">
        <w:t>ț</w:t>
      </w:r>
      <w:r w:rsidRPr="00462482">
        <w:t xml:space="preserve">i </w:t>
      </w:r>
      <w:r w:rsidR="008E78D4">
        <w:t>ș</w:t>
      </w:r>
      <w:r w:rsidRPr="00462482">
        <w:t>i în siguran</w:t>
      </w:r>
      <w:r w:rsidR="008E78D4">
        <w:t>ț</w:t>
      </w:r>
      <w:r w:rsidRPr="00462482">
        <w:t>ă;</w:t>
      </w:r>
    </w:p>
    <w:p w:rsidR="007256B8" w:rsidRPr="00462482" w:rsidRDefault="007256B8" w:rsidP="007256B8">
      <w:pPr>
        <w:pStyle w:val="Normal12Hanging"/>
      </w:pPr>
      <w:r w:rsidRPr="00462482">
        <w:t>22.</w:t>
      </w:r>
      <w:r w:rsidRPr="00462482">
        <w:tab/>
        <w:t xml:space="preserve">invită UE </w:t>
      </w:r>
      <w:r w:rsidR="008E78D4">
        <w:t>ș</w:t>
      </w:r>
      <w:r w:rsidRPr="00462482">
        <w:t>i statele sale membre să î</w:t>
      </w:r>
      <w:r w:rsidR="008E78D4">
        <w:t>ș</w:t>
      </w:r>
      <w:r w:rsidRPr="00462482">
        <w:t>i intensifice eforturile de a pune capăt sărăciei în rândul copiilor, prin adoptarea unei noi recomandări a Consiliului privind investi</w:t>
      </w:r>
      <w:r w:rsidR="008E78D4">
        <w:t>ț</w:t>
      </w:r>
      <w:r w:rsidRPr="00462482">
        <w:t xml:space="preserve">iile în copii, în vederea actualizării </w:t>
      </w:r>
      <w:r w:rsidR="008E78D4">
        <w:t>ș</w:t>
      </w:r>
      <w:r w:rsidRPr="00462482">
        <w:t>i modernizării cadrului său de politică menit să îndrume eforturile statelor membre de a se asigura că copiii cresc în societă</w:t>
      </w:r>
      <w:r w:rsidR="008E78D4">
        <w:t>ț</w:t>
      </w:r>
      <w:r w:rsidRPr="00462482">
        <w:t xml:space="preserve">i incluzive </w:t>
      </w:r>
      <w:r w:rsidR="008E78D4">
        <w:t>ș</w:t>
      </w:r>
      <w:r w:rsidRPr="00462482">
        <w:t xml:space="preserve">i prospere, în care nimeni nu este lăsat în urmă, </w:t>
      </w:r>
      <w:r w:rsidR="008E78D4">
        <w:t>ș</w:t>
      </w:r>
      <w:r w:rsidRPr="00462482">
        <w:t>i prin stabilirea unor obiective de reducere la jumătate a sărăciei în rândul copiilor în Agenda 2030 a UE; afirmă din nou că trebuie îmbunătă</w:t>
      </w:r>
      <w:r w:rsidR="008E78D4">
        <w:t>ț</w:t>
      </w:r>
      <w:r w:rsidRPr="00462482">
        <w:t xml:space="preserve">ită colectarea de date dezagregate, pentru a contribui la monitorizarea </w:t>
      </w:r>
      <w:r w:rsidR="008E78D4">
        <w:t>ș</w:t>
      </w:r>
      <w:r w:rsidRPr="00462482">
        <w:t xml:space="preserve">i evaluarea progreselor înregistrate în eradicarea sărăciei </w:t>
      </w:r>
      <w:r w:rsidR="008E78D4">
        <w:t>ș</w:t>
      </w:r>
      <w:r w:rsidRPr="00462482">
        <w:t>i a excluziunii sociale a copiilor;</w:t>
      </w:r>
    </w:p>
    <w:p w:rsidR="007256B8" w:rsidRPr="00462482" w:rsidRDefault="007256B8" w:rsidP="007256B8">
      <w:pPr>
        <w:pStyle w:val="Normal12Hanging"/>
      </w:pPr>
      <w:r w:rsidRPr="00462482">
        <w:t>23.</w:t>
      </w:r>
      <w:r w:rsidRPr="00462482">
        <w:tab/>
        <w:t>invită statele membre să sprijine crearea unei Garan</w:t>
      </w:r>
      <w:r w:rsidR="008E78D4">
        <w:t>ț</w:t>
      </w:r>
      <w:r w:rsidRPr="00462482">
        <w:t>ii europene pentru copii, dotate cu resurse adecvate, pentru a încuraja reformele politice na</w:t>
      </w:r>
      <w:r w:rsidR="008E78D4">
        <w:t>ț</w:t>
      </w:r>
      <w:r w:rsidRPr="00462482">
        <w:t>ionale menite să contribuie la accesul egal al copiilor la asisten</w:t>
      </w:r>
      <w:r w:rsidR="008E78D4">
        <w:t>ț</w:t>
      </w:r>
      <w:r w:rsidRPr="00462482">
        <w:t>ă medicală gratuită, educa</w:t>
      </w:r>
      <w:r w:rsidR="008E78D4">
        <w:t>ț</w:t>
      </w:r>
      <w:r w:rsidRPr="00462482">
        <w:t>ie gratuită, servicii gratuite de îngrijire a copiilor, locuin</w:t>
      </w:r>
      <w:r w:rsidR="008E78D4">
        <w:t>ț</w:t>
      </w:r>
      <w:r w:rsidRPr="00462482">
        <w:t xml:space="preserve">e decente </w:t>
      </w:r>
      <w:r w:rsidR="008E78D4">
        <w:t>ș</w:t>
      </w:r>
      <w:r w:rsidRPr="00462482">
        <w:t>i o alimenta</w:t>
      </w:r>
      <w:r w:rsidR="008E78D4">
        <w:t>ț</w:t>
      </w:r>
      <w:r w:rsidRPr="00462482">
        <w:t xml:space="preserve">ie adecvată, cu scopul de a eradica sărăcia </w:t>
      </w:r>
      <w:r w:rsidR="008E78D4">
        <w:t>ș</w:t>
      </w:r>
      <w:r w:rsidRPr="00462482">
        <w:t>i excluziunea socială a copiilor; reaminte</w:t>
      </w:r>
      <w:r w:rsidR="008E78D4">
        <w:t>ș</w:t>
      </w:r>
      <w:r w:rsidRPr="00462482">
        <w:t xml:space="preserve">te că este important ca drepturile </w:t>
      </w:r>
      <w:r w:rsidR="008E78D4">
        <w:t>ș</w:t>
      </w:r>
      <w:r w:rsidRPr="00462482">
        <w:t xml:space="preserve">i bunăstarea copiilor să fie introduse în cadrul semestrului european ca parametri ai recomandărilor specifice fiecărei </w:t>
      </w:r>
      <w:r w:rsidR="008E78D4">
        <w:t>ț</w:t>
      </w:r>
      <w:r w:rsidRPr="00462482">
        <w:t xml:space="preserve">ări </w:t>
      </w:r>
      <w:r w:rsidR="008E78D4">
        <w:t>ș</w:t>
      </w:r>
      <w:r w:rsidRPr="00462482">
        <w:t>i în conformitate cu Pilonul european al drepturilor sociale;</w:t>
      </w:r>
    </w:p>
    <w:p w:rsidR="007256B8" w:rsidRPr="00462482" w:rsidRDefault="007256B8" w:rsidP="007256B8">
      <w:pPr>
        <w:pStyle w:val="Normal12Hanging"/>
      </w:pPr>
      <w:r w:rsidRPr="00462482">
        <w:t>24.</w:t>
      </w:r>
      <w:r w:rsidRPr="00462482">
        <w:tab/>
        <w:t xml:space="preserve">invită UE </w:t>
      </w:r>
      <w:r w:rsidR="008E78D4">
        <w:t>ș</w:t>
      </w:r>
      <w:r w:rsidRPr="00462482">
        <w:t xml:space="preserve">i statele membre să investească în copii </w:t>
      </w:r>
      <w:r w:rsidR="008E78D4">
        <w:t>ș</w:t>
      </w:r>
      <w:r w:rsidRPr="00462482">
        <w:t>i adolescen</w:t>
      </w:r>
      <w:r w:rsidR="008E78D4">
        <w:t>ț</w:t>
      </w:r>
      <w:r w:rsidRPr="00462482">
        <w:t xml:space="preserve">i </w:t>
      </w:r>
      <w:r w:rsidR="008E78D4">
        <w:t>ș</w:t>
      </w:r>
      <w:r w:rsidRPr="00462482">
        <w:t>i să îi doteze cu competen</w:t>
      </w:r>
      <w:r w:rsidR="008E78D4">
        <w:t>ț</w:t>
      </w:r>
      <w:r w:rsidRPr="00462482">
        <w:t xml:space="preserve">ele </w:t>
      </w:r>
      <w:r w:rsidR="008E78D4">
        <w:t>ș</w:t>
      </w:r>
      <w:r w:rsidRPr="00462482">
        <w:t>i cuno</w:t>
      </w:r>
      <w:r w:rsidR="008E78D4">
        <w:t>ș</w:t>
      </w:r>
      <w:r w:rsidRPr="00462482">
        <w:t>tin</w:t>
      </w:r>
      <w:r w:rsidR="008E78D4">
        <w:t>ț</w:t>
      </w:r>
      <w:r w:rsidRPr="00462482">
        <w:t>ele necesare pentru pia</w:t>
      </w:r>
      <w:r w:rsidR="008E78D4">
        <w:t>ț</w:t>
      </w:r>
      <w:r w:rsidRPr="00462482">
        <w:t>a muncii, astfel încât ace</w:t>
      </w:r>
      <w:r w:rsidR="008E78D4">
        <w:t>ș</w:t>
      </w:r>
      <w:r w:rsidRPr="00462482">
        <w:t xml:space="preserve">tia să se poată bucura de dreptul lor de a prospera </w:t>
      </w:r>
      <w:r w:rsidR="008E78D4">
        <w:t>ș</w:t>
      </w:r>
      <w:r w:rsidRPr="00462482">
        <w:t>i să-</w:t>
      </w:r>
      <w:r w:rsidR="008E78D4">
        <w:t>ș</w:t>
      </w:r>
      <w:r w:rsidRPr="00462482">
        <w:t>i valorifice întregul poten</w:t>
      </w:r>
      <w:r w:rsidR="008E78D4">
        <w:t>ț</w:t>
      </w:r>
      <w:r w:rsidRPr="00462482">
        <w:t>ial de agen</w:t>
      </w:r>
      <w:r w:rsidR="008E78D4">
        <w:t>ț</w:t>
      </w:r>
      <w:r w:rsidRPr="00462482">
        <w:t>i ai schimbării societă</w:t>
      </w:r>
      <w:r w:rsidR="008E78D4">
        <w:t>ț</w:t>
      </w:r>
      <w:r w:rsidRPr="00462482">
        <w:t>ii;</w:t>
      </w:r>
    </w:p>
    <w:p w:rsidR="007256B8" w:rsidRPr="00462482" w:rsidRDefault="007256B8" w:rsidP="007256B8">
      <w:pPr>
        <w:pStyle w:val="Normal12Hanging"/>
      </w:pPr>
      <w:r w:rsidRPr="00462482">
        <w:t>25.</w:t>
      </w:r>
      <w:r w:rsidRPr="00462482">
        <w:tab/>
        <w:t>încurajează statele membre să investească în măsuri preventive, pentru a face fa</w:t>
      </w:r>
      <w:r w:rsidR="008E78D4">
        <w:t>ț</w:t>
      </w:r>
      <w:r w:rsidRPr="00462482">
        <w:t>ă, în sistemele lor na</w:t>
      </w:r>
      <w:r w:rsidR="008E78D4">
        <w:t>ț</w:t>
      </w:r>
      <w:r w:rsidRPr="00462482">
        <w:t>ionale, fenomenului în cre</w:t>
      </w:r>
      <w:r w:rsidR="008E78D4">
        <w:t>ș</w:t>
      </w:r>
      <w:r w:rsidRPr="00462482">
        <w:t>tere al tulburărilor psihice în rândul copiilor</w:t>
      </w:r>
      <w:r w:rsidRPr="00462482">
        <w:rPr>
          <w:rStyle w:val="FootnoteReference"/>
          <w:color w:val="000000"/>
        </w:rPr>
        <w:footnoteReference w:id="12"/>
      </w:r>
      <w:r w:rsidRPr="00462482">
        <w:t xml:space="preserve"> </w:t>
      </w:r>
      <w:r w:rsidR="008E78D4">
        <w:t>ș</w:t>
      </w:r>
      <w:r w:rsidRPr="00462482">
        <w:t xml:space="preserve">i să se asigure că </w:t>
      </w:r>
      <w:r w:rsidR="008E78D4">
        <w:t>ș</w:t>
      </w:r>
      <w:r w:rsidRPr="00462482">
        <w:t>colile sunt finan</w:t>
      </w:r>
      <w:r w:rsidR="008E78D4">
        <w:t>ț</w:t>
      </w:r>
      <w:r w:rsidRPr="00462482">
        <w:t xml:space="preserve">ate suficient pentru a oferi consiliere </w:t>
      </w:r>
      <w:r w:rsidR="008E78D4">
        <w:t>ș</w:t>
      </w:r>
      <w:r w:rsidRPr="00462482">
        <w:t>i că profesorii sunt forma</w:t>
      </w:r>
      <w:r w:rsidR="008E78D4">
        <w:t>ț</w:t>
      </w:r>
      <w:r w:rsidRPr="00462482">
        <w:t>i corespunzător;</w:t>
      </w:r>
    </w:p>
    <w:p w:rsidR="007256B8" w:rsidRPr="00462482" w:rsidRDefault="007256B8" w:rsidP="007256B8">
      <w:pPr>
        <w:pStyle w:val="Normal12Hanging"/>
      </w:pPr>
      <w:r w:rsidRPr="00462482">
        <w:t>26.</w:t>
      </w:r>
      <w:r w:rsidRPr="00462482">
        <w:tab/>
        <w:t xml:space="preserve">invită statele membre </w:t>
      </w:r>
      <w:r w:rsidR="008E78D4">
        <w:t>ș</w:t>
      </w:r>
      <w:r w:rsidRPr="00462482">
        <w:t xml:space="preserve">i Comisia să considere în mod explicit copiii drept o prioritate atunci când programează </w:t>
      </w:r>
      <w:r w:rsidR="008E78D4">
        <w:t>ș</w:t>
      </w:r>
      <w:r w:rsidRPr="00462482">
        <w:t xml:space="preserve">i pun în aplicare politici regionale </w:t>
      </w:r>
      <w:r w:rsidR="008E78D4">
        <w:t>ș</w:t>
      </w:r>
      <w:r w:rsidRPr="00462482">
        <w:t>i de coeziune, cum ar fi Strategia europeană pentru persoanele cu handicap, cadrul UE pentru strategiile na</w:t>
      </w:r>
      <w:r w:rsidR="008E78D4">
        <w:t>ț</w:t>
      </w:r>
      <w:r w:rsidRPr="00462482">
        <w:t xml:space="preserve">ionale de integrare a romilor </w:t>
      </w:r>
      <w:r w:rsidR="008E78D4">
        <w:t>ș</w:t>
      </w:r>
      <w:r w:rsidRPr="00462482">
        <w:t xml:space="preserve">i politica UE de egalitate </w:t>
      </w:r>
      <w:r w:rsidR="008E78D4">
        <w:t>ș</w:t>
      </w:r>
      <w:r w:rsidRPr="00462482">
        <w:t>i nediscriminare;</w:t>
      </w:r>
    </w:p>
    <w:p w:rsidR="007256B8" w:rsidRPr="00462482" w:rsidRDefault="007256B8" w:rsidP="007256B8">
      <w:pPr>
        <w:pStyle w:val="Normal12Hanging"/>
        <w:rPr>
          <w:i/>
        </w:rPr>
      </w:pPr>
      <w:r w:rsidRPr="00462482">
        <w:rPr>
          <w:i/>
        </w:rPr>
        <w:t>Educa</w:t>
      </w:r>
      <w:r w:rsidR="008E78D4">
        <w:rPr>
          <w:i/>
        </w:rPr>
        <w:t>ț</w:t>
      </w:r>
      <w:r w:rsidRPr="00462482">
        <w:rPr>
          <w:i/>
        </w:rPr>
        <w:t>ie</w:t>
      </w:r>
    </w:p>
    <w:p w:rsidR="007256B8" w:rsidRPr="00462482" w:rsidRDefault="007256B8" w:rsidP="007256B8">
      <w:pPr>
        <w:pStyle w:val="Normal12Hanging"/>
      </w:pPr>
      <w:r w:rsidRPr="00462482">
        <w:t>27.</w:t>
      </w:r>
      <w:r w:rsidRPr="00462482">
        <w:tab/>
        <w:t>invită statele membre să garanteze dreptul la educa</w:t>
      </w:r>
      <w:r w:rsidR="008E78D4">
        <w:t>ț</w:t>
      </w:r>
      <w:r w:rsidRPr="00462482">
        <w:t xml:space="preserve">ie al fiecărui copil; </w:t>
      </w:r>
    </w:p>
    <w:p w:rsidR="007256B8" w:rsidRPr="00462482" w:rsidRDefault="007256B8" w:rsidP="007256B8">
      <w:pPr>
        <w:pStyle w:val="Normal12Hanging"/>
      </w:pPr>
      <w:r w:rsidRPr="00462482">
        <w:t>28.</w:t>
      </w:r>
      <w:r w:rsidRPr="00462482">
        <w:tab/>
        <w:t>eviden</w:t>
      </w:r>
      <w:r w:rsidR="008E78D4">
        <w:t>ț</w:t>
      </w:r>
      <w:r w:rsidRPr="00462482">
        <w:t>iază importan</w:t>
      </w:r>
      <w:r w:rsidR="008E78D4">
        <w:t>ț</w:t>
      </w:r>
      <w:r w:rsidRPr="00462482">
        <w:t>a abordării globale a educa</w:t>
      </w:r>
      <w:r w:rsidR="008E78D4">
        <w:t>ț</w:t>
      </w:r>
      <w:r w:rsidRPr="00462482">
        <w:t>iei, care urmăre</w:t>
      </w:r>
      <w:r w:rsidR="008E78D4">
        <w:t>ș</w:t>
      </w:r>
      <w:r w:rsidRPr="00462482">
        <w:t>te să le ofere copiilor posibilitatea de a-</w:t>
      </w:r>
      <w:r w:rsidR="008E78D4">
        <w:t>ș</w:t>
      </w:r>
      <w:r w:rsidRPr="00462482">
        <w:t>i folosi cuno</w:t>
      </w:r>
      <w:r w:rsidR="008E78D4">
        <w:t>ș</w:t>
      </w:r>
      <w:r w:rsidRPr="00462482">
        <w:t>tin</w:t>
      </w:r>
      <w:r w:rsidR="008E78D4">
        <w:t>ț</w:t>
      </w:r>
      <w:r w:rsidRPr="00462482">
        <w:t xml:space="preserve">ele dobândite la </w:t>
      </w:r>
      <w:r w:rsidR="008E78D4">
        <w:t>ș</w:t>
      </w:r>
      <w:r w:rsidRPr="00462482">
        <w:t>coală ca punct de plecare pentru dezvoltarea lor emo</w:t>
      </w:r>
      <w:r w:rsidR="008E78D4">
        <w:t>ț</w:t>
      </w:r>
      <w:r w:rsidRPr="00462482">
        <w:t xml:space="preserve">ională </w:t>
      </w:r>
      <w:r w:rsidR="008E78D4">
        <w:t>ș</w:t>
      </w:r>
      <w:r w:rsidRPr="00462482">
        <w:t xml:space="preserve">i socială </w:t>
      </w:r>
      <w:r w:rsidR="008E78D4">
        <w:t>ș</w:t>
      </w:r>
      <w:r w:rsidRPr="00462482">
        <w:t>i urmăre</w:t>
      </w:r>
      <w:r w:rsidR="008E78D4">
        <w:t>ș</w:t>
      </w:r>
      <w:r w:rsidRPr="00462482">
        <w:t xml:space="preserve">te, de asemenea, să includă dezvoltarea psihologică, socială </w:t>
      </w:r>
      <w:r w:rsidR="008E78D4">
        <w:t>ș</w:t>
      </w:r>
      <w:r w:rsidRPr="00462482">
        <w:t>i emo</w:t>
      </w:r>
      <w:r w:rsidR="008E78D4">
        <w:t>ț</w:t>
      </w:r>
      <w:r w:rsidRPr="00462482">
        <w:t>ională; reliefează importan</w:t>
      </w:r>
      <w:r w:rsidR="008E78D4">
        <w:t>ț</w:t>
      </w:r>
      <w:r w:rsidRPr="00462482">
        <w:t>a creativită</w:t>
      </w:r>
      <w:r w:rsidR="008E78D4">
        <w:t>ț</w:t>
      </w:r>
      <w:r w:rsidRPr="00462482">
        <w:t xml:space="preserve">ii, a artei </w:t>
      </w:r>
      <w:r w:rsidR="008E78D4">
        <w:t>ș</w:t>
      </w:r>
      <w:r w:rsidRPr="00462482">
        <w:t>i a culturii în educa</w:t>
      </w:r>
      <w:r w:rsidR="008E78D4">
        <w:t>ț</w:t>
      </w:r>
      <w:r w:rsidRPr="00462482">
        <w:t>ie;</w:t>
      </w:r>
    </w:p>
    <w:p w:rsidR="007256B8" w:rsidRPr="00462482" w:rsidRDefault="007256B8" w:rsidP="007256B8">
      <w:pPr>
        <w:pStyle w:val="Normal12Hanging"/>
      </w:pPr>
      <w:r w:rsidRPr="00462482">
        <w:t>29.</w:t>
      </w:r>
      <w:r w:rsidRPr="00462482">
        <w:tab/>
        <w:t xml:space="preserve">încurajează statele membre să stabilească măsuri de combatere </w:t>
      </w:r>
      <w:r w:rsidR="008E78D4">
        <w:t>ș</w:t>
      </w:r>
      <w:r w:rsidRPr="00462482">
        <w:t xml:space="preserve">i prevenire a părăsirii timpurii a </w:t>
      </w:r>
      <w:r w:rsidR="008E78D4">
        <w:t>ș</w:t>
      </w:r>
      <w:r w:rsidRPr="00462482">
        <w:t xml:space="preserve">colii </w:t>
      </w:r>
      <w:r w:rsidR="008E78D4">
        <w:t>ș</w:t>
      </w:r>
      <w:r w:rsidRPr="00462482">
        <w:t>i să asigure accesul echitabil din perspectiva genului la educa</w:t>
      </w:r>
      <w:r w:rsidR="008E78D4">
        <w:t>ț</w:t>
      </w:r>
      <w:r w:rsidRPr="00462482">
        <w:t>ia de calitate, din prima copilărie până în adolescen</w:t>
      </w:r>
      <w:r w:rsidR="008E78D4">
        <w:t>ț</w:t>
      </w:r>
      <w:r w:rsidRPr="00462482">
        <w:t>ă, inclusiv în cazul copiilor cu dizabilită</w:t>
      </w:r>
      <w:r w:rsidR="008E78D4">
        <w:t>ț</w:t>
      </w:r>
      <w:r w:rsidRPr="00462482">
        <w:t>i, al copiilor marginaliza</w:t>
      </w:r>
      <w:r w:rsidR="008E78D4">
        <w:t>ț</w:t>
      </w:r>
      <w:r w:rsidRPr="00462482">
        <w:t xml:space="preserve">i </w:t>
      </w:r>
      <w:r w:rsidR="008E78D4">
        <w:t>ș</w:t>
      </w:r>
      <w:r w:rsidRPr="00462482">
        <w:t>i al celor care trăiesc în zone afectate de urgen</w:t>
      </w:r>
      <w:r w:rsidR="008E78D4">
        <w:t>ț</w:t>
      </w:r>
      <w:r w:rsidRPr="00462482">
        <w:t>e umanitare sau de altă natură;</w:t>
      </w:r>
    </w:p>
    <w:p w:rsidR="007256B8" w:rsidRPr="00462482" w:rsidRDefault="007256B8" w:rsidP="007256B8">
      <w:pPr>
        <w:pStyle w:val="Normal12Hanging"/>
      </w:pPr>
      <w:r w:rsidRPr="00462482">
        <w:t>30.</w:t>
      </w:r>
      <w:r w:rsidRPr="00462482">
        <w:tab/>
        <w:t>eviden</w:t>
      </w:r>
      <w:r w:rsidR="008E78D4">
        <w:t>ț</w:t>
      </w:r>
      <w:r w:rsidRPr="00462482">
        <w:t xml:space="preserve">iază că incluziunea </w:t>
      </w:r>
      <w:r w:rsidR="008E78D4">
        <w:t>ș</w:t>
      </w:r>
      <w:r w:rsidRPr="00462482">
        <w:t>i inovarea ar trebui să fie principiile fundamentale ale educa</w:t>
      </w:r>
      <w:r w:rsidR="008E78D4">
        <w:t>ț</w:t>
      </w:r>
      <w:r w:rsidRPr="00462482">
        <w:t xml:space="preserve">iei </w:t>
      </w:r>
      <w:r w:rsidR="008E78D4">
        <w:t>ș</w:t>
      </w:r>
      <w:r w:rsidRPr="00462482">
        <w:t>i formării în era digitală; este de opinie că tehnologiile digitale nu ar trebui să cimenteze inegalită</w:t>
      </w:r>
      <w:r w:rsidR="008E78D4">
        <w:t>ț</w:t>
      </w:r>
      <w:r w:rsidRPr="00462482">
        <w:t xml:space="preserve">ile existente, ci să fie utilizate, în schimb, pentru eliminarea decalajului digital dintre elevii din diferite medii socioeconomice </w:t>
      </w:r>
      <w:r w:rsidR="008E78D4">
        <w:t>ș</w:t>
      </w:r>
      <w:r w:rsidRPr="00462482">
        <w:t>i regiuni ale UE; subliniază că o abordare bazată pe incluziune trebuie să valorifice întregul poten</w:t>
      </w:r>
      <w:r w:rsidR="008E78D4">
        <w:t>ț</w:t>
      </w:r>
      <w:r w:rsidRPr="00462482">
        <w:t>ial al resurselor oferite de noile tehnologii digitale, inclusiv educa</w:t>
      </w:r>
      <w:r w:rsidR="008E78D4">
        <w:t>ț</w:t>
      </w:r>
      <w:r w:rsidRPr="00462482">
        <w:t xml:space="preserve">ia personalizată </w:t>
      </w:r>
      <w:r w:rsidR="008E78D4">
        <w:t>ș</w:t>
      </w:r>
      <w:r w:rsidRPr="00462482">
        <w:t>i parteneriatele între institu</w:t>
      </w:r>
      <w:r w:rsidR="008E78D4">
        <w:t>ț</w:t>
      </w:r>
      <w:r w:rsidRPr="00462482">
        <w:t>iile de învă</w:t>
      </w:r>
      <w:r w:rsidR="008E78D4">
        <w:t>ț</w:t>
      </w:r>
      <w:r w:rsidRPr="00462482">
        <w:t xml:space="preserve">ământ, </w:t>
      </w:r>
      <w:r w:rsidR="008E78D4">
        <w:t>ș</w:t>
      </w:r>
      <w:r w:rsidRPr="00462482">
        <w:t>i că, astfel, poate oferi acces la o educa</w:t>
      </w:r>
      <w:r w:rsidR="008E78D4">
        <w:t>ț</w:t>
      </w:r>
      <w:r w:rsidRPr="00462482">
        <w:t xml:space="preserve">ie </w:t>
      </w:r>
      <w:r w:rsidR="008E78D4">
        <w:t>ș</w:t>
      </w:r>
      <w:r w:rsidRPr="00462482">
        <w:t xml:space="preserve">i o formare de calitate persoanelor din grupuri defavorizate </w:t>
      </w:r>
      <w:r w:rsidR="008E78D4">
        <w:t>ș</w:t>
      </w:r>
      <w:r w:rsidRPr="00462482">
        <w:t>i persoanelor cu mai pu</w:t>
      </w:r>
      <w:r w:rsidR="008E78D4">
        <w:t>ț</w:t>
      </w:r>
      <w:r w:rsidRPr="00462482">
        <w:t>ine oportunită</w:t>
      </w:r>
      <w:r w:rsidR="008E78D4">
        <w:t>ț</w:t>
      </w:r>
      <w:r w:rsidRPr="00462482">
        <w:t>i, inclusiv prin sprijinirea integrării migran</w:t>
      </w:r>
      <w:r w:rsidR="008E78D4">
        <w:t>ț</w:t>
      </w:r>
      <w:r w:rsidRPr="00462482">
        <w:t xml:space="preserve">ilor </w:t>
      </w:r>
      <w:r w:rsidR="008E78D4">
        <w:t>ș</w:t>
      </w:r>
      <w:r w:rsidRPr="00462482">
        <w:t>i refugia</w:t>
      </w:r>
      <w:r w:rsidR="008E78D4">
        <w:t>ț</w:t>
      </w:r>
      <w:r w:rsidRPr="00462482">
        <w:t xml:space="preserve">ilor, precum </w:t>
      </w:r>
      <w:r w:rsidR="008E78D4">
        <w:t>ș</w:t>
      </w:r>
      <w:r w:rsidRPr="00462482">
        <w:t>i a minorită</w:t>
      </w:r>
      <w:r w:rsidR="008E78D4">
        <w:t>ț</w:t>
      </w:r>
      <w:r w:rsidRPr="00462482">
        <w:t>ilor;</w:t>
      </w:r>
    </w:p>
    <w:p w:rsidR="007256B8" w:rsidRPr="00462482" w:rsidRDefault="007256B8" w:rsidP="007256B8">
      <w:pPr>
        <w:pStyle w:val="Normal12Hanging"/>
      </w:pPr>
      <w:r w:rsidRPr="00462482">
        <w:t>31.</w:t>
      </w:r>
      <w:r w:rsidRPr="00462482">
        <w:tab/>
        <w:t>invită statele membre să garanteze dreptul la educa</w:t>
      </w:r>
      <w:r w:rsidR="008E78D4">
        <w:t>ț</w:t>
      </w:r>
      <w:r w:rsidRPr="00462482">
        <w:t xml:space="preserve">ie incluzivă </w:t>
      </w:r>
      <w:r w:rsidR="008E78D4">
        <w:t>ș</w:t>
      </w:r>
      <w:r w:rsidRPr="00462482">
        <w:t>i să asigure accesul la informa</w:t>
      </w:r>
      <w:r w:rsidR="008E78D4">
        <w:t>ț</w:t>
      </w:r>
      <w:r w:rsidRPr="00462482">
        <w:t xml:space="preserve">ii complete </w:t>
      </w:r>
      <w:r w:rsidR="008E78D4">
        <w:t>ș</w:t>
      </w:r>
      <w:r w:rsidRPr="00462482">
        <w:t xml:space="preserve">i adecvate vârstei despre sex </w:t>
      </w:r>
      <w:r w:rsidR="008E78D4">
        <w:t>ș</w:t>
      </w:r>
      <w:r w:rsidRPr="00462482">
        <w:t xml:space="preserve">i sexualitate, precum </w:t>
      </w:r>
      <w:r w:rsidR="008E78D4">
        <w:t>ș</w:t>
      </w:r>
      <w:r w:rsidRPr="00462482">
        <w:t xml:space="preserve">i accesul la servicii de sănătate sexuală </w:t>
      </w:r>
      <w:r w:rsidR="008E78D4">
        <w:t>ș</w:t>
      </w:r>
      <w:r w:rsidRPr="00462482">
        <w:t xml:space="preserve">i reproductivă </w:t>
      </w:r>
      <w:r w:rsidR="008E78D4">
        <w:t>ș</w:t>
      </w:r>
      <w:r w:rsidRPr="00462482">
        <w:t>i la educa</w:t>
      </w:r>
      <w:r w:rsidR="008E78D4">
        <w:t>ț</w:t>
      </w:r>
      <w:r w:rsidRPr="00462482">
        <w:t>ie privind rela</w:t>
      </w:r>
      <w:r w:rsidR="008E78D4">
        <w:t>ț</w:t>
      </w:r>
      <w:r w:rsidRPr="00462482">
        <w:t xml:space="preserve">iile pentru tineri în </w:t>
      </w:r>
      <w:r w:rsidR="008E78D4">
        <w:t>ș</w:t>
      </w:r>
      <w:r w:rsidRPr="00462482">
        <w:t xml:space="preserve">coli, având în vedere mai ales măsurile adoptate de anumite </w:t>
      </w:r>
      <w:r w:rsidR="008E78D4">
        <w:t>ț</w:t>
      </w:r>
      <w:r w:rsidRPr="00462482">
        <w:t xml:space="preserve">ări care interzic </w:t>
      </w:r>
      <w:r w:rsidR="008E78D4">
        <w:t>ș</w:t>
      </w:r>
      <w:r w:rsidRPr="00462482">
        <w:t xml:space="preserve">colilor să abordeze tema orientării sexuale </w:t>
      </w:r>
      <w:r w:rsidR="008E78D4">
        <w:t>ș</w:t>
      </w:r>
      <w:r w:rsidRPr="00462482">
        <w:t>i a identită</w:t>
      </w:r>
      <w:r w:rsidR="008E78D4">
        <w:t>ț</w:t>
      </w:r>
      <w:r w:rsidRPr="00462482">
        <w:t>ii de gen;</w:t>
      </w:r>
    </w:p>
    <w:p w:rsidR="007256B8" w:rsidRPr="00462482" w:rsidRDefault="007256B8" w:rsidP="007256B8">
      <w:pPr>
        <w:pStyle w:val="Normal12Hanging"/>
        <w:rPr>
          <w:i/>
        </w:rPr>
      </w:pPr>
      <w:r w:rsidRPr="00462482">
        <w:rPr>
          <w:i/>
        </w:rPr>
        <w:t>Justi</w:t>
      </w:r>
      <w:r w:rsidR="008E78D4">
        <w:rPr>
          <w:i/>
        </w:rPr>
        <w:t>ț</w:t>
      </w:r>
      <w:r w:rsidRPr="00462482">
        <w:rPr>
          <w:i/>
        </w:rPr>
        <w:t>ia în interesul copilului/accesul copiilor la justi</w:t>
      </w:r>
      <w:r w:rsidR="008E78D4">
        <w:rPr>
          <w:i/>
        </w:rPr>
        <w:t>ț</w:t>
      </w:r>
      <w:r w:rsidRPr="00462482">
        <w:rPr>
          <w:i/>
        </w:rPr>
        <w:t>ie</w:t>
      </w:r>
    </w:p>
    <w:p w:rsidR="007256B8" w:rsidRPr="00462482" w:rsidRDefault="007256B8" w:rsidP="007256B8">
      <w:pPr>
        <w:pStyle w:val="Normal12Hanging"/>
        <w:rPr>
          <w:szCs w:val="24"/>
        </w:rPr>
      </w:pPr>
      <w:r w:rsidRPr="00462482">
        <w:rPr>
          <w:i/>
        </w:rPr>
        <w:t>32.</w:t>
      </w:r>
      <w:r w:rsidRPr="00462482">
        <w:rPr>
          <w:i/>
        </w:rPr>
        <w:tab/>
      </w:r>
      <w:r w:rsidRPr="00462482">
        <w:t xml:space="preserve">îndeamnă statele membre să transpună rapid </w:t>
      </w:r>
      <w:r w:rsidR="008E78D4">
        <w:t>ș</w:t>
      </w:r>
      <w:r w:rsidRPr="00462482">
        <w:t xml:space="preserve">i efectiv </w:t>
      </w:r>
      <w:r w:rsidR="008E78D4">
        <w:t>ș</w:t>
      </w:r>
      <w:r w:rsidRPr="00462482">
        <w:t>i să pună pe deplin în aplicare Directiva (UE) 2016/800 privind garan</w:t>
      </w:r>
      <w:r w:rsidR="008E78D4">
        <w:t>ț</w:t>
      </w:r>
      <w:r w:rsidRPr="00462482">
        <w:t>iile procedurale pentru copiii care sunt persoane suspectate sau acuzate în cadrul procedurilor penale</w:t>
      </w:r>
      <w:r w:rsidRPr="00462482">
        <w:rPr>
          <w:rStyle w:val="FootnoteReference"/>
        </w:rPr>
        <w:footnoteReference w:id="13"/>
      </w:r>
      <w:r w:rsidRPr="00462482">
        <w:t>;</w:t>
      </w:r>
    </w:p>
    <w:p w:rsidR="007256B8" w:rsidRPr="00462482" w:rsidRDefault="007256B8" w:rsidP="007256B8">
      <w:pPr>
        <w:pStyle w:val="Normal12Hanging"/>
        <w:rPr>
          <w:i/>
        </w:rPr>
      </w:pPr>
      <w:r w:rsidRPr="00462482">
        <w:rPr>
          <w:i/>
        </w:rPr>
        <w:t>33.</w:t>
      </w:r>
      <w:r w:rsidRPr="00462482">
        <w:rPr>
          <w:i/>
        </w:rPr>
        <w:tab/>
      </w:r>
      <w:r w:rsidRPr="00462482">
        <w:t>invită statele membre să pună în aplicare Orientările Consiliului Europei privind justi</w:t>
      </w:r>
      <w:r w:rsidR="008E78D4">
        <w:t>ț</w:t>
      </w:r>
      <w:r w:rsidRPr="00462482">
        <w:t>ia în interesul copilului</w:t>
      </w:r>
      <w:r w:rsidRPr="00462482">
        <w:rPr>
          <w:rStyle w:val="FootnoteReference"/>
          <w:color w:val="000000"/>
        </w:rPr>
        <w:footnoteReference w:id="14"/>
      </w:r>
      <w:r w:rsidRPr="00462482">
        <w:t>; reliefează că interesul superior al copilului ar trebui să fie întotdeauna un considerent primordial în luarea deciziilor privind copiii care vin în contact cu sistemul de justi</w:t>
      </w:r>
      <w:r w:rsidR="008E78D4">
        <w:t>ț</w:t>
      </w:r>
      <w:r w:rsidRPr="00462482">
        <w:t xml:space="preserve">ie </w:t>
      </w:r>
      <w:r w:rsidR="008E78D4">
        <w:t>ș</w:t>
      </w:r>
      <w:r w:rsidRPr="00462482">
        <w:t>i că copiilor ar trebui să li se acorde întotdeauna dreptul de a fi asculta</w:t>
      </w:r>
      <w:r w:rsidR="008E78D4">
        <w:t>ț</w:t>
      </w:r>
      <w:r w:rsidRPr="00462482">
        <w:t>i, în conformitate cu articolul 12 din CDC; reaminte</w:t>
      </w:r>
      <w:r w:rsidR="008E78D4">
        <w:t>ș</w:t>
      </w:r>
      <w:r w:rsidRPr="00462482">
        <w:t>te că ar trebui instituite garan</w:t>
      </w:r>
      <w:r w:rsidR="008E78D4">
        <w:t>ț</w:t>
      </w:r>
      <w:r w:rsidRPr="00462482">
        <w:t>ii specifice pentru copiii care intră în contact cu sistemul de justi</w:t>
      </w:r>
      <w:r w:rsidR="008E78D4">
        <w:t>ț</w:t>
      </w:r>
      <w:r w:rsidRPr="00462482">
        <w:t>ie, inclusiv în chestiuni legate de familie, cum ar fi divor</w:t>
      </w:r>
      <w:r w:rsidR="008E78D4">
        <w:t>ț</w:t>
      </w:r>
      <w:r w:rsidRPr="00462482">
        <w:t>ul sau adop</w:t>
      </w:r>
      <w:r w:rsidR="008E78D4">
        <w:t>ț</w:t>
      </w:r>
      <w:r w:rsidRPr="00462482">
        <w:t xml:space="preserve">ia, precum </w:t>
      </w:r>
      <w:r w:rsidR="008E78D4">
        <w:t>ș</w:t>
      </w:r>
      <w:r w:rsidRPr="00462482">
        <w:t>i în chestiuni administrative;</w:t>
      </w:r>
    </w:p>
    <w:p w:rsidR="007256B8" w:rsidRPr="00462482" w:rsidRDefault="007256B8" w:rsidP="007256B8">
      <w:pPr>
        <w:pStyle w:val="Normal12Hanging"/>
        <w:rPr>
          <w:i/>
        </w:rPr>
      </w:pPr>
      <w:r w:rsidRPr="00462482">
        <w:rPr>
          <w:i/>
        </w:rPr>
        <w:t>Copiii migran</w:t>
      </w:r>
      <w:r w:rsidR="008E78D4">
        <w:rPr>
          <w:i/>
        </w:rPr>
        <w:t>ț</w:t>
      </w:r>
      <w:r w:rsidRPr="00462482">
        <w:rPr>
          <w:i/>
        </w:rPr>
        <w:t>i</w:t>
      </w:r>
    </w:p>
    <w:p w:rsidR="007256B8" w:rsidRPr="00462482" w:rsidRDefault="007256B8" w:rsidP="007256B8">
      <w:pPr>
        <w:pStyle w:val="Normal12Hanging"/>
      </w:pPr>
      <w:r w:rsidRPr="00462482">
        <w:t>34.</w:t>
      </w:r>
      <w:r w:rsidRPr="00462482">
        <w:tab/>
        <w:t>reaminte</w:t>
      </w:r>
      <w:r w:rsidR="008E78D4">
        <w:t>ș</w:t>
      </w:r>
      <w:r w:rsidRPr="00462482">
        <w:t>te că interesul superior al copilului ar trebui să fie un considerent primordial în luarea deciziilor privind copiii migran</w:t>
      </w:r>
      <w:r w:rsidR="008E78D4">
        <w:t>ț</w:t>
      </w:r>
      <w:r w:rsidRPr="00462482">
        <w:t>i;</w:t>
      </w:r>
    </w:p>
    <w:p w:rsidR="007256B8" w:rsidRPr="00462482" w:rsidRDefault="007256B8" w:rsidP="007256B8">
      <w:pPr>
        <w:pStyle w:val="Normal12Hanging"/>
      </w:pPr>
      <w:r w:rsidRPr="00462482">
        <w:t>35.</w:t>
      </w:r>
      <w:r w:rsidRPr="00462482">
        <w:tab/>
        <w:t>îndeamnă statele membre să pună în aplicare pe deplin pachetul privind sistemul european comun de azil, pentru a îmbunătă</w:t>
      </w:r>
      <w:r w:rsidR="008E78D4">
        <w:t>ț</w:t>
      </w:r>
      <w:r w:rsidRPr="00462482">
        <w:t>i condi</w:t>
      </w:r>
      <w:r w:rsidR="008E78D4">
        <w:t>ț</w:t>
      </w:r>
      <w:r w:rsidRPr="00462482">
        <w:t>iile pentru to</w:t>
      </w:r>
      <w:r w:rsidR="008E78D4">
        <w:t>ț</w:t>
      </w:r>
      <w:r w:rsidRPr="00462482">
        <w:t>i copiii migran</w:t>
      </w:r>
      <w:r w:rsidR="008E78D4">
        <w:t>ț</w:t>
      </w:r>
      <w:r w:rsidRPr="00462482">
        <w:t xml:space="preserve">i </w:t>
      </w:r>
      <w:r w:rsidR="008E78D4">
        <w:t>ș</w:t>
      </w:r>
      <w:r w:rsidRPr="00462482">
        <w:t>i, în special, pentru copiii neînso</w:t>
      </w:r>
      <w:r w:rsidR="008E78D4">
        <w:t>ț</w:t>
      </w:r>
      <w:r w:rsidRPr="00462482">
        <w:t>i</w:t>
      </w:r>
      <w:r w:rsidR="008E78D4">
        <w:t>ț</w:t>
      </w:r>
      <w:r w:rsidRPr="00462482">
        <w:t xml:space="preserve">i în UE; îndeamnă, în acest sens, Comisia </w:t>
      </w:r>
      <w:r w:rsidR="008E78D4">
        <w:t>ș</w:t>
      </w:r>
      <w:r w:rsidRPr="00462482">
        <w:t>i statele membre să încerce să îmbunătă</w:t>
      </w:r>
      <w:r w:rsidR="008E78D4">
        <w:t>ț</w:t>
      </w:r>
      <w:r w:rsidRPr="00462482">
        <w:t>ească situa</w:t>
      </w:r>
      <w:r w:rsidR="008E78D4">
        <w:t>ț</w:t>
      </w:r>
      <w:r w:rsidRPr="00462482">
        <w:t>ia actuală îngrijorătoare a copiilor din hotspoturile pentru migran</w:t>
      </w:r>
      <w:r w:rsidR="008E78D4">
        <w:t>ț</w:t>
      </w:r>
      <w:r w:rsidRPr="00462482">
        <w:t xml:space="preserve">i din UE; invită UE </w:t>
      </w:r>
      <w:r w:rsidR="008E78D4">
        <w:t>ș</w:t>
      </w:r>
      <w:r w:rsidRPr="00462482">
        <w:t>i statele membre să-</w:t>
      </w:r>
      <w:r w:rsidR="008E78D4">
        <w:t>ș</w:t>
      </w:r>
      <w:r w:rsidRPr="00462482">
        <w:t>i intensifice ac</w:t>
      </w:r>
      <w:r w:rsidR="008E78D4">
        <w:t>ț</w:t>
      </w:r>
      <w:r w:rsidRPr="00462482">
        <w:t>iunile menite să pună capăt deten</w:t>
      </w:r>
      <w:r w:rsidR="008E78D4">
        <w:t>ț</w:t>
      </w:r>
      <w:r w:rsidRPr="00462482">
        <w:t>iei copiilor în contextul migra</w:t>
      </w:r>
      <w:r w:rsidR="008E78D4">
        <w:t>ț</w:t>
      </w:r>
      <w:r w:rsidRPr="00462482">
        <w:t>iei în întreaga Uniune, în conformitate cu Declara</w:t>
      </w:r>
      <w:r w:rsidR="008E78D4">
        <w:t>ț</w:t>
      </w:r>
      <w:r w:rsidRPr="00462482">
        <w:t>ia de la New York pentru refugia</w:t>
      </w:r>
      <w:r w:rsidR="008E78D4">
        <w:t>ț</w:t>
      </w:r>
      <w:r w:rsidRPr="00462482">
        <w:t xml:space="preserve">i </w:t>
      </w:r>
      <w:r w:rsidR="008E78D4">
        <w:t>ș</w:t>
      </w:r>
      <w:r w:rsidRPr="00462482">
        <w:t>i migran</w:t>
      </w:r>
      <w:r w:rsidR="008E78D4">
        <w:t>ț</w:t>
      </w:r>
      <w:r w:rsidRPr="00462482">
        <w:t>i</w:t>
      </w:r>
      <w:r w:rsidRPr="00462482">
        <w:rPr>
          <w:rStyle w:val="FootnoteReference"/>
          <w:color w:val="000000"/>
        </w:rPr>
        <w:footnoteReference w:id="15"/>
      </w:r>
      <w:r w:rsidRPr="00462482">
        <w:t xml:space="preserve">, </w:t>
      </w:r>
      <w:r w:rsidR="008E78D4">
        <w:t>ș</w:t>
      </w:r>
      <w:r w:rsidRPr="00462482">
        <w:t>i să conceapă alternative comunitare la deten</w:t>
      </w:r>
      <w:r w:rsidR="008E78D4">
        <w:t>ț</w:t>
      </w:r>
      <w:r w:rsidRPr="00462482">
        <w:t>ie, acordând, de asemenea, prioritate integrării, educa</w:t>
      </w:r>
      <w:r w:rsidR="008E78D4">
        <w:t>ț</w:t>
      </w:r>
      <w:r w:rsidRPr="00462482">
        <w:t xml:space="preserve">iei </w:t>
      </w:r>
      <w:r w:rsidR="008E78D4">
        <w:t>ș</w:t>
      </w:r>
      <w:r w:rsidRPr="00462482">
        <w:t>i sprijinului psihologic;</w:t>
      </w:r>
    </w:p>
    <w:p w:rsidR="007256B8" w:rsidRPr="00462482" w:rsidRDefault="007256B8" w:rsidP="007256B8">
      <w:pPr>
        <w:pStyle w:val="Normal12Hanging"/>
      </w:pPr>
      <w:r w:rsidRPr="00462482">
        <w:t>36.</w:t>
      </w:r>
      <w:r w:rsidRPr="00462482">
        <w:tab/>
        <w:t>accentuează faptul că un copil neînso</w:t>
      </w:r>
      <w:r w:rsidR="008E78D4">
        <w:t>ț</w:t>
      </w:r>
      <w:r w:rsidRPr="00462482">
        <w:t xml:space="preserve">it este, în primul rând, un copil care poate fi în pericol </w:t>
      </w:r>
      <w:r w:rsidR="008E78D4">
        <w:t>ș</w:t>
      </w:r>
      <w:r w:rsidRPr="00462482">
        <w:t>i că protec</w:t>
      </w:r>
      <w:r w:rsidR="008E78D4">
        <w:t>ț</w:t>
      </w:r>
      <w:r w:rsidRPr="00462482">
        <w:t xml:space="preserve">ia copiilor, </w:t>
      </w:r>
      <w:r w:rsidR="008E78D4">
        <w:t>ș</w:t>
      </w:r>
      <w:r w:rsidRPr="00462482">
        <w:t>i nu politicile în materie de migra</w:t>
      </w:r>
      <w:r w:rsidR="008E78D4">
        <w:t>ț</w:t>
      </w:r>
      <w:r w:rsidRPr="00462482">
        <w:t>ie trebuie să fie principiul de bază al ac</w:t>
      </w:r>
      <w:r w:rsidR="008E78D4">
        <w:t>ț</w:t>
      </w:r>
      <w:r w:rsidRPr="00462482">
        <w:t xml:space="preserve">iunilor statelor membre </w:t>
      </w:r>
      <w:r w:rsidR="008E78D4">
        <w:t>ș</w:t>
      </w:r>
      <w:r w:rsidRPr="00462482">
        <w:t>i ale Uniunii Europene în privin</w:t>
      </w:r>
      <w:r w:rsidR="008E78D4">
        <w:t>ț</w:t>
      </w:r>
      <w:r w:rsidRPr="00462482">
        <w:t>a acestora, respectându-se, astfel, principiul fundamental al interesului superior al copilului; invită statele membre să pună în aplicare Rezolu</w:t>
      </w:r>
      <w:r w:rsidR="008E78D4">
        <w:t>ț</w:t>
      </w:r>
      <w:r w:rsidRPr="00462482">
        <w:t>ia Parlamentului din 12 septembrie 2013 referitoare la situa</w:t>
      </w:r>
      <w:r w:rsidR="008E78D4">
        <w:t>ț</w:t>
      </w:r>
      <w:r w:rsidRPr="00462482">
        <w:t>ia minorilor neînso</w:t>
      </w:r>
      <w:r w:rsidR="008E78D4">
        <w:t>ț</w:t>
      </w:r>
      <w:r w:rsidRPr="00462482">
        <w:t>i</w:t>
      </w:r>
      <w:r w:rsidR="008E78D4">
        <w:t>ț</w:t>
      </w:r>
      <w:r w:rsidRPr="00462482">
        <w:t>i în UE</w:t>
      </w:r>
      <w:r w:rsidRPr="00462482">
        <w:rPr>
          <w:rStyle w:val="FootnoteReference"/>
        </w:rPr>
        <w:footnoteReference w:id="16"/>
      </w:r>
      <w:r w:rsidRPr="00462482">
        <w:t xml:space="preserve"> </w:t>
      </w:r>
      <w:r w:rsidR="008E78D4">
        <w:t>ș</w:t>
      </w:r>
      <w:r w:rsidRPr="00462482">
        <w:t>i solicită Comisiei să î</w:t>
      </w:r>
      <w:r w:rsidR="008E78D4">
        <w:t>ș</w:t>
      </w:r>
      <w:r w:rsidRPr="00462482">
        <w:t>i reînnoiască planul de ac</w:t>
      </w:r>
      <w:r w:rsidR="008E78D4">
        <w:t>ț</w:t>
      </w:r>
      <w:r w:rsidRPr="00462482">
        <w:t>iune privind minorii neînso</w:t>
      </w:r>
      <w:r w:rsidR="008E78D4">
        <w:t>ț</w:t>
      </w:r>
      <w:r w:rsidRPr="00462482">
        <w:t>i</w:t>
      </w:r>
      <w:r w:rsidR="008E78D4">
        <w:t>ț</w:t>
      </w:r>
      <w:r w:rsidRPr="00462482">
        <w:t>i (2010-2014);</w:t>
      </w:r>
    </w:p>
    <w:p w:rsidR="007256B8" w:rsidRPr="00462482" w:rsidRDefault="007256B8" w:rsidP="007256B8">
      <w:pPr>
        <w:pStyle w:val="Normal12Hanging"/>
      </w:pPr>
      <w:r w:rsidRPr="00462482">
        <w:t>37.</w:t>
      </w:r>
      <w:r w:rsidRPr="00462482">
        <w:tab/>
        <w:t>invită toate statele membre să faciliteze reîntregirea familiei cu bunăvoin</w:t>
      </w:r>
      <w:r w:rsidR="008E78D4">
        <w:t>ț</w:t>
      </w:r>
      <w:r w:rsidRPr="00462482">
        <w:t xml:space="preserve">ă, umanism </w:t>
      </w:r>
      <w:r w:rsidR="008E78D4">
        <w:t>ș</w:t>
      </w:r>
      <w:r w:rsidRPr="00462482">
        <w:t>i operativitate, în conformitate cu articolul 10 din CDC;</w:t>
      </w:r>
    </w:p>
    <w:p w:rsidR="007256B8" w:rsidRPr="00462482" w:rsidRDefault="007256B8" w:rsidP="007256B8">
      <w:pPr>
        <w:pStyle w:val="Normal12Hanging"/>
      </w:pPr>
      <w:r w:rsidRPr="00462482">
        <w:t>38.</w:t>
      </w:r>
      <w:r w:rsidRPr="00462482">
        <w:tab/>
        <w:t xml:space="preserve">este îngrijorat de faptul că se nasc în continuare copii apatrizi, inclusiv în UE, </w:t>
      </w:r>
      <w:r w:rsidR="008E78D4">
        <w:t>ș</w:t>
      </w:r>
      <w:r w:rsidRPr="00462482">
        <w:t>i că ace</w:t>
      </w:r>
      <w:r w:rsidR="008E78D4">
        <w:t>ș</w:t>
      </w:r>
      <w:r w:rsidRPr="00462482">
        <w:t>tia continuă să fie exclu</w:t>
      </w:r>
      <w:r w:rsidR="008E78D4">
        <w:t>ș</w:t>
      </w:r>
      <w:r w:rsidRPr="00462482">
        <w:t>i de la accesul la drepturile de bază, inclusiv la asisten</w:t>
      </w:r>
      <w:r w:rsidR="008E78D4">
        <w:t>ț</w:t>
      </w:r>
      <w:r w:rsidRPr="00462482">
        <w:t>ă medicală, educa</w:t>
      </w:r>
      <w:r w:rsidR="008E78D4">
        <w:t>ț</w:t>
      </w:r>
      <w:r w:rsidRPr="00462482">
        <w:t xml:space="preserve">ie </w:t>
      </w:r>
      <w:r w:rsidR="008E78D4">
        <w:t>ș</w:t>
      </w:r>
      <w:r w:rsidRPr="00462482">
        <w:t>i protec</w:t>
      </w:r>
      <w:r w:rsidR="008E78D4">
        <w:t>ț</w:t>
      </w:r>
      <w:r w:rsidRPr="00462482">
        <w:t>ie socială; face din nou apel la statele membre să găsească o solu</w:t>
      </w:r>
      <w:r w:rsidR="008E78D4">
        <w:t>ț</w:t>
      </w:r>
      <w:r w:rsidRPr="00462482">
        <w:t xml:space="preserve">ie la problema copiilor apatrizi, din interiorul </w:t>
      </w:r>
      <w:r w:rsidR="008E78D4">
        <w:t>ș</w:t>
      </w:r>
      <w:r w:rsidRPr="00462482">
        <w:t>i din afara UE, în conformitate cu dreptul interna</w:t>
      </w:r>
      <w:r w:rsidR="008E78D4">
        <w:t>ț</w:t>
      </w:r>
      <w:r w:rsidRPr="00462482">
        <w:t>ional; invită Comisia să promoveze accesul universal la înregistrarea na</w:t>
      </w:r>
      <w:r w:rsidR="008E78D4">
        <w:t>ș</w:t>
      </w:r>
      <w:r w:rsidRPr="00462482">
        <w:t xml:space="preserve">terii </w:t>
      </w:r>
      <w:r w:rsidR="008E78D4">
        <w:t>ș</w:t>
      </w:r>
      <w:r w:rsidRPr="00462482">
        <w:t>i dreptul copilului de a dobândi o cetă</w:t>
      </w:r>
      <w:r w:rsidR="008E78D4">
        <w:t>ț</w:t>
      </w:r>
      <w:r w:rsidRPr="00462482">
        <w:t>enie, pentru a pune capăt riscului de apatridie;</w:t>
      </w:r>
    </w:p>
    <w:p w:rsidR="007256B8" w:rsidRPr="00462482" w:rsidRDefault="007256B8" w:rsidP="007256B8">
      <w:pPr>
        <w:pStyle w:val="Normal12Hanging"/>
        <w:rPr>
          <w:i/>
          <w:szCs w:val="23"/>
        </w:rPr>
      </w:pPr>
      <w:r w:rsidRPr="00462482">
        <w:rPr>
          <w:i/>
          <w:szCs w:val="23"/>
        </w:rPr>
        <w:t>Copiii vulnerabili</w:t>
      </w:r>
    </w:p>
    <w:p w:rsidR="007256B8" w:rsidRPr="00462482" w:rsidRDefault="007256B8" w:rsidP="007256B8">
      <w:pPr>
        <w:pStyle w:val="Normal12Hanging"/>
      </w:pPr>
      <w:r w:rsidRPr="00462482">
        <w:t>39.</w:t>
      </w:r>
      <w:r w:rsidRPr="00462482">
        <w:tab/>
        <w:t>invită statele membre să considere fiecare copil ca fiind în primul rând un copil, indiferent de originea sa socială sau etnică, de gen, de orientare sexuală, de aptitudini sau de statutul său în materie de migra</w:t>
      </w:r>
      <w:r w:rsidR="008E78D4">
        <w:t>ț</w:t>
      </w:r>
      <w:r w:rsidRPr="00462482">
        <w:t>ie;</w:t>
      </w:r>
    </w:p>
    <w:p w:rsidR="007256B8" w:rsidRPr="00462482" w:rsidRDefault="007256B8" w:rsidP="007256B8">
      <w:pPr>
        <w:pStyle w:val="Normal12Hanging"/>
        <w:rPr>
          <w:szCs w:val="23"/>
        </w:rPr>
      </w:pPr>
      <w:r w:rsidRPr="00462482">
        <w:t>40.</w:t>
      </w:r>
      <w:r w:rsidRPr="00462482">
        <w:tab/>
        <w:t>subliniază că este important ca statele membre să conceapă o abordare intersectorială care să combată toate formele de discriminare ce afectează copiii, luând în considerare vulnerabilită</w:t>
      </w:r>
      <w:r w:rsidR="008E78D4">
        <w:t>ț</w:t>
      </w:r>
      <w:r w:rsidRPr="00462482">
        <w:t>ile acestora, în special cele ale copiilor cu dizabilită</w:t>
      </w:r>
      <w:r w:rsidR="008E78D4">
        <w:t>ț</w:t>
      </w:r>
      <w:r w:rsidRPr="00462482">
        <w:t>i, ale copiilor migran</w:t>
      </w:r>
      <w:r w:rsidR="008E78D4">
        <w:t>ț</w:t>
      </w:r>
      <w:r w:rsidRPr="00462482">
        <w:t>i, ale copiilor proveni</w:t>
      </w:r>
      <w:r w:rsidR="008E78D4">
        <w:t>ț</w:t>
      </w:r>
      <w:r w:rsidRPr="00462482">
        <w:t>i din familii de migran</w:t>
      </w:r>
      <w:r w:rsidR="008E78D4">
        <w:t>ț</w:t>
      </w:r>
      <w:r w:rsidRPr="00462482">
        <w:t>i, ale copiilor din rândul minorită</w:t>
      </w:r>
      <w:r w:rsidR="008E78D4">
        <w:t>ț</w:t>
      </w:r>
      <w:r w:rsidRPr="00462482">
        <w:t xml:space="preserve">ilor </w:t>
      </w:r>
      <w:r w:rsidR="008E78D4">
        <w:t>ș</w:t>
      </w:r>
      <w:r w:rsidRPr="00462482">
        <w:t>i al grupurilor religioase, ale copiilor LGBTI, ale copiilor de luptători străini, ale copiilor afla</w:t>
      </w:r>
      <w:r w:rsidR="008E78D4">
        <w:t>ț</w:t>
      </w:r>
      <w:r w:rsidRPr="00462482">
        <w:t>i în deten</w:t>
      </w:r>
      <w:r w:rsidR="008E78D4">
        <w:t>ț</w:t>
      </w:r>
      <w:r w:rsidRPr="00462482">
        <w:t>ie, ale copiilor cu părin</w:t>
      </w:r>
      <w:r w:rsidR="008E78D4">
        <w:t>ț</w:t>
      </w:r>
      <w:r w:rsidRPr="00462482">
        <w:t>i în închisoare, ale copiilor cu părin</w:t>
      </w:r>
      <w:r w:rsidR="008E78D4">
        <w:t>ț</w:t>
      </w:r>
      <w:r w:rsidRPr="00462482">
        <w:t>i LGBTI, ale copiilor afla</w:t>
      </w:r>
      <w:r w:rsidR="008E78D4">
        <w:t>ț</w:t>
      </w:r>
      <w:r w:rsidRPr="00462482">
        <w:t xml:space="preserve">i în plasament </w:t>
      </w:r>
      <w:r w:rsidR="008E78D4">
        <w:t>ș</w:t>
      </w:r>
      <w:r w:rsidRPr="00462482">
        <w:t>i ale copiilor apatrizi sau fără forme legale, care sunt expu</w:t>
      </w:r>
      <w:r w:rsidR="008E78D4">
        <w:t>ș</w:t>
      </w:r>
      <w:r w:rsidRPr="00462482">
        <w:t>i în mod dispropor</w:t>
      </w:r>
      <w:r w:rsidR="008E78D4">
        <w:t>ț</w:t>
      </w:r>
      <w:r w:rsidRPr="00462482">
        <w:t xml:space="preserve">ionat la discriminare din mai multe motive </w:t>
      </w:r>
      <w:r w:rsidR="008E78D4">
        <w:t>ș</w:t>
      </w:r>
      <w:r w:rsidRPr="00462482">
        <w:t>i, prin urmare, au nevoie de o abordare specializată care să răspundă nevoilor lor specifice; invită statele membre să adopte, în sfâr</w:t>
      </w:r>
      <w:r w:rsidR="008E78D4">
        <w:t>ș</w:t>
      </w:r>
      <w:r w:rsidRPr="00462482">
        <w:t>it, Directiva orizontală privind discriminarea;</w:t>
      </w:r>
    </w:p>
    <w:p w:rsidR="007256B8" w:rsidRPr="00462482" w:rsidRDefault="007256B8" w:rsidP="007256B8">
      <w:pPr>
        <w:pStyle w:val="Normal12Hanging"/>
        <w:rPr>
          <w:szCs w:val="23"/>
        </w:rPr>
      </w:pPr>
      <w:r w:rsidRPr="00462482">
        <w:t>41.</w:t>
      </w:r>
      <w:r w:rsidRPr="00462482">
        <w:tab/>
        <w:t>deplânge toate formele de violen</w:t>
      </w:r>
      <w:r w:rsidR="008E78D4">
        <w:t>ț</w:t>
      </w:r>
      <w:r w:rsidRPr="00462482">
        <w:t xml:space="preserve">ă bazată pe gen </w:t>
      </w:r>
      <w:r w:rsidR="008E78D4">
        <w:t>ș</w:t>
      </w:r>
      <w:r w:rsidRPr="00462482">
        <w:t xml:space="preserve">i îndeamnă statele membre să pună în aplicare măsuri concrete pentru a pune capăt căsătoriilor copiilor, mutilării genitale a femeilor </w:t>
      </w:r>
      <w:r w:rsidR="008E78D4">
        <w:t>ș</w:t>
      </w:r>
      <w:r w:rsidRPr="00462482">
        <w:t>i altor practici dăunătoare care constituie încălcări grave ale drepturilor fundamentale ale copiilor; invită, prin urmare, statele membre să ratifice Conven</w:t>
      </w:r>
      <w:r w:rsidR="008E78D4">
        <w:t>ț</w:t>
      </w:r>
      <w:r w:rsidRPr="00462482">
        <w:t xml:space="preserve">ia de la Istanbul </w:t>
      </w:r>
      <w:r w:rsidR="008E78D4">
        <w:t>ș</w:t>
      </w:r>
      <w:r w:rsidRPr="00462482">
        <w:t>i să dea curs Rezolu</w:t>
      </w:r>
      <w:r w:rsidR="008E78D4">
        <w:t>ț</w:t>
      </w:r>
      <w:r w:rsidRPr="00462482">
        <w:t>iei sale din 4 octombrie 2017 referitoare la eradicarea practicii de căsătorie a copiilor, Rezolu</w:t>
      </w:r>
      <w:r w:rsidR="008E78D4">
        <w:t>ț</w:t>
      </w:r>
      <w:r w:rsidRPr="00462482">
        <w:t>iei sale din 4 iulie 2018 referitoare la strategia externă a UE împotriva căsătoriilor for</w:t>
      </w:r>
      <w:r w:rsidR="008E78D4">
        <w:t>ț</w:t>
      </w:r>
      <w:r w:rsidRPr="00462482">
        <w:t xml:space="preserve">ate </w:t>
      </w:r>
      <w:r w:rsidR="008E78D4">
        <w:t>ș</w:t>
      </w:r>
      <w:r w:rsidRPr="00462482">
        <w:t xml:space="preserve">i timpurii – etapele următoare </w:t>
      </w:r>
      <w:r w:rsidR="008E78D4">
        <w:t>ș</w:t>
      </w:r>
      <w:r w:rsidRPr="00462482">
        <w:t>i Rezolu</w:t>
      </w:r>
      <w:r w:rsidR="008E78D4">
        <w:t>ț</w:t>
      </w:r>
      <w:r w:rsidRPr="00462482">
        <w:t>iei sale din 7 februarie 2018 referitoare la toleran</w:t>
      </w:r>
      <w:r w:rsidR="008E78D4">
        <w:t>ț</w:t>
      </w:r>
      <w:r w:rsidRPr="00462482">
        <w:t>a zero fa</w:t>
      </w:r>
      <w:r w:rsidR="008E78D4">
        <w:t>ț</w:t>
      </w:r>
      <w:r w:rsidRPr="00462482">
        <w:t>ă de mutilarea genitală a femeilor (MGF)</w:t>
      </w:r>
      <w:r w:rsidRPr="00462482">
        <w:rPr>
          <w:rStyle w:val="FootnoteReference"/>
        </w:rPr>
        <w:footnoteReference w:id="17"/>
      </w:r>
      <w:r w:rsidRPr="00462482">
        <w:t>;</w:t>
      </w:r>
    </w:p>
    <w:p w:rsidR="007256B8" w:rsidRPr="00462482" w:rsidRDefault="007256B8" w:rsidP="007256B8">
      <w:pPr>
        <w:pStyle w:val="Normal12Hanging"/>
        <w:rPr>
          <w:szCs w:val="23"/>
        </w:rPr>
      </w:pPr>
      <w:r w:rsidRPr="00462482">
        <w:t>42.</w:t>
      </w:r>
      <w:r w:rsidRPr="00462482">
        <w:tab/>
        <w:t>subliniază că ar trebui să se acorde o aten</w:t>
      </w:r>
      <w:r w:rsidR="008E78D4">
        <w:t>ț</w:t>
      </w:r>
      <w:r w:rsidRPr="00462482">
        <w:t>ie deosebită copiilor cu dizabilită</w:t>
      </w:r>
      <w:r w:rsidR="008E78D4">
        <w:t>ț</w:t>
      </w:r>
      <w:r w:rsidRPr="00462482">
        <w:t>i; condamnă cu fermitate toate formele de violen</w:t>
      </w:r>
      <w:r w:rsidR="008E78D4">
        <w:t>ț</w:t>
      </w:r>
      <w:r w:rsidRPr="00462482">
        <w:t>ă împotriva acestor copii, inclusiv violen</w:t>
      </w:r>
      <w:r w:rsidR="008E78D4">
        <w:t>ț</w:t>
      </w:r>
      <w:r w:rsidRPr="00462482">
        <w:t>a ce rezultă din rele tratamente sau din îngrijirea necorespunzătoare; îndeamnă statele membre să se asigure că copiii cu dizabilită</w:t>
      </w:r>
      <w:r w:rsidR="008E78D4">
        <w:t>ț</w:t>
      </w:r>
      <w:r w:rsidRPr="00462482">
        <w:t>i au acces la o educa</w:t>
      </w:r>
      <w:r w:rsidR="008E78D4">
        <w:t>ț</w:t>
      </w:r>
      <w:r w:rsidRPr="00462482">
        <w:t xml:space="preserve">ie </w:t>
      </w:r>
      <w:r w:rsidR="008E78D4">
        <w:t>ș</w:t>
      </w:r>
      <w:r w:rsidRPr="00462482">
        <w:t>i o formare de calitate, care să le permită să ajungă cât mai independen</w:t>
      </w:r>
      <w:r w:rsidR="008E78D4">
        <w:t>ț</w:t>
      </w:r>
      <w:r w:rsidRPr="00462482">
        <w:t xml:space="preserve">i </w:t>
      </w:r>
      <w:r w:rsidR="008E78D4">
        <w:t>ș</w:t>
      </w:r>
      <w:r w:rsidRPr="00462482">
        <w:t>i mai integra</w:t>
      </w:r>
      <w:r w:rsidR="008E78D4">
        <w:t>ț</w:t>
      </w:r>
      <w:r w:rsidRPr="00462482">
        <w:t xml:space="preserve">i în societate, precum </w:t>
      </w:r>
      <w:r w:rsidR="008E78D4">
        <w:t>ș</w:t>
      </w:r>
      <w:r w:rsidRPr="00462482">
        <w:t>i acces la îngrijire; invită, a</w:t>
      </w:r>
      <w:r w:rsidR="008E78D4">
        <w:t>ș</w:t>
      </w:r>
      <w:r w:rsidRPr="00462482">
        <w:t>adar, toate statele membre să implementeze standardele stabilite în Conven</w:t>
      </w:r>
      <w:r w:rsidR="008E78D4">
        <w:t>ț</w:t>
      </w:r>
      <w:r w:rsidRPr="00462482">
        <w:t>ia ONU cu privire la drepturile copilului, în Conven</w:t>
      </w:r>
      <w:r w:rsidR="008E78D4">
        <w:t>ț</w:t>
      </w:r>
      <w:r w:rsidRPr="00462482">
        <w:t xml:space="preserve">ia ONU privind drepturile persoanelor cu handicap </w:t>
      </w:r>
      <w:r w:rsidR="008E78D4">
        <w:t>ș</w:t>
      </w:r>
      <w:r w:rsidRPr="00462482">
        <w:t>i în Orientările ONU pentru îngrijirea alternativă a copiilor;</w:t>
      </w:r>
    </w:p>
    <w:p w:rsidR="007256B8" w:rsidRPr="00462482" w:rsidRDefault="007256B8" w:rsidP="007256B8">
      <w:pPr>
        <w:pStyle w:val="Normal12Hanging"/>
      </w:pPr>
      <w:r w:rsidRPr="00462482">
        <w:t>43.</w:t>
      </w:r>
      <w:r w:rsidRPr="00462482">
        <w:tab/>
        <w:t xml:space="preserve">invită statele membre să se asigure că se evită separarea inutilă a familiei </w:t>
      </w:r>
      <w:r w:rsidR="008E78D4">
        <w:t>ș</w:t>
      </w:r>
      <w:r w:rsidRPr="00462482">
        <w:t xml:space="preserve">i că se consolidează serviciile din cadrul familiilor </w:t>
      </w:r>
      <w:r w:rsidR="008E78D4">
        <w:t>ș</w:t>
      </w:r>
      <w:r w:rsidRPr="00462482">
        <w:t>i al comunită</w:t>
      </w:r>
      <w:r w:rsidR="008E78D4">
        <w:t>ț</w:t>
      </w:r>
      <w:r w:rsidRPr="00462482">
        <w:t>ilor, pentru a permite tuturor copiilor să crească nu în institu</w:t>
      </w:r>
      <w:r w:rsidR="008E78D4">
        <w:t>ț</w:t>
      </w:r>
      <w:r w:rsidRPr="00462482">
        <w:t xml:space="preserve">ii, ci în familii </w:t>
      </w:r>
      <w:r w:rsidR="008E78D4">
        <w:t>ș</w:t>
      </w:r>
      <w:r w:rsidRPr="00462482">
        <w:t>i în comunită</w:t>
      </w:r>
      <w:r w:rsidR="008E78D4">
        <w:t>ț</w:t>
      </w:r>
      <w:r w:rsidRPr="00462482">
        <w:t>i; invită Comisia să utilizeze fondurile UE pentru a sprijini tranzi</w:t>
      </w:r>
      <w:r w:rsidR="008E78D4">
        <w:t>ț</w:t>
      </w:r>
      <w:r w:rsidRPr="00462482">
        <w:t>ia de la serviciile din cadrul institu</w:t>
      </w:r>
      <w:r w:rsidR="008E78D4">
        <w:t>ț</w:t>
      </w:r>
      <w:r w:rsidRPr="00462482">
        <w:t>iilor la serviciile din cadrul comunită</w:t>
      </w:r>
      <w:r w:rsidR="008E78D4">
        <w:t>ț</w:t>
      </w:r>
      <w:r w:rsidRPr="00462482">
        <w:t xml:space="preserve">ilor, atât în UE, cât </w:t>
      </w:r>
      <w:r w:rsidR="008E78D4">
        <w:t>ș</w:t>
      </w:r>
      <w:r w:rsidRPr="00462482">
        <w:t>i în afara ei;</w:t>
      </w:r>
    </w:p>
    <w:p w:rsidR="007256B8" w:rsidRPr="00462482" w:rsidRDefault="007256B8" w:rsidP="007256B8">
      <w:pPr>
        <w:pStyle w:val="Normal12Hanging"/>
        <w:rPr>
          <w:szCs w:val="23"/>
        </w:rPr>
      </w:pPr>
      <w:r w:rsidRPr="00462482">
        <w:t>44.</w:t>
      </w:r>
      <w:r w:rsidRPr="00462482">
        <w:tab/>
      </w:r>
      <w:r w:rsidRPr="00462482">
        <w:rPr>
          <w:szCs w:val="24"/>
          <w:shd w:val="clear" w:color="auto" w:fill="FFFFFF"/>
        </w:rPr>
        <w:t>invită statele membre să se asigure că copiii afla</w:t>
      </w:r>
      <w:r w:rsidR="008E78D4">
        <w:rPr>
          <w:szCs w:val="24"/>
          <w:shd w:val="clear" w:color="auto" w:fill="FFFFFF"/>
        </w:rPr>
        <w:t>ț</w:t>
      </w:r>
      <w:r w:rsidRPr="00462482">
        <w:rPr>
          <w:szCs w:val="24"/>
          <w:shd w:val="clear" w:color="auto" w:fill="FFFFFF"/>
        </w:rPr>
        <w:t>i în închisoare sunt trata</w:t>
      </w:r>
      <w:r w:rsidR="008E78D4">
        <w:rPr>
          <w:szCs w:val="24"/>
          <w:shd w:val="clear" w:color="auto" w:fill="FFFFFF"/>
        </w:rPr>
        <w:t>ț</w:t>
      </w:r>
      <w:r w:rsidRPr="00462482">
        <w:rPr>
          <w:szCs w:val="24"/>
          <w:shd w:val="clear" w:color="auto" w:fill="FFFFFF"/>
        </w:rPr>
        <w:t xml:space="preserve">i într-un mod care să </w:t>
      </w:r>
      <w:r w:rsidR="008E78D4">
        <w:rPr>
          <w:szCs w:val="24"/>
          <w:shd w:val="clear" w:color="auto" w:fill="FFFFFF"/>
        </w:rPr>
        <w:t>ț</w:t>
      </w:r>
      <w:r w:rsidRPr="00462482">
        <w:rPr>
          <w:szCs w:val="24"/>
          <w:shd w:val="clear" w:color="auto" w:fill="FFFFFF"/>
        </w:rPr>
        <w:t>ină seama de interesul superior al acestora; reaminte</w:t>
      </w:r>
      <w:r w:rsidR="008E78D4">
        <w:rPr>
          <w:szCs w:val="24"/>
          <w:shd w:val="clear" w:color="auto" w:fill="FFFFFF"/>
        </w:rPr>
        <w:t>ș</w:t>
      </w:r>
      <w:r w:rsidRPr="00462482">
        <w:rPr>
          <w:szCs w:val="24"/>
          <w:shd w:val="clear" w:color="auto" w:fill="FFFFFF"/>
        </w:rPr>
        <w:t>te faptul că copiii afla</w:t>
      </w:r>
      <w:r w:rsidR="008E78D4">
        <w:rPr>
          <w:szCs w:val="24"/>
          <w:shd w:val="clear" w:color="auto" w:fill="FFFFFF"/>
        </w:rPr>
        <w:t>ț</w:t>
      </w:r>
      <w:r w:rsidRPr="00462482">
        <w:rPr>
          <w:szCs w:val="24"/>
          <w:shd w:val="clear" w:color="auto" w:fill="FFFFFF"/>
        </w:rPr>
        <w:t>i în deten</w:t>
      </w:r>
      <w:r w:rsidR="008E78D4">
        <w:rPr>
          <w:szCs w:val="24"/>
          <w:shd w:val="clear" w:color="auto" w:fill="FFFFFF"/>
        </w:rPr>
        <w:t>ț</w:t>
      </w:r>
      <w:r w:rsidRPr="00462482">
        <w:rPr>
          <w:szCs w:val="24"/>
          <w:shd w:val="clear" w:color="auto" w:fill="FFFFFF"/>
        </w:rPr>
        <w:t>ie ar trebui să primească îngrijiri, protec</w:t>
      </w:r>
      <w:r w:rsidR="008E78D4">
        <w:rPr>
          <w:szCs w:val="24"/>
          <w:shd w:val="clear" w:color="auto" w:fill="FFFFFF"/>
        </w:rPr>
        <w:t>ț</w:t>
      </w:r>
      <w:r w:rsidRPr="00462482">
        <w:rPr>
          <w:szCs w:val="24"/>
          <w:shd w:val="clear" w:color="auto" w:fill="FFFFFF"/>
        </w:rPr>
        <w:t xml:space="preserve">ie </w:t>
      </w:r>
      <w:r w:rsidR="008E78D4">
        <w:rPr>
          <w:szCs w:val="24"/>
          <w:shd w:val="clear" w:color="auto" w:fill="FFFFFF"/>
        </w:rPr>
        <w:t>ș</w:t>
      </w:r>
      <w:r w:rsidRPr="00462482">
        <w:rPr>
          <w:szCs w:val="24"/>
          <w:shd w:val="clear" w:color="auto" w:fill="FFFFFF"/>
        </w:rPr>
        <w:t>i orice formă de asisten</w:t>
      </w:r>
      <w:r w:rsidR="008E78D4">
        <w:rPr>
          <w:szCs w:val="24"/>
          <w:shd w:val="clear" w:color="auto" w:fill="FFFFFF"/>
        </w:rPr>
        <w:t>ț</w:t>
      </w:r>
      <w:r w:rsidRPr="00462482">
        <w:rPr>
          <w:szCs w:val="24"/>
          <w:shd w:val="clear" w:color="auto" w:fill="FFFFFF"/>
        </w:rPr>
        <w:t>ă individuală – socială, educa</w:t>
      </w:r>
      <w:r w:rsidR="008E78D4">
        <w:rPr>
          <w:szCs w:val="24"/>
          <w:shd w:val="clear" w:color="auto" w:fill="FFFFFF"/>
        </w:rPr>
        <w:t>ț</w:t>
      </w:r>
      <w:r w:rsidRPr="00462482">
        <w:rPr>
          <w:szCs w:val="24"/>
          <w:shd w:val="clear" w:color="auto" w:fill="FFFFFF"/>
        </w:rPr>
        <w:t>ională, voca</w:t>
      </w:r>
      <w:r w:rsidR="008E78D4">
        <w:rPr>
          <w:szCs w:val="24"/>
          <w:shd w:val="clear" w:color="auto" w:fill="FFFFFF"/>
        </w:rPr>
        <w:t>ț</w:t>
      </w:r>
      <w:r w:rsidRPr="00462482">
        <w:rPr>
          <w:szCs w:val="24"/>
          <w:shd w:val="clear" w:color="auto" w:fill="FFFFFF"/>
        </w:rPr>
        <w:t xml:space="preserve">ională, psihologică, medicală </w:t>
      </w:r>
      <w:r w:rsidR="008E78D4">
        <w:rPr>
          <w:szCs w:val="24"/>
          <w:shd w:val="clear" w:color="auto" w:fill="FFFFFF"/>
        </w:rPr>
        <w:t>ș</w:t>
      </w:r>
      <w:r w:rsidRPr="00462482">
        <w:rPr>
          <w:szCs w:val="24"/>
          <w:shd w:val="clear" w:color="auto" w:fill="FFFFFF"/>
        </w:rPr>
        <w:t>i fizică – de care ar putea avea nevoie în func</w:t>
      </w:r>
      <w:r w:rsidR="008E78D4">
        <w:rPr>
          <w:szCs w:val="24"/>
          <w:shd w:val="clear" w:color="auto" w:fill="FFFFFF"/>
        </w:rPr>
        <w:t>ț</w:t>
      </w:r>
      <w:r w:rsidRPr="00462482">
        <w:rPr>
          <w:szCs w:val="24"/>
          <w:shd w:val="clear" w:color="auto" w:fill="FFFFFF"/>
        </w:rPr>
        <w:t xml:space="preserve">ie de vârsta, sexul </w:t>
      </w:r>
      <w:r w:rsidR="008E78D4">
        <w:rPr>
          <w:szCs w:val="24"/>
          <w:shd w:val="clear" w:color="auto" w:fill="FFFFFF"/>
        </w:rPr>
        <w:t>ș</w:t>
      </w:r>
      <w:r w:rsidRPr="00462482">
        <w:rPr>
          <w:szCs w:val="24"/>
          <w:shd w:val="clear" w:color="auto" w:fill="FFFFFF"/>
        </w:rPr>
        <w:t>i personalitatea lor; îndeamnă statele membre să se asigure că copiii afla</w:t>
      </w:r>
      <w:r w:rsidR="008E78D4">
        <w:rPr>
          <w:szCs w:val="24"/>
          <w:shd w:val="clear" w:color="auto" w:fill="FFFFFF"/>
        </w:rPr>
        <w:t>ț</w:t>
      </w:r>
      <w:r w:rsidRPr="00462482">
        <w:rPr>
          <w:szCs w:val="24"/>
          <w:shd w:val="clear" w:color="auto" w:fill="FFFFFF"/>
        </w:rPr>
        <w:t>i în deten</w:t>
      </w:r>
      <w:r w:rsidR="008E78D4">
        <w:rPr>
          <w:szCs w:val="24"/>
          <w:shd w:val="clear" w:color="auto" w:fill="FFFFFF"/>
        </w:rPr>
        <w:t>ț</w:t>
      </w:r>
      <w:r w:rsidRPr="00462482">
        <w:rPr>
          <w:szCs w:val="24"/>
          <w:shd w:val="clear" w:color="auto" w:fill="FFFFFF"/>
        </w:rPr>
        <w:t xml:space="preserve">ie păstrează legături permanente </w:t>
      </w:r>
      <w:r w:rsidR="008E78D4">
        <w:rPr>
          <w:szCs w:val="24"/>
          <w:shd w:val="clear" w:color="auto" w:fill="FFFFFF"/>
        </w:rPr>
        <w:t>ș</w:t>
      </w:r>
      <w:r w:rsidRPr="00462482">
        <w:rPr>
          <w:szCs w:val="24"/>
          <w:shd w:val="clear" w:color="auto" w:fill="FFFFFF"/>
        </w:rPr>
        <w:t>i semnificative cu părin</w:t>
      </w:r>
      <w:r w:rsidR="008E78D4">
        <w:rPr>
          <w:szCs w:val="24"/>
          <w:shd w:val="clear" w:color="auto" w:fill="FFFFFF"/>
        </w:rPr>
        <w:t>ț</w:t>
      </w:r>
      <w:r w:rsidRPr="00462482">
        <w:rPr>
          <w:szCs w:val="24"/>
          <w:shd w:val="clear" w:color="auto" w:fill="FFFFFF"/>
        </w:rPr>
        <w:t xml:space="preserve">ii, familia </w:t>
      </w:r>
      <w:r w:rsidR="008E78D4">
        <w:rPr>
          <w:szCs w:val="24"/>
          <w:shd w:val="clear" w:color="auto" w:fill="FFFFFF"/>
        </w:rPr>
        <w:t>ș</w:t>
      </w:r>
      <w:r w:rsidRPr="00462482">
        <w:rPr>
          <w:szCs w:val="24"/>
          <w:shd w:val="clear" w:color="auto" w:fill="FFFFFF"/>
        </w:rPr>
        <w:t xml:space="preserve">i prietenii lor, prin vizite </w:t>
      </w:r>
      <w:r w:rsidR="008E78D4">
        <w:rPr>
          <w:szCs w:val="24"/>
          <w:shd w:val="clear" w:color="auto" w:fill="FFFFFF"/>
        </w:rPr>
        <w:t>ș</w:t>
      </w:r>
      <w:r w:rsidRPr="00462482">
        <w:rPr>
          <w:szCs w:val="24"/>
          <w:shd w:val="clear" w:color="auto" w:fill="FFFFFF"/>
        </w:rPr>
        <w:t>i coresponden</w:t>
      </w:r>
      <w:r w:rsidR="008E78D4">
        <w:rPr>
          <w:szCs w:val="24"/>
          <w:shd w:val="clear" w:color="auto" w:fill="FFFFFF"/>
        </w:rPr>
        <w:t>ț</w:t>
      </w:r>
      <w:r w:rsidRPr="00462482">
        <w:rPr>
          <w:szCs w:val="24"/>
          <w:shd w:val="clear" w:color="auto" w:fill="FFFFFF"/>
        </w:rPr>
        <w:t>ă;</w:t>
      </w:r>
    </w:p>
    <w:p w:rsidR="007256B8" w:rsidRPr="00462482" w:rsidRDefault="007256B8" w:rsidP="007256B8">
      <w:pPr>
        <w:pStyle w:val="Normal12Hanging"/>
      </w:pPr>
      <w:r w:rsidRPr="00462482">
        <w:t>45.</w:t>
      </w:r>
      <w:r w:rsidRPr="00462482">
        <w:tab/>
        <w:t>este îngrijorat de faptul că în Europa există un număr mare de copii dispăru</w:t>
      </w:r>
      <w:r w:rsidR="008E78D4">
        <w:t>ț</w:t>
      </w:r>
      <w:r w:rsidRPr="00462482">
        <w:t>i; încurajează statele membre să intensifice cooperarea transfrontalieră, schimbul de informa</w:t>
      </w:r>
      <w:r w:rsidR="008E78D4">
        <w:t>ț</w:t>
      </w:r>
      <w:r w:rsidRPr="00462482">
        <w:t xml:space="preserve">ii </w:t>
      </w:r>
      <w:r w:rsidR="008E78D4">
        <w:t>ș</w:t>
      </w:r>
      <w:r w:rsidRPr="00462482">
        <w:t>i coordonarea între autorită</w:t>
      </w:r>
      <w:r w:rsidR="008E78D4">
        <w:t>ț</w:t>
      </w:r>
      <w:r w:rsidRPr="00462482">
        <w:t xml:space="preserve">ile de aplicare a legii </w:t>
      </w:r>
      <w:r w:rsidR="008E78D4">
        <w:t>ș</w:t>
      </w:r>
      <w:r w:rsidRPr="00462482">
        <w:t>i autorită</w:t>
      </w:r>
      <w:r w:rsidR="008E78D4">
        <w:t>ț</w:t>
      </w:r>
      <w:r w:rsidRPr="00462482">
        <w:t>ile de protec</w:t>
      </w:r>
      <w:r w:rsidR="008E78D4">
        <w:t>ț</w:t>
      </w:r>
      <w:r w:rsidRPr="00462482">
        <w:t xml:space="preserve">ie a copiilor, pentru a identifica, găsi </w:t>
      </w:r>
      <w:r w:rsidR="008E78D4">
        <w:t>ș</w:t>
      </w:r>
      <w:r w:rsidRPr="00462482">
        <w:t>i proteja copiii dispăru</w:t>
      </w:r>
      <w:r w:rsidR="008E78D4">
        <w:t>ț</w:t>
      </w:r>
      <w:r w:rsidRPr="00462482">
        <w:t>i, asigurând totodată că interesul superior al copilului este întotdeauna considerat primordial; invită statele membre să îndeplinească fără întârziere obliga</w:t>
      </w:r>
      <w:r w:rsidR="008E78D4">
        <w:t>ț</w:t>
      </w:r>
      <w:r w:rsidRPr="00462482">
        <w:t>ia de a furniza o finan</w:t>
      </w:r>
      <w:r w:rsidR="008E78D4">
        <w:t>ț</w:t>
      </w:r>
      <w:r w:rsidRPr="00462482">
        <w:t xml:space="preserve">are adecvată pentru a garanta continuitatea </w:t>
      </w:r>
      <w:r w:rsidR="008E78D4">
        <w:t>ș</w:t>
      </w:r>
      <w:r w:rsidRPr="00462482">
        <w:t>i calitatea func</w:t>
      </w:r>
      <w:r w:rsidR="008E78D4">
        <w:t>ț</w:t>
      </w:r>
      <w:r w:rsidRPr="00462482">
        <w:t>ionării liniilor telefonice de urgen</w:t>
      </w:r>
      <w:r w:rsidR="008E78D4">
        <w:t>ț</w:t>
      </w:r>
      <w:r w:rsidRPr="00462482">
        <w:t>ă pentru copiii dispăru</w:t>
      </w:r>
      <w:r w:rsidR="008E78D4">
        <w:t>ț</w:t>
      </w:r>
      <w:r w:rsidRPr="00462482">
        <w:t>i din întreaga UE, astfel cum se prevede în Codul european al comunica</w:t>
      </w:r>
      <w:r w:rsidR="008E78D4">
        <w:t>ț</w:t>
      </w:r>
      <w:r w:rsidRPr="00462482">
        <w:t>iilor electronice, adoptat în 2018;</w:t>
      </w:r>
    </w:p>
    <w:p w:rsidR="007256B8" w:rsidRPr="00462482" w:rsidRDefault="007256B8" w:rsidP="007256B8">
      <w:pPr>
        <w:pStyle w:val="Normal12Hanging"/>
      </w:pPr>
      <w:r w:rsidRPr="00462482">
        <w:t>46.</w:t>
      </w:r>
      <w:r w:rsidRPr="00462482">
        <w:tab/>
        <w:t>reaminte</w:t>
      </w:r>
      <w:r w:rsidR="008E78D4">
        <w:t>ș</w:t>
      </w:r>
      <w:r w:rsidRPr="00462482">
        <w:t xml:space="preserve">te că este extrem de important să se asigure respectarea drepturilor tuturor fetelor </w:t>
      </w:r>
      <w:r w:rsidR="008E78D4">
        <w:t>ș</w:t>
      </w:r>
      <w:r w:rsidRPr="00462482">
        <w:t>i băie</w:t>
      </w:r>
      <w:r w:rsidR="008E78D4">
        <w:t>ț</w:t>
      </w:r>
      <w:r w:rsidRPr="00462482">
        <w:t>ilor care sunt victime ale traficului, indiferent de statutul acestora în materie de cetă</w:t>
      </w:r>
      <w:r w:rsidR="008E78D4">
        <w:t>ț</w:t>
      </w:r>
      <w:r w:rsidRPr="00462482">
        <w:t>enie; î</w:t>
      </w:r>
      <w:r w:rsidR="008E78D4">
        <w:t>ș</w:t>
      </w:r>
      <w:r w:rsidRPr="00462482">
        <w:t>i reiterează apelul adresat statelor membre de a pune în aplicare pe deplin Directiva UE privind combaterea traficului de persoane, cu un accent special pe măsurile preventive; subliniază că este important ca statele membre să î</w:t>
      </w:r>
      <w:r w:rsidR="008E78D4">
        <w:t>ș</w:t>
      </w:r>
      <w:r w:rsidRPr="00462482">
        <w:t>i intensifice ac</w:t>
      </w:r>
      <w:r w:rsidR="008E78D4">
        <w:t>ț</w:t>
      </w:r>
      <w:r w:rsidRPr="00462482">
        <w:t>iunile prin care se asigură că se asumă responsabilitatea fa</w:t>
      </w:r>
      <w:r w:rsidR="008E78D4">
        <w:t>ț</w:t>
      </w:r>
      <w:r w:rsidRPr="00462482">
        <w:t xml:space="preserve">ă de victimele traficului de persoane </w:t>
      </w:r>
      <w:r w:rsidR="008E78D4">
        <w:t>ș</w:t>
      </w:r>
      <w:r w:rsidRPr="00462482">
        <w:t>i pentru a eradica această infrac</w:t>
      </w:r>
      <w:r w:rsidR="008E78D4">
        <w:t>ț</w:t>
      </w:r>
      <w:r w:rsidRPr="00462482">
        <w:t xml:space="preserve">iune, precum </w:t>
      </w:r>
      <w:r w:rsidR="008E78D4">
        <w:t>ș</w:t>
      </w:r>
      <w:r w:rsidRPr="00462482">
        <w:t>i să combată impunitatea care încă predomină în rândul trafican</w:t>
      </w:r>
      <w:r w:rsidR="008E78D4">
        <w:t>ț</w:t>
      </w:r>
      <w:r w:rsidRPr="00462482">
        <w:t xml:space="preserve">ilor, al exploatatorilor, al celor care fac profit de pe urma victimelor </w:t>
      </w:r>
      <w:r w:rsidR="008E78D4">
        <w:t>ș</w:t>
      </w:r>
      <w:r w:rsidRPr="00462482">
        <w:t>i al celor care abuzează de acestea, inclusiv prin incriminarea recurgerii la serviciile pe care victimele traficului sunt constrânse să le furnizeze prin orice formă de exploatare;</w:t>
      </w:r>
    </w:p>
    <w:p w:rsidR="007256B8" w:rsidRPr="00462482" w:rsidRDefault="007256B8" w:rsidP="007256B8">
      <w:pPr>
        <w:pStyle w:val="Normal12Hanging"/>
        <w:rPr>
          <w:i/>
          <w:szCs w:val="23"/>
        </w:rPr>
      </w:pPr>
      <w:r w:rsidRPr="00462482">
        <w:rPr>
          <w:i/>
          <w:szCs w:val="23"/>
        </w:rPr>
        <w:t>Participarea copiilor</w:t>
      </w:r>
    </w:p>
    <w:p w:rsidR="007256B8" w:rsidRPr="00462482" w:rsidRDefault="007256B8" w:rsidP="007256B8">
      <w:pPr>
        <w:pStyle w:val="Normal12Hanging"/>
        <w:rPr>
          <w:szCs w:val="23"/>
        </w:rPr>
      </w:pPr>
      <w:r w:rsidRPr="00462482">
        <w:t>47.</w:t>
      </w:r>
      <w:r w:rsidRPr="00462482">
        <w:tab/>
        <w:t xml:space="preserve">invită Comisia </w:t>
      </w:r>
      <w:r w:rsidR="008E78D4">
        <w:t>ș</w:t>
      </w:r>
      <w:r w:rsidRPr="00462482">
        <w:t xml:space="preserve">i statele membre să dezvolte </w:t>
      </w:r>
      <w:r w:rsidR="008E78D4">
        <w:t>ș</w:t>
      </w:r>
      <w:r w:rsidRPr="00462482">
        <w:t>i să pună în aplicare Declara</w:t>
      </w:r>
      <w:r w:rsidR="008E78D4">
        <w:t>ț</w:t>
      </w:r>
      <w:r w:rsidRPr="00462482">
        <w:t>ia de la Bucure</w:t>
      </w:r>
      <w:r w:rsidR="008E78D4">
        <w:t>ș</w:t>
      </w:r>
      <w:r w:rsidRPr="00462482">
        <w:t>ti privind participarea copiilor</w:t>
      </w:r>
      <w:r w:rsidRPr="00462482">
        <w:rPr>
          <w:rStyle w:val="FootnoteReference"/>
          <w:color w:val="000000"/>
          <w:szCs w:val="23"/>
        </w:rPr>
        <w:footnoteReference w:id="18"/>
      </w:r>
      <w:r w:rsidRPr="00462482">
        <w:t>; reliefează că cultura participării copiilor poate fi construită la toate nivelurile – la nivelul familiei, al comunită</w:t>
      </w:r>
      <w:r w:rsidR="008E78D4">
        <w:t>ț</w:t>
      </w:r>
      <w:r w:rsidRPr="00462482">
        <w:t>ii, local, regional, na</w:t>
      </w:r>
      <w:r w:rsidR="008E78D4">
        <w:t>ț</w:t>
      </w:r>
      <w:r w:rsidRPr="00462482">
        <w:t xml:space="preserve">ional </w:t>
      </w:r>
      <w:r w:rsidR="008E78D4">
        <w:t>ș</w:t>
      </w:r>
      <w:r w:rsidRPr="00462482">
        <w:t xml:space="preserve">i european – </w:t>
      </w:r>
      <w:r w:rsidR="008E78D4">
        <w:t>ș</w:t>
      </w:r>
      <w:r w:rsidRPr="00462482">
        <w:t xml:space="preserve">i poate aduce beneficii pe termen scurt </w:t>
      </w:r>
      <w:r w:rsidR="008E78D4">
        <w:t>ș</w:t>
      </w:r>
      <w:r w:rsidRPr="00462482">
        <w:t>i pe termen lung pentru societate;</w:t>
      </w:r>
    </w:p>
    <w:p w:rsidR="007256B8" w:rsidRPr="00462482" w:rsidRDefault="007256B8" w:rsidP="007256B8">
      <w:pPr>
        <w:pStyle w:val="Normal12Hanging"/>
        <w:rPr>
          <w:szCs w:val="23"/>
        </w:rPr>
      </w:pPr>
      <w:r w:rsidRPr="00462482">
        <w:t>48.</w:t>
      </w:r>
      <w:r w:rsidRPr="00462482">
        <w:tab/>
        <w:t>invită statele membre să consolideze participarea copiilor la legisla</w:t>
      </w:r>
      <w:r w:rsidR="008E78D4">
        <w:t>ț</w:t>
      </w:r>
      <w:r w:rsidRPr="00462482">
        <w:t xml:space="preserve">iile lor </w:t>
      </w:r>
      <w:r w:rsidR="008E78D4">
        <w:t>ș</w:t>
      </w:r>
      <w:r w:rsidRPr="00462482">
        <w:t xml:space="preserve">i încurajează statele membre </w:t>
      </w:r>
      <w:r w:rsidR="008E78D4">
        <w:t>ș</w:t>
      </w:r>
      <w:r w:rsidRPr="00462482">
        <w:t>i Comisia să creeze mecanisme semnificative pentru participarea copiilor, cum ar fi consiliile copiilor de la lucrările adunărilor parlamentare europene, na</w:t>
      </w:r>
      <w:r w:rsidR="008E78D4">
        <w:t>ț</w:t>
      </w:r>
      <w:r w:rsidRPr="00462482">
        <w:t xml:space="preserve">ionale, regionale </w:t>
      </w:r>
      <w:r w:rsidR="008E78D4">
        <w:t>ș</w:t>
      </w:r>
      <w:r w:rsidRPr="00462482">
        <w:t>i locale, în special în principalele domenii de politică;</w:t>
      </w:r>
    </w:p>
    <w:p w:rsidR="007256B8" w:rsidRPr="00462482" w:rsidRDefault="007256B8" w:rsidP="007256B8">
      <w:pPr>
        <w:pStyle w:val="Normal12Hanging"/>
      </w:pPr>
      <w:r w:rsidRPr="00462482">
        <w:t>49.</w:t>
      </w:r>
      <w:r w:rsidRPr="00462482">
        <w:tab/>
        <w:t>invită Comisia să includă copiii în procesul de consultare, în vederea conferin</w:t>
      </w:r>
      <w:r w:rsidR="008E78D4">
        <w:t>ț</w:t>
      </w:r>
      <w:r w:rsidRPr="00462482">
        <w:t>ei privind viitorul Europei;</w:t>
      </w:r>
    </w:p>
    <w:p w:rsidR="007256B8" w:rsidRPr="00462482" w:rsidRDefault="007256B8" w:rsidP="007256B8">
      <w:pPr>
        <w:pStyle w:val="Normal12Hanging"/>
      </w:pPr>
      <w:r w:rsidRPr="00462482">
        <w:t>50.</w:t>
      </w:r>
      <w:r w:rsidRPr="00462482">
        <w:tab/>
        <w:t>reaminte</w:t>
      </w:r>
      <w:r w:rsidR="008E78D4">
        <w:t>ș</w:t>
      </w:r>
      <w:r w:rsidRPr="00462482">
        <w:t>te institu</w:t>
      </w:r>
      <w:r w:rsidR="008E78D4">
        <w:t>ț</w:t>
      </w:r>
      <w:r w:rsidRPr="00462482">
        <w:t xml:space="preserve">iilor UE </w:t>
      </w:r>
      <w:r w:rsidR="008E78D4">
        <w:t>ș</w:t>
      </w:r>
      <w:r w:rsidRPr="00462482">
        <w:t>i statelor membre de importan</w:t>
      </w:r>
      <w:r w:rsidR="008E78D4">
        <w:t>ț</w:t>
      </w:r>
      <w:r w:rsidRPr="00462482">
        <w:t>a ac</w:t>
      </w:r>
      <w:r w:rsidR="008E78D4">
        <w:t>ț</w:t>
      </w:r>
      <w:r w:rsidRPr="00462482">
        <w:t xml:space="preserve">iunilor de mobilizare împotriva schimbărilor climatice conduse de copii </w:t>
      </w:r>
      <w:r w:rsidR="008E78D4">
        <w:t>ș</w:t>
      </w:r>
      <w:r w:rsidRPr="00462482">
        <w:t>i tineri, care joacă un rol esen</w:t>
      </w:r>
      <w:r w:rsidR="008E78D4">
        <w:t>ț</w:t>
      </w:r>
      <w:r w:rsidRPr="00462482">
        <w:t>ial în influen</w:t>
      </w:r>
      <w:r w:rsidR="008E78D4">
        <w:t>ț</w:t>
      </w:r>
      <w:r w:rsidRPr="00462482">
        <w:t xml:space="preserve">area agendei politice europene </w:t>
      </w:r>
      <w:r w:rsidR="008E78D4">
        <w:t>ș</w:t>
      </w:r>
      <w:r w:rsidRPr="00462482">
        <w:t>i sunt un exemplu excelent al modului în care copiii devin din ce în ce mai implica</w:t>
      </w:r>
      <w:r w:rsidR="008E78D4">
        <w:t>ț</w:t>
      </w:r>
      <w:r w:rsidRPr="00462482">
        <w:t xml:space="preserve">i în politicile publice </w:t>
      </w:r>
      <w:r w:rsidR="008E78D4">
        <w:t>ș</w:t>
      </w:r>
      <w:r w:rsidRPr="00462482">
        <w:t>i sunt din ce în ce mai în măsură să î</w:t>
      </w:r>
      <w:r w:rsidR="008E78D4">
        <w:t>ș</w:t>
      </w:r>
      <w:r w:rsidRPr="00462482">
        <w:t>i exprime voin</w:t>
      </w:r>
      <w:r w:rsidR="008E78D4">
        <w:t>ț</w:t>
      </w:r>
      <w:r w:rsidRPr="00462482">
        <w:t>a de a avea un cuvânt de spus, în calitate de cetă</w:t>
      </w:r>
      <w:r w:rsidR="008E78D4">
        <w:t>ț</w:t>
      </w:r>
      <w:r w:rsidRPr="00462482">
        <w:t>eni interesa</w:t>
      </w:r>
      <w:r w:rsidR="008E78D4">
        <w:t>ț</w:t>
      </w:r>
      <w:r w:rsidRPr="00462482">
        <w:t>i care aduc schimbarea;</w:t>
      </w:r>
    </w:p>
    <w:p w:rsidR="007256B8" w:rsidRPr="00462482" w:rsidRDefault="007256B8" w:rsidP="007256B8">
      <w:pPr>
        <w:pStyle w:val="Normal12Hanging"/>
        <w:rPr>
          <w:b/>
          <w:i/>
        </w:rPr>
      </w:pPr>
      <w:r w:rsidRPr="00462482">
        <w:rPr>
          <w:b/>
          <w:i/>
        </w:rPr>
        <w:t>Politicile externe</w:t>
      </w:r>
    </w:p>
    <w:p w:rsidR="007256B8" w:rsidRPr="00462482" w:rsidRDefault="007256B8" w:rsidP="007256B8">
      <w:pPr>
        <w:pStyle w:val="Normal12Hanging"/>
      </w:pPr>
      <w:r w:rsidRPr="00462482">
        <w:t>51.</w:t>
      </w:r>
      <w:r w:rsidRPr="00462482">
        <w:tab/>
        <w:t xml:space="preserve">invită </w:t>
      </w:r>
      <w:r w:rsidR="008E78D4">
        <w:t>ț</w:t>
      </w:r>
      <w:r w:rsidRPr="00462482">
        <w:t xml:space="preserve">ările care nu au ratificat încă CDC </w:t>
      </w:r>
      <w:r w:rsidR="008E78D4">
        <w:t>ș</w:t>
      </w:r>
      <w:r w:rsidRPr="00462482">
        <w:t>i protocoalele adi</w:t>
      </w:r>
      <w:r w:rsidR="008E78D4">
        <w:t>ț</w:t>
      </w:r>
      <w:r w:rsidRPr="00462482">
        <w:t>ionale la aceasta să facă acest lucru de urgen</w:t>
      </w:r>
      <w:r w:rsidR="008E78D4">
        <w:t>ț</w:t>
      </w:r>
      <w:r w:rsidRPr="00462482">
        <w:t>ă;</w:t>
      </w:r>
    </w:p>
    <w:p w:rsidR="007256B8" w:rsidRPr="00462482" w:rsidRDefault="007256B8" w:rsidP="007256B8">
      <w:pPr>
        <w:pStyle w:val="Normal12Hanging"/>
      </w:pPr>
      <w:r w:rsidRPr="00462482">
        <w:t>52.</w:t>
      </w:r>
      <w:r w:rsidRPr="00462482">
        <w:tab/>
        <w:t>invită statele membre să î</w:t>
      </w:r>
      <w:r w:rsidR="008E78D4">
        <w:t>ș</w:t>
      </w:r>
      <w:r w:rsidRPr="00462482">
        <w:t xml:space="preserve">i intensifice cooperarea </w:t>
      </w:r>
      <w:r w:rsidR="008E78D4">
        <w:t>ș</w:t>
      </w:r>
      <w:r w:rsidRPr="00462482">
        <w:t xml:space="preserve">i dialogul cu </w:t>
      </w:r>
      <w:r w:rsidR="008E78D4">
        <w:t>ț</w:t>
      </w:r>
      <w:r w:rsidRPr="00462482">
        <w:t>ările ter</w:t>
      </w:r>
      <w:r w:rsidR="008E78D4">
        <w:t>ț</w:t>
      </w:r>
      <w:r w:rsidRPr="00462482">
        <w:t>e, cu scopul de a cre</w:t>
      </w:r>
      <w:r w:rsidR="008E78D4">
        <w:t>ș</w:t>
      </w:r>
      <w:r w:rsidRPr="00462482">
        <w:t>te gradul de con</w:t>
      </w:r>
      <w:r w:rsidR="008E78D4">
        <w:t>ș</w:t>
      </w:r>
      <w:r w:rsidRPr="00462482">
        <w:t xml:space="preserve">tientizare </w:t>
      </w:r>
      <w:r w:rsidR="008E78D4">
        <w:t>ș</w:t>
      </w:r>
      <w:r w:rsidRPr="00462482">
        <w:t xml:space="preserve">i de a pleda pentru respectarea drepturilor copilului peste tot în lume </w:t>
      </w:r>
      <w:r w:rsidR="008E78D4">
        <w:t>ș</w:t>
      </w:r>
      <w:r w:rsidRPr="00462482">
        <w:t xml:space="preserve">i pentru ca niciun copil să nu fie lăsat în urmă; îndeamnă UE </w:t>
      </w:r>
      <w:r w:rsidR="008E78D4">
        <w:t>ș</w:t>
      </w:r>
      <w:r w:rsidRPr="00462482">
        <w:t xml:space="preserve">i statele membre să conlucreze cu </w:t>
      </w:r>
      <w:r w:rsidR="008E78D4">
        <w:t>ț</w:t>
      </w:r>
      <w:r w:rsidRPr="00462482">
        <w:t xml:space="preserve">ările partenere </w:t>
      </w:r>
      <w:r w:rsidR="008E78D4">
        <w:t>ș</w:t>
      </w:r>
      <w:r w:rsidRPr="00462482">
        <w:t xml:space="preserve">i să sprijine adoptarea </w:t>
      </w:r>
      <w:r w:rsidR="008E78D4">
        <w:t>ș</w:t>
      </w:r>
      <w:r w:rsidRPr="00462482">
        <w:t>i punerea în aplicare a unei legisla</w:t>
      </w:r>
      <w:r w:rsidR="008E78D4">
        <w:t>ț</w:t>
      </w:r>
      <w:r w:rsidRPr="00462482">
        <w:t xml:space="preserve">ii, a unor politici, bugete </w:t>
      </w:r>
      <w:r w:rsidR="008E78D4">
        <w:t>ș</w:t>
      </w:r>
      <w:r w:rsidRPr="00462482">
        <w:t>i programe de ac</w:t>
      </w:r>
      <w:r w:rsidR="008E78D4">
        <w:t>ț</w:t>
      </w:r>
      <w:r w:rsidRPr="00462482">
        <w:t>iune care să includă to</w:t>
      </w:r>
      <w:r w:rsidR="008E78D4">
        <w:t>ț</w:t>
      </w:r>
      <w:r w:rsidRPr="00462482">
        <w:t xml:space="preserve">i copiii </w:t>
      </w:r>
      <w:r w:rsidR="008E78D4">
        <w:t>ș</w:t>
      </w:r>
      <w:r w:rsidRPr="00462482">
        <w:t xml:space="preserve">i să prevadă identificarea tuturor formelor de discriminare </w:t>
      </w:r>
      <w:r w:rsidR="008E78D4">
        <w:t>ș</w:t>
      </w:r>
      <w:r w:rsidRPr="00462482">
        <w:t>i de violen</w:t>
      </w:r>
      <w:r w:rsidR="008E78D4">
        <w:t>ț</w:t>
      </w:r>
      <w:r w:rsidRPr="00462482">
        <w:t xml:space="preserve">ă – inclusiv a celor bazate pe vârstă, gen </w:t>
      </w:r>
      <w:r w:rsidR="008E78D4">
        <w:t>ș</w:t>
      </w:r>
      <w:r w:rsidRPr="00462482">
        <w:t>i dizabilită</w:t>
      </w:r>
      <w:r w:rsidR="008E78D4">
        <w:t>ț</w:t>
      </w:r>
      <w:r w:rsidRPr="00462482">
        <w:t xml:space="preserve">i – care împiedică copiii </w:t>
      </w:r>
      <w:r w:rsidR="008E78D4">
        <w:t>ș</w:t>
      </w:r>
      <w:r w:rsidRPr="00462482">
        <w:t>i grupurile de copii să î</w:t>
      </w:r>
      <w:r w:rsidR="008E78D4">
        <w:t>ș</w:t>
      </w:r>
      <w:r w:rsidRPr="00462482">
        <w:t>i exercite drepturile, să întreprindă sau să promoveze ac</w:t>
      </w:r>
      <w:r w:rsidR="008E78D4">
        <w:t>ț</w:t>
      </w:r>
      <w:r w:rsidRPr="00462482">
        <w:t xml:space="preserve">iunile necesare pentru înlăturarea acestor obstacole </w:t>
      </w:r>
      <w:r w:rsidR="008E78D4">
        <w:t>ș</w:t>
      </w:r>
      <w:r w:rsidRPr="00462482">
        <w:t>i să se asigure că se ia în considerare în primul rând interesul superior al tuturor copiilor;</w:t>
      </w:r>
    </w:p>
    <w:p w:rsidR="007256B8" w:rsidRPr="00462482" w:rsidRDefault="007256B8" w:rsidP="007256B8">
      <w:pPr>
        <w:pStyle w:val="Normal12Hanging"/>
      </w:pPr>
      <w:r w:rsidRPr="00462482">
        <w:t>53.</w:t>
      </w:r>
      <w:r w:rsidRPr="00462482">
        <w:tab/>
        <w:t xml:space="preserve">invită VP/ÎR să acorde prioritate drepturilor copiilor </w:t>
      </w:r>
      <w:r w:rsidR="008E78D4">
        <w:t>ș</w:t>
      </w:r>
      <w:r w:rsidRPr="00462482">
        <w:t>i protec</w:t>
      </w:r>
      <w:r w:rsidR="008E78D4">
        <w:t>ț</w:t>
      </w:r>
      <w:r w:rsidRPr="00462482">
        <w:t>iei copilului în toate ac</w:t>
      </w:r>
      <w:r w:rsidR="008E78D4">
        <w:t>ț</w:t>
      </w:r>
      <w:r w:rsidRPr="00462482">
        <w:t xml:space="preserve">iunile externe ale UE, astfel încât să se asigure integrarea efectivă a drepturilor copiilor </w:t>
      </w:r>
      <w:r w:rsidR="008E78D4">
        <w:t>ș</w:t>
      </w:r>
      <w:r w:rsidRPr="00462482">
        <w:t>i a protec</w:t>
      </w:r>
      <w:r w:rsidR="008E78D4">
        <w:t>ț</w:t>
      </w:r>
      <w:r w:rsidRPr="00462482">
        <w:t>iei copilului, inclusiv în contextul dialogurilor privind drepturile omului, în acordurile interna</w:t>
      </w:r>
      <w:r w:rsidR="008E78D4">
        <w:t>ț</w:t>
      </w:r>
      <w:r w:rsidRPr="00462482">
        <w:t xml:space="preserve">ionale </w:t>
      </w:r>
      <w:r w:rsidR="008E78D4">
        <w:t>ș</w:t>
      </w:r>
      <w:r w:rsidRPr="00462482">
        <w:t xml:space="preserve">i comerciale, în procesul de aderare </w:t>
      </w:r>
      <w:r w:rsidR="008E78D4">
        <w:t>ș</w:t>
      </w:r>
      <w:r w:rsidRPr="00462482">
        <w:t xml:space="preserve">i în politica europeană de vecinătate, precum </w:t>
      </w:r>
      <w:r w:rsidR="008E78D4">
        <w:t>ș</w:t>
      </w:r>
      <w:r w:rsidRPr="00462482">
        <w:t>i în toate rela</w:t>
      </w:r>
      <w:r w:rsidR="008E78D4">
        <w:t>ț</w:t>
      </w:r>
      <w:r w:rsidRPr="00462482">
        <w:t xml:space="preserve">iile externe ale UE cu </w:t>
      </w:r>
      <w:r w:rsidR="008E78D4">
        <w:t>ț</w:t>
      </w:r>
      <w:r w:rsidRPr="00462482">
        <w:t>ări ter</w:t>
      </w:r>
      <w:r w:rsidR="008E78D4">
        <w:t>ț</w:t>
      </w:r>
      <w:r w:rsidRPr="00462482">
        <w:t xml:space="preserve">e, în special cu </w:t>
      </w:r>
      <w:r w:rsidR="008E78D4">
        <w:t>ț</w:t>
      </w:r>
      <w:r w:rsidRPr="00462482">
        <w:t>ările aflate în conflict; invită VP/ÎR să prezinte anual Parlamentului un raport privind rezultatele ob</w:t>
      </w:r>
      <w:r w:rsidR="008E78D4">
        <w:t>ț</w:t>
      </w:r>
      <w:r w:rsidRPr="00462482">
        <w:t>inute în ac</w:t>
      </w:r>
      <w:r w:rsidR="008E78D4">
        <w:t>ț</w:t>
      </w:r>
      <w:r w:rsidRPr="00462482">
        <w:t>iunile externe ale UE care vizează copiii;</w:t>
      </w:r>
    </w:p>
    <w:p w:rsidR="007256B8" w:rsidRPr="00462482" w:rsidRDefault="007256B8" w:rsidP="007256B8">
      <w:pPr>
        <w:pStyle w:val="Normal12Hanging"/>
      </w:pPr>
      <w:r w:rsidRPr="00462482">
        <w:t>54.</w:t>
      </w:r>
      <w:r w:rsidRPr="00462482">
        <w:tab/>
        <w:t>invită Comisia să î</w:t>
      </w:r>
      <w:r w:rsidR="008E78D4">
        <w:t>ș</w:t>
      </w:r>
      <w:r w:rsidRPr="00462482">
        <w:t>i intensifice ac</w:t>
      </w:r>
      <w:r w:rsidR="008E78D4">
        <w:t>ț</w:t>
      </w:r>
      <w:r w:rsidRPr="00462482">
        <w:t xml:space="preserve">iunile de integrare a drepturilor </w:t>
      </w:r>
      <w:r w:rsidR="008E78D4">
        <w:t>ș</w:t>
      </w:r>
      <w:r w:rsidRPr="00462482">
        <w:t>i a protec</w:t>
      </w:r>
      <w:r w:rsidR="008E78D4">
        <w:t>ț</w:t>
      </w:r>
      <w:r w:rsidRPr="00462482">
        <w:t xml:space="preserve">iei copilului în cooperarea pentru dezvoltare </w:t>
      </w:r>
      <w:r w:rsidR="008E78D4">
        <w:t>ș</w:t>
      </w:r>
      <w:r w:rsidRPr="00462482">
        <w:t>i în ajutorul umanitar, pentru a asigura o finan</w:t>
      </w:r>
      <w:r w:rsidR="008E78D4">
        <w:t>ț</w:t>
      </w:r>
      <w:r w:rsidRPr="00462482">
        <w:t xml:space="preserve">are adecvată </w:t>
      </w:r>
      <w:r w:rsidR="008E78D4">
        <w:t>ș</w:t>
      </w:r>
      <w:r w:rsidRPr="00462482">
        <w:t>i a cre</w:t>
      </w:r>
      <w:r w:rsidR="008E78D4">
        <w:t>ș</w:t>
      </w:r>
      <w:r w:rsidRPr="00462482">
        <w:t>te nivelul de protec</w:t>
      </w:r>
      <w:r w:rsidR="008E78D4">
        <w:t>ț</w:t>
      </w:r>
      <w:r w:rsidRPr="00462482">
        <w:t>ie a copiilor afecta</w:t>
      </w:r>
      <w:r w:rsidR="008E78D4">
        <w:t>ț</w:t>
      </w:r>
      <w:r w:rsidRPr="00462482">
        <w:t>i de conflicte, situa</w:t>
      </w:r>
      <w:r w:rsidR="008E78D4">
        <w:t>ț</w:t>
      </w:r>
      <w:r w:rsidRPr="00462482">
        <w:t>ii de urgen</w:t>
      </w:r>
      <w:r w:rsidR="008E78D4">
        <w:t>ț</w:t>
      </w:r>
      <w:r w:rsidRPr="00462482">
        <w:t>ă sau dezastre naturale ori provocate de om, a copiilor strămuta</w:t>
      </w:r>
      <w:r w:rsidR="008E78D4">
        <w:t>ț</w:t>
      </w:r>
      <w:r w:rsidRPr="00462482">
        <w:t xml:space="preserve">i în interiorul </w:t>
      </w:r>
      <w:r w:rsidR="008E78D4">
        <w:t>ț</w:t>
      </w:r>
      <w:r w:rsidRPr="00462482">
        <w:t xml:space="preserve">ării </w:t>
      </w:r>
      <w:r w:rsidR="008E78D4">
        <w:t>ș</w:t>
      </w:r>
      <w:r w:rsidRPr="00462482">
        <w:t>i a copiilor migran</w:t>
      </w:r>
      <w:r w:rsidR="008E78D4">
        <w:t>ț</w:t>
      </w:r>
      <w:r w:rsidRPr="00462482">
        <w:t xml:space="preserve">i </w:t>
      </w:r>
      <w:r w:rsidR="008E78D4">
        <w:t>ș</w:t>
      </w:r>
      <w:r w:rsidRPr="00462482">
        <w:t>i refugia</w:t>
      </w:r>
      <w:r w:rsidR="008E78D4">
        <w:t>ț</w:t>
      </w:r>
      <w:r w:rsidRPr="00462482">
        <w:t xml:space="preserve">i, precum </w:t>
      </w:r>
      <w:r w:rsidR="008E78D4">
        <w:t>ș</w:t>
      </w:r>
      <w:r w:rsidRPr="00462482">
        <w:t>i pentru a se asigura că li se respectă drepturile fundamentale;</w:t>
      </w:r>
    </w:p>
    <w:p w:rsidR="007256B8" w:rsidRPr="00462482" w:rsidRDefault="007256B8" w:rsidP="007256B8">
      <w:pPr>
        <w:pStyle w:val="Normal12Hanging"/>
      </w:pPr>
      <w:r w:rsidRPr="00462482">
        <w:t>55.</w:t>
      </w:r>
      <w:r w:rsidRPr="00462482">
        <w:tab/>
        <w:t xml:space="preserve">invită Comisia </w:t>
      </w:r>
      <w:r w:rsidR="008E78D4">
        <w:t>ș</w:t>
      </w:r>
      <w:r w:rsidRPr="00462482">
        <w:t>i statele membre să adopte solu</w:t>
      </w:r>
      <w:r w:rsidR="008E78D4">
        <w:t>ț</w:t>
      </w:r>
      <w:r w:rsidRPr="00462482">
        <w:t>ii sistemice pentru combaterea sărăciei intergenera</w:t>
      </w:r>
      <w:r w:rsidR="008E78D4">
        <w:t>ț</w:t>
      </w:r>
      <w:r w:rsidRPr="00462482">
        <w:t>ionale; eviden</w:t>
      </w:r>
      <w:r w:rsidR="008E78D4">
        <w:t>ț</w:t>
      </w:r>
      <w:r w:rsidRPr="00462482">
        <w:t xml:space="preserve">iază că este extrem de important ca noul cadru financiar multianual 2021-2027 să reflecte nevoia urgentă de a combate sărăcia în rândul copiilor atât în UE, cât </w:t>
      </w:r>
      <w:r w:rsidR="008E78D4">
        <w:t>ș</w:t>
      </w:r>
      <w:r w:rsidRPr="00462482">
        <w:t>i în afara ei, prin ac</w:t>
      </w:r>
      <w:r w:rsidR="008E78D4">
        <w:t>ț</w:t>
      </w:r>
      <w:r w:rsidRPr="00462482">
        <w:t>iunile sale externe; subliniază importan</w:t>
      </w:r>
      <w:r w:rsidR="008E78D4">
        <w:t>ț</w:t>
      </w:r>
      <w:r w:rsidRPr="00462482">
        <w:t>a asisten</w:t>
      </w:r>
      <w:r w:rsidR="008E78D4">
        <w:t>ț</w:t>
      </w:r>
      <w:r w:rsidRPr="00462482">
        <w:t>ei oficiale pentru dezvoltare (AOD) ca instrument esen</w:t>
      </w:r>
      <w:r w:rsidR="008E78D4">
        <w:t>ț</w:t>
      </w:r>
      <w:r w:rsidRPr="00462482">
        <w:t xml:space="preserve">ial pentru eradicarea sărăciei </w:t>
      </w:r>
      <w:r w:rsidR="008E78D4">
        <w:t>ș</w:t>
      </w:r>
      <w:r w:rsidRPr="00462482">
        <w:t>i reaminte</w:t>
      </w:r>
      <w:r w:rsidR="008E78D4">
        <w:t>ș</w:t>
      </w:r>
      <w:r w:rsidRPr="00462482">
        <w:t xml:space="preserve">te angajamentele privind AOD ale UE </w:t>
      </w:r>
      <w:r w:rsidR="008E78D4">
        <w:t>ș</w:t>
      </w:r>
      <w:r w:rsidRPr="00462482">
        <w:t>i ale statelor sale membre, inclusiv angajamentul de a cheltui 0,7 % din venitul na</w:t>
      </w:r>
      <w:r w:rsidR="008E78D4">
        <w:t>ț</w:t>
      </w:r>
      <w:r w:rsidRPr="00462482">
        <w:t>ional brut (VNB) pentru AOD;</w:t>
      </w:r>
    </w:p>
    <w:p w:rsidR="007256B8" w:rsidRPr="00462482" w:rsidRDefault="007256B8" w:rsidP="007256B8">
      <w:pPr>
        <w:pStyle w:val="Normal12Hanging"/>
      </w:pPr>
      <w:r w:rsidRPr="00462482">
        <w:t>56.</w:t>
      </w:r>
      <w:r w:rsidRPr="00462482">
        <w:tab/>
        <w:t xml:space="preserve">invită Comisia </w:t>
      </w:r>
      <w:r w:rsidR="008E78D4">
        <w:t>ș</w:t>
      </w:r>
      <w:r w:rsidRPr="00462482">
        <w:t>i statele membre să finan</w:t>
      </w:r>
      <w:r w:rsidR="008E78D4">
        <w:t>ț</w:t>
      </w:r>
      <w:r w:rsidRPr="00462482">
        <w:t xml:space="preserve">eze serviciile de bază </w:t>
      </w:r>
      <w:r w:rsidR="008E78D4">
        <w:t>ș</w:t>
      </w:r>
      <w:r w:rsidRPr="00462482">
        <w:t>i educa</w:t>
      </w:r>
      <w:r w:rsidR="008E78D4">
        <w:t>ț</w:t>
      </w:r>
      <w:r w:rsidRPr="00462482">
        <w:t xml:space="preserve">ia </w:t>
      </w:r>
      <w:r w:rsidR="008E78D4">
        <w:t>ș</w:t>
      </w:r>
      <w:r w:rsidRPr="00462482">
        <w:t>i să garanteze accesul egal la acestea acolo unde sunt situa</w:t>
      </w:r>
      <w:r w:rsidR="008E78D4">
        <w:t>ț</w:t>
      </w:r>
      <w:r w:rsidRPr="00462482">
        <w:t>ii de urgen</w:t>
      </w:r>
      <w:r w:rsidR="008E78D4">
        <w:t>ț</w:t>
      </w:r>
      <w:r w:rsidRPr="00462482">
        <w:t xml:space="preserve">ă, cum ar fi conflictele </w:t>
      </w:r>
      <w:r w:rsidR="008E78D4">
        <w:t>ș</w:t>
      </w:r>
      <w:r w:rsidRPr="00462482">
        <w:t>i dezastrele naturale; eviden</w:t>
      </w:r>
      <w:r w:rsidR="008E78D4">
        <w:t>ț</w:t>
      </w:r>
      <w:r w:rsidRPr="00462482">
        <w:t>iază că accesul la educa</w:t>
      </w:r>
      <w:r w:rsidR="008E78D4">
        <w:t>ț</w:t>
      </w:r>
      <w:r w:rsidRPr="00462482">
        <w:t>ie îi poate feri pe copii de pericolele fizice din jur,</w:t>
      </w:r>
      <w:r w:rsidR="003D06D6">
        <w:t xml:space="preserve"> </w:t>
      </w:r>
      <w:r w:rsidRPr="00462482">
        <w:t>inclusiv de abuzuri, exploatare, violen</w:t>
      </w:r>
      <w:r w:rsidR="008E78D4">
        <w:t>ț</w:t>
      </w:r>
      <w:r w:rsidRPr="00462482">
        <w:t xml:space="preserve">e sexuale legate de conflicte, recrutarea </w:t>
      </w:r>
      <w:r w:rsidR="008E78D4">
        <w:t>ș</w:t>
      </w:r>
      <w:r w:rsidRPr="00462482">
        <w:t>i exploatarea de către for</w:t>
      </w:r>
      <w:r w:rsidR="008E78D4">
        <w:t>ț</w:t>
      </w:r>
      <w:r w:rsidRPr="00462482">
        <w:t xml:space="preserve">ele armate </w:t>
      </w:r>
      <w:r w:rsidR="008E78D4">
        <w:t>ș</w:t>
      </w:r>
      <w:r w:rsidRPr="00462482">
        <w:t>i grupurile armate; eviden</w:t>
      </w:r>
      <w:r w:rsidR="008E78D4">
        <w:t>ț</w:t>
      </w:r>
      <w:r w:rsidRPr="00462482">
        <w:t>iază, de asemenea, că educa</w:t>
      </w:r>
      <w:r w:rsidR="008E78D4">
        <w:t>ț</w:t>
      </w:r>
      <w:r w:rsidRPr="00462482">
        <w:t>ia aduce avantaje comunită</w:t>
      </w:r>
      <w:r w:rsidR="008E78D4">
        <w:t>ț</w:t>
      </w:r>
      <w:r w:rsidRPr="00462482">
        <w:t>ilor în întregimea lor, stimulează cre</w:t>
      </w:r>
      <w:r w:rsidR="008E78D4">
        <w:t>ș</w:t>
      </w:r>
      <w:r w:rsidRPr="00462482">
        <w:t xml:space="preserve">terea economică, reduce sărăcia </w:t>
      </w:r>
      <w:r w:rsidR="008E78D4">
        <w:t>ș</w:t>
      </w:r>
      <w:r w:rsidRPr="00462482">
        <w:t xml:space="preserve">i inegalitatea </w:t>
      </w:r>
      <w:r w:rsidR="008E78D4">
        <w:t>ș</w:t>
      </w:r>
      <w:r w:rsidRPr="00462482">
        <w:t>i cre</w:t>
      </w:r>
      <w:r w:rsidR="008E78D4">
        <w:t>ș</w:t>
      </w:r>
      <w:r w:rsidRPr="00462482">
        <w:t>te capacitatea persoanelor de a duce o via</w:t>
      </w:r>
      <w:r w:rsidR="008E78D4">
        <w:t>ț</w:t>
      </w:r>
      <w:r w:rsidRPr="00462482">
        <w:t>ă sănătoasă, de a participa la via</w:t>
      </w:r>
      <w:r w:rsidR="008E78D4">
        <w:t>ț</w:t>
      </w:r>
      <w:r w:rsidRPr="00462482">
        <w:t xml:space="preserve">a socială </w:t>
      </w:r>
      <w:r w:rsidR="008E78D4">
        <w:t>ș</w:t>
      </w:r>
      <w:r w:rsidRPr="00462482">
        <w:t xml:space="preserve">i de a restabili pacea </w:t>
      </w:r>
      <w:r w:rsidR="008E78D4">
        <w:t>ș</w:t>
      </w:r>
      <w:r w:rsidRPr="00462482">
        <w:t>i stabilitatea;</w:t>
      </w:r>
    </w:p>
    <w:p w:rsidR="007256B8" w:rsidRPr="00462482" w:rsidRDefault="007256B8" w:rsidP="007256B8">
      <w:pPr>
        <w:pStyle w:val="Normal12Hanging"/>
      </w:pPr>
      <w:r w:rsidRPr="00462482">
        <w:t>57.</w:t>
      </w:r>
      <w:r w:rsidRPr="00462482">
        <w:tab/>
        <w:t>îndeamnă Comisia să dea curs Rezolu</w:t>
      </w:r>
      <w:r w:rsidR="008E78D4">
        <w:t>ț</w:t>
      </w:r>
      <w:r w:rsidRPr="00462482">
        <w:t xml:space="preserve">iei sale din 4 octombrie 2017 referitoare la eradicarea practicii de căsătorie a copiilor, invită UE </w:t>
      </w:r>
      <w:r w:rsidR="008E78D4">
        <w:t>ș</w:t>
      </w:r>
      <w:r w:rsidRPr="00462482">
        <w:t>i statele sale membre să aplice standarde juridice unitare în ceea ce prive</w:t>
      </w:r>
      <w:r w:rsidR="008E78D4">
        <w:t>ș</w:t>
      </w:r>
      <w:r w:rsidRPr="00462482">
        <w:t xml:space="preserve">te procedura de tratare a căsătoriilor copiilor, să coopereze cu </w:t>
      </w:r>
      <w:r w:rsidR="008E78D4">
        <w:t>ț</w:t>
      </w:r>
      <w:r w:rsidRPr="00462482">
        <w:t>ările ter</w:t>
      </w:r>
      <w:r w:rsidR="008E78D4">
        <w:t>ț</w:t>
      </w:r>
      <w:r w:rsidRPr="00462482">
        <w:t xml:space="preserve">e </w:t>
      </w:r>
      <w:r w:rsidR="008E78D4">
        <w:t>ș</w:t>
      </w:r>
      <w:r w:rsidRPr="00462482">
        <w:t xml:space="preserve">i să ofere formare </w:t>
      </w:r>
      <w:r w:rsidR="008E78D4">
        <w:t>ș</w:t>
      </w:r>
      <w:r w:rsidRPr="00462482">
        <w:t>i asisten</w:t>
      </w:r>
      <w:r w:rsidR="008E78D4">
        <w:t>ț</w:t>
      </w:r>
      <w:r w:rsidRPr="00462482">
        <w:t xml:space="preserve">ă tehnică prin care să contribuie la adoptarea </w:t>
      </w:r>
      <w:r w:rsidR="008E78D4">
        <w:t>ș</w:t>
      </w:r>
      <w:r w:rsidRPr="00462482">
        <w:t xml:space="preserve">i punerea în aplicare a unor legi care interzic căsătoriile timpurii </w:t>
      </w:r>
      <w:r w:rsidR="008E78D4">
        <w:t>ș</w:t>
      </w:r>
      <w:r w:rsidRPr="00462482">
        <w:t>i for</w:t>
      </w:r>
      <w:r w:rsidR="008E78D4">
        <w:t>ț</w:t>
      </w:r>
      <w:r w:rsidRPr="00462482">
        <w:t xml:space="preserve">ate </w:t>
      </w:r>
      <w:r w:rsidR="008E78D4">
        <w:t>ș</w:t>
      </w:r>
      <w:r w:rsidRPr="00462482">
        <w:t xml:space="preserve">i prevăd o vârstă minimă pentru căsătorie; solicită statelor membre să adopte măsuri pentru a încuraja schimbul de bune practici privind vârsta minimă pentru căsătorie </w:t>
      </w:r>
      <w:r w:rsidR="008E78D4">
        <w:t>ș</w:t>
      </w:r>
      <w:r w:rsidRPr="00462482">
        <w:t>i nerecunoa</w:t>
      </w:r>
      <w:r w:rsidR="008E78D4">
        <w:t>ș</w:t>
      </w:r>
      <w:r w:rsidRPr="00462482">
        <w:t>terea căsătoriilor dintre copiii migran</w:t>
      </w:r>
      <w:r w:rsidR="008E78D4">
        <w:t>ț</w:t>
      </w:r>
      <w:r w:rsidRPr="00462482">
        <w:t xml:space="preserve">i care sosesc în Europa </w:t>
      </w:r>
      <w:r w:rsidR="008E78D4">
        <w:t>ș</w:t>
      </w:r>
      <w:r w:rsidRPr="00462482">
        <w:t>i să adopte măsuri na</w:t>
      </w:r>
      <w:r w:rsidR="008E78D4">
        <w:t>ț</w:t>
      </w:r>
      <w:r w:rsidRPr="00462482">
        <w:t xml:space="preserve">ionale prin care să prevină călătoriile copiilor în afara UE în scopul căsătoriei; invită Comisia să dedice un An european combaterii căsătoriilor între copii, a căsătoriilor timpurii </w:t>
      </w:r>
      <w:r w:rsidR="008E78D4">
        <w:t>ș</w:t>
      </w:r>
      <w:r w:rsidRPr="00462482">
        <w:t>i a căsătoriilor for</w:t>
      </w:r>
      <w:r w:rsidR="008E78D4">
        <w:t>ț</w:t>
      </w:r>
      <w:r w:rsidRPr="00462482">
        <w:t>ate;</w:t>
      </w:r>
    </w:p>
    <w:p w:rsidR="007256B8" w:rsidRPr="00462482" w:rsidRDefault="007256B8" w:rsidP="007256B8">
      <w:pPr>
        <w:pStyle w:val="Normal12Hanging"/>
      </w:pPr>
      <w:r w:rsidRPr="00462482">
        <w:t>58.</w:t>
      </w:r>
      <w:r w:rsidRPr="00462482">
        <w:tab/>
        <w:t xml:space="preserve">invită Comisia </w:t>
      </w:r>
      <w:r w:rsidR="008E78D4">
        <w:t>ș</w:t>
      </w:r>
      <w:r w:rsidRPr="00462482">
        <w:t>i statele membre să asigure punerea în aplicare a unor standarde obligatorii privind obliga</w:t>
      </w:r>
      <w:r w:rsidR="008E78D4">
        <w:t>ț</w:t>
      </w:r>
      <w:r w:rsidRPr="00462482">
        <w:t>ia de diligen</w:t>
      </w:r>
      <w:r w:rsidR="008E78D4">
        <w:t>ț</w:t>
      </w:r>
      <w:r w:rsidRPr="00462482">
        <w:t xml:space="preserve">ă în domeniile drepturilor omului </w:t>
      </w:r>
      <w:r w:rsidR="008E78D4">
        <w:t>ș</w:t>
      </w:r>
      <w:r w:rsidRPr="00462482">
        <w:t xml:space="preserve">i mediului în negocierile </w:t>
      </w:r>
      <w:r w:rsidR="008E78D4">
        <w:t>ș</w:t>
      </w:r>
      <w:r w:rsidRPr="00462482">
        <w:t>i acordurile lor comerciale, pentru a pune capăt muncii copiilor;</w:t>
      </w:r>
    </w:p>
    <w:p w:rsidR="007256B8" w:rsidRPr="00462482" w:rsidRDefault="007256B8" w:rsidP="007256B8">
      <w:pPr>
        <w:pStyle w:val="Normal12Hanging"/>
        <w:rPr>
          <w:i/>
          <w:iCs/>
          <w:szCs w:val="23"/>
        </w:rPr>
      </w:pPr>
      <w:r w:rsidRPr="00462482">
        <w:rPr>
          <w:i/>
          <w:iCs/>
          <w:szCs w:val="23"/>
        </w:rPr>
        <w:t xml:space="preserve">Copiii </w:t>
      </w:r>
      <w:r w:rsidR="008E78D4">
        <w:rPr>
          <w:i/>
          <w:iCs/>
          <w:szCs w:val="23"/>
        </w:rPr>
        <w:t>ș</w:t>
      </w:r>
      <w:r w:rsidRPr="00462482">
        <w:rPr>
          <w:i/>
          <w:iCs/>
          <w:szCs w:val="23"/>
        </w:rPr>
        <w:t>i conflictele armate</w:t>
      </w:r>
    </w:p>
    <w:p w:rsidR="007256B8" w:rsidRPr="00462482" w:rsidRDefault="007256B8" w:rsidP="007256B8">
      <w:pPr>
        <w:pStyle w:val="Normal12Hanging"/>
      </w:pPr>
      <w:r w:rsidRPr="00462482">
        <w:t>59.</w:t>
      </w:r>
      <w:r w:rsidRPr="00462482">
        <w:tab/>
        <w:t>invită VP/ÎR să aducă sistematic în discu</w:t>
      </w:r>
      <w:r w:rsidR="008E78D4">
        <w:t>ț</w:t>
      </w:r>
      <w:r w:rsidRPr="00462482">
        <w:t>ie cu păr</w:t>
      </w:r>
      <w:r w:rsidR="008E78D4">
        <w:t>ț</w:t>
      </w:r>
      <w:r w:rsidRPr="00462482">
        <w:t>ile la conflicte încălcările grave comise împotriva copiilor, în special cele men</w:t>
      </w:r>
      <w:r w:rsidR="008E78D4">
        <w:t>ț</w:t>
      </w:r>
      <w:r w:rsidRPr="00462482">
        <w:t xml:space="preserve">ionate în raportul anual al Secretarului General al ONU privind copiii </w:t>
      </w:r>
      <w:r w:rsidR="008E78D4">
        <w:t>ș</w:t>
      </w:r>
      <w:r w:rsidRPr="00462482">
        <w:t xml:space="preserve">i conflictele armate; invită VP/ÎR </w:t>
      </w:r>
      <w:r w:rsidR="008E78D4">
        <w:t>ș</w:t>
      </w:r>
      <w:r w:rsidRPr="00462482">
        <w:t xml:space="preserve">i Comisia să trateze cu eficacitate </w:t>
      </w:r>
      <w:r w:rsidR="008E78D4">
        <w:t>ș</w:t>
      </w:r>
      <w:r w:rsidRPr="00462482">
        <w:t xml:space="preserve">i exhaustiv impactul pe termen scurt, mediu </w:t>
      </w:r>
      <w:r w:rsidR="008E78D4">
        <w:t>ș</w:t>
      </w:r>
      <w:r w:rsidRPr="00462482">
        <w:t>i lung al conflictelor armate asupra copiilor, folosindu-se de gama variată de instrumente pe care le au la dispozi</w:t>
      </w:r>
      <w:r w:rsidR="008E78D4">
        <w:t>ț</w:t>
      </w:r>
      <w:r w:rsidRPr="00462482">
        <w:t xml:space="preserve">ie, inclusiv de orientările UE noi </w:t>
      </w:r>
      <w:r w:rsidR="008E78D4">
        <w:t>ș</w:t>
      </w:r>
      <w:r w:rsidRPr="00462482">
        <w:t xml:space="preserve">i consolidate privind copiii </w:t>
      </w:r>
      <w:r w:rsidR="008E78D4">
        <w:t>ș</w:t>
      </w:r>
      <w:r w:rsidRPr="00462482">
        <w:t>i conflictele armate;</w:t>
      </w:r>
    </w:p>
    <w:p w:rsidR="007256B8" w:rsidRPr="00462482" w:rsidRDefault="007256B8" w:rsidP="007256B8">
      <w:pPr>
        <w:pStyle w:val="Normal12Hanging"/>
      </w:pPr>
      <w:r w:rsidRPr="00462482">
        <w:t>60.</w:t>
      </w:r>
      <w:r w:rsidRPr="00462482">
        <w:tab/>
        <w:t xml:space="preserve">solicită Comisiei să sprijine </w:t>
      </w:r>
      <w:r w:rsidR="008E78D4">
        <w:t>ș</w:t>
      </w:r>
      <w:r w:rsidRPr="00462482">
        <w:t>i să finan</w:t>
      </w:r>
      <w:r w:rsidR="008E78D4">
        <w:t>ț</w:t>
      </w:r>
      <w:r w:rsidRPr="00462482">
        <w:t xml:space="preserve">eze corespunzător </w:t>
      </w:r>
      <w:r w:rsidR="008E78D4">
        <w:t>ș</w:t>
      </w:r>
      <w:r w:rsidRPr="00462482">
        <w:t xml:space="preserve">i pe termen lung programele de reabilitare </w:t>
      </w:r>
      <w:r w:rsidR="008E78D4">
        <w:t>ș</w:t>
      </w:r>
      <w:r w:rsidRPr="00462482">
        <w:t>i reintegrare pentru copiii afecta</w:t>
      </w:r>
      <w:r w:rsidR="008E78D4">
        <w:t>ț</w:t>
      </w:r>
      <w:r w:rsidRPr="00462482">
        <w:t xml:space="preserve">i de conflicte </w:t>
      </w:r>
      <w:r w:rsidR="008E78D4">
        <w:t>ș</w:t>
      </w:r>
      <w:r w:rsidRPr="00462482">
        <w:t>i să le ofere acestora un mediu protejat în care asisten</w:t>
      </w:r>
      <w:r w:rsidR="008E78D4">
        <w:t>ț</w:t>
      </w:r>
      <w:r w:rsidRPr="00462482">
        <w:t xml:space="preserve">a psihologică, sprijinul </w:t>
      </w:r>
      <w:r w:rsidR="008E78D4">
        <w:t>ș</w:t>
      </w:r>
      <w:r w:rsidRPr="00462482">
        <w:t>i educa</w:t>
      </w:r>
      <w:r w:rsidR="008E78D4">
        <w:t>ț</w:t>
      </w:r>
      <w:r w:rsidRPr="00462482">
        <w:t xml:space="preserve">ia să fie fundamentale, cu un accent special pe provocările specifice cu care se confruntă fetele la demobilizare </w:t>
      </w:r>
      <w:r w:rsidR="008E78D4">
        <w:t>ș</w:t>
      </w:r>
      <w:r w:rsidRPr="00462482">
        <w:t>i la reintegrarea în societate;</w:t>
      </w:r>
    </w:p>
    <w:p w:rsidR="007256B8" w:rsidRPr="00462482" w:rsidRDefault="007256B8" w:rsidP="007256B8">
      <w:pPr>
        <w:pStyle w:val="Normal12Hanging"/>
      </w:pPr>
      <w:r w:rsidRPr="00462482">
        <w:t>61.</w:t>
      </w:r>
      <w:r w:rsidRPr="00462482">
        <w:tab/>
        <w:t>î</w:t>
      </w:r>
      <w:r w:rsidR="008E78D4">
        <w:t>ș</w:t>
      </w:r>
      <w:r w:rsidRPr="00462482">
        <w:t>i exprimă profunda îngrijorare cu privire la situa</w:t>
      </w:r>
      <w:r w:rsidR="008E78D4">
        <w:t>ț</w:t>
      </w:r>
      <w:r w:rsidRPr="00462482">
        <w:t>ia umanitară a copiilor de luptători străini de</w:t>
      </w:r>
      <w:r w:rsidR="008E78D4">
        <w:t>ț</w:t>
      </w:r>
      <w:r w:rsidRPr="00462482">
        <w:t>inu</w:t>
      </w:r>
      <w:r w:rsidR="008E78D4">
        <w:t>ț</w:t>
      </w:r>
      <w:r w:rsidRPr="00462482">
        <w:t xml:space="preserve">i în nord-estul Siriei </w:t>
      </w:r>
      <w:r w:rsidR="008E78D4">
        <w:t>ș</w:t>
      </w:r>
      <w:r w:rsidRPr="00462482">
        <w:t>i îndeamnă statele membre să repatrieze to</w:t>
      </w:r>
      <w:r w:rsidR="008E78D4">
        <w:t>ț</w:t>
      </w:r>
      <w:r w:rsidRPr="00462482">
        <w:t xml:space="preserve">i copiii europeni, </w:t>
      </w:r>
      <w:r w:rsidR="008E78D4">
        <w:t>ț</w:t>
      </w:r>
      <w:r w:rsidRPr="00462482">
        <w:t>inând seama în primul rând de situa</w:t>
      </w:r>
      <w:r w:rsidR="008E78D4">
        <w:t>ț</w:t>
      </w:r>
      <w:r w:rsidRPr="00462482">
        <w:t xml:space="preserve">ia lor familială specifică </w:t>
      </w:r>
      <w:r w:rsidR="008E78D4">
        <w:t>ș</w:t>
      </w:r>
      <w:r w:rsidRPr="00462482">
        <w:t xml:space="preserve">i de interesul superior al copilului, </w:t>
      </w:r>
      <w:r w:rsidR="008E78D4">
        <w:t>ș</w:t>
      </w:r>
      <w:r w:rsidRPr="00462482">
        <w:t xml:space="preserve">i să ofere sprijinul necesar pentru reabilitarea </w:t>
      </w:r>
      <w:r w:rsidR="008E78D4">
        <w:t>ș</w:t>
      </w:r>
      <w:r w:rsidRPr="00462482">
        <w:t>i reintegrarea lor; regretă lipsa de ac</w:t>
      </w:r>
      <w:r w:rsidR="008E78D4">
        <w:t>ț</w:t>
      </w:r>
      <w:r w:rsidRPr="00462482">
        <w:t xml:space="preserve">iune de până în prezent a statelor membre ale UE </w:t>
      </w:r>
      <w:r w:rsidR="008E78D4">
        <w:t>ș</w:t>
      </w:r>
      <w:r w:rsidRPr="00462482">
        <w:t>i lipsa de coordonare la nivelul UE;</w:t>
      </w:r>
    </w:p>
    <w:p w:rsidR="007256B8" w:rsidRPr="00462482" w:rsidRDefault="007256B8" w:rsidP="007256B8">
      <w:pPr>
        <w:pStyle w:val="Normal12Hanging"/>
      </w:pPr>
      <w:r w:rsidRPr="00462482">
        <w:t>62.</w:t>
      </w:r>
      <w:r w:rsidRPr="00462482">
        <w:tab/>
        <w:t>este extrem de alarmat de numărul mare de execu</w:t>
      </w:r>
      <w:r w:rsidR="008E78D4">
        <w:t>ț</w:t>
      </w:r>
      <w:r w:rsidRPr="00462482">
        <w:t xml:space="preserve">ii </w:t>
      </w:r>
      <w:r w:rsidR="008E78D4">
        <w:t>ș</w:t>
      </w:r>
      <w:r w:rsidRPr="00462482">
        <w:t>i mutilări de copii confirmate în conflictele armate; reiterează că, în continuare, copiii sunt folosi</w:t>
      </w:r>
      <w:r w:rsidR="008E78D4">
        <w:t>ț</w:t>
      </w:r>
      <w:r w:rsidRPr="00462482">
        <w:t>i ca arme, atacatori sinuciga</w:t>
      </w:r>
      <w:r w:rsidR="008E78D4">
        <w:t>ș</w:t>
      </w:r>
      <w:r w:rsidRPr="00462482">
        <w:t xml:space="preserve">i cu bombe, sclavi sexuali </w:t>
      </w:r>
      <w:r w:rsidR="008E78D4">
        <w:t>ș</w:t>
      </w:r>
      <w:r w:rsidRPr="00462482">
        <w:t xml:space="preserve">i scuturi umane </w:t>
      </w:r>
      <w:r w:rsidR="008E78D4">
        <w:t>ș</w:t>
      </w:r>
      <w:r w:rsidRPr="00462482">
        <w:t>i sunt obliga</w:t>
      </w:r>
      <w:r w:rsidR="008E78D4">
        <w:t>ț</w:t>
      </w:r>
      <w:r w:rsidRPr="00462482">
        <w:t>i să joace roluri active în cadrul ostilită</w:t>
      </w:r>
      <w:r w:rsidR="008E78D4">
        <w:t>ț</w:t>
      </w:r>
      <w:r w:rsidRPr="00462482">
        <w:t>ilor; condamnă cu fermitate folosirea copiilor în conflictele armate; observă că conflictele au cauzat sute de victime în rândul copiilor, adesea ca urmare a unor atacuri deliberate împotriva popula</w:t>
      </w:r>
      <w:r w:rsidR="008E78D4">
        <w:t>ț</w:t>
      </w:r>
      <w:r w:rsidRPr="00462482">
        <w:t xml:space="preserve">iei civile </w:t>
      </w:r>
      <w:r w:rsidR="008E78D4">
        <w:t>ș</w:t>
      </w:r>
      <w:r w:rsidRPr="00462482">
        <w:t>i a infrastructurii umanitare; în acest sens, îndeamnă statele membre să nu vândă arme sau echipamente militare niciunei păr</w:t>
      </w:r>
      <w:r w:rsidR="008E78D4">
        <w:t>ț</w:t>
      </w:r>
      <w:r w:rsidRPr="00462482">
        <w:t>i implicate în astfel de conflicte;</w:t>
      </w:r>
    </w:p>
    <w:p w:rsidR="007256B8" w:rsidRPr="00462482" w:rsidRDefault="007256B8" w:rsidP="007256B8">
      <w:pPr>
        <w:pStyle w:val="NormalHanging12a"/>
        <w:jc w:val="center"/>
      </w:pPr>
      <w:r w:rsidRPr="00462482">
        <w:t>°</w:t>
      </w:r>
    </w:p>
    <w:p w:rsidR="007256B8" w:rsidRPr="00462482" w:rsidRDefault="007256B8" w:rsidP="007256B8">
      <w:pPr>
        <w:pStyle w:val="NormalHanging12a"/>
        <w:jc w:val="center"/>
      </w:pPr>
      <w:r w:rsidRPr="00462482">
        <w:t>°</w:t>
      </w:r>
      <w:r w:rsidRPr="00462482">
        <w:tab/>
        <w:t>°</w:t>
      </w:r>
    </w:p>
    <w:p w:rsidR="007256B8" w:rsidRPr="00462482" w:rsidRDefault="007256B8" w:rsidP="007256B8">
      <w:pPr>
        <w:pStyle w:val="NormalHanging12a"/>
      </w:pPr>
      <w:r w:rsidRPr="00462482">
        <w:t>63.</w:t>
      </w:r>
      <w:r w:rsidRPr="00462482">
        <w:tab/>
        <w:t>încredin</w:t>
      </w:r>
      <w:r w:rsidR="008E78D4">
        <w:t>ț</w:t>
      </w:r>
      <w:r w:rsidRPr="00462482">
        <w:t>ează Pre</w:t>
      </w:r>
      <w:r w:rsidR="008E78D4">
        <w:t>ș</w:t>
      </w:r>
      <w:r w:rsidRPr="00462482">
        <w:t>edintelui sarcina de a transmite prezenta rezolu</w:t>
      </w:r>
      <w:r w:rsidR="008E78D4">
        <w:t>ț</w:t>
      </w:r>
      <w:r w:rsidRPr="00462482">
        <w:t>ie Consiliului, Comisiei, Vicepre</w:t>
      </w:r>
      <w:r w:rsidR="008E78D4">
        <w:t>ș</w:t>
      </w:r>
      <w:r w:rsidRPr="00462482">
        <w:t xml:space="preserve">edintelui Comisiei/Înaltului Reprezentant al Uniunii pentru afaceri externe </w:t>
      </w:r>
      <w:r w:rsidR="008E78D4">
        <w:t>ș</w:t>
      </w:r>
      <w:r w:rsidRPr="00462482">
        <w:t xml:space="preserve">i politica de securitate, precum </w:t>
      </w:r>
      <w:r w:rsidR="008E78D4">
        <w:t>ș</w:t>
      </w:r>
      <w:r w:rsidRPr="00462482">
        <w:t xml:space="preserve">i guvernelor </w:t>
      </w:r>
      <w:r w:rsidR="008E78D4">
        <w:t>ș</w:t>
      </w:r>
      <w:r w:rsidRPr="00462482">
        <w:t>i parlamentelor statelor membre.</w:t>
      </w:r>
    </w:p>
    <w:p w:rsidR="007256B8" w:rsidRPr="00462482" w:rsidRDefault="007256B8" w:rsidP="007256B8">
      <w:pPr>
        <w:pStyle w:val="NormalHanging12a"/>
      </w:pPr>
    </w:p>
    <w:p w:rsidR="007256B8" w:rsidRPr="00462482" w:rsidRDefault="007256B8" w:rsidP="007256B8"/>
    <w:p w:rsidR="007256B8" w:rsidRPr="00462482" w:rsidRDefault="007256B8" w:rsidP="007256B8">
      <w:pPr>
        <w:pStyle w:val="NormalHanging12a"/>
      </w:pPr>
    </w:p>
    <w:p w:rsidR="007256B8" w:rsidRPr="00462482" w:rsidRDefault="007256B8" w:rsidP="007256B8"/>
    <w:p w:rsidR="00592BEB" w:rsidRPr="00462482" w:rsidRDefault="00592BEB" w:rsidP="001241CE">
      <w:pPr>
        <w:pStyle w:val="Normal12Hanging"/>
        <w:rPr>
          <w:i/>
        </w:rPr>
      </w:pPr>
    </w:p>
    <w:sectPr w:rsidR="00592BEB" w:rsidRPr="00462482" w:rsidSect="006E681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E2" w:rsidRPr="00462482" w:rsidRDefault="00772CC5">
      <w:r w:rsidRPr="00462482">
        <w:separator/>
      </w:r>
    </w:p>
  </w:endnote>
  <w:endnote w:type="continuationSeparator" w:id="0">
    <w:p w:rsidR="002669E2" w:rsidRPr="00462482" w:rsidRDefault="00772CC5">
      <w:r w:rsidRPr="004624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1" w:rsidRPr="00462482" w:rsidRDefault="006E6811" w:rsidP="006E6811">
    <w:pPr>
      <w:pStyle w:val="EPFooter"/>
    </w:pPr>
    <w:r w:rsidRPr="00462482">
      <w:t>PE</w:t>
    </w:r>
    <w:r w:rsidRPr="00462482">
      <w:rPr>
        <w:rStyle w:val="HideTWBExt"/>
        <w:noProof w:val="0"/>
      </w:rPr>
      <w:t>&lt;NoPE&gt;</w:t>
    </w:r>
    <w:r w:rsidRPr="00462482">
      <w:t>643.348</w:t>
    </w:r>
    <w:r w:rsidRPr="00462482">
      <w:rPr>
        <w:rStyle w:val="HideTWBExt"/>
        <w:noProof w:val="0"/>
      </w:rPr>
      <w:t>&lt;/NoPE&gt;&lt;Version&gt;</w:t>
    </w:r>
    <w:r w:rsidRPr="00462482">
      <w:t>v01-00</w:t>
    </w:r>
    <w:r w:rsidRPr="00462482">
      <w:rPr>
        <w:rStyle w:val="HideTWBExt"/>
        <w:noProof w:val="0"/>
      </w:rPr>
      <w:t>&lt;/Version&gt;</w:t>
    </w:r>
    <w:r w:rsidRPr="00462482">
      <w:tab/>
    </w:r>
    <w:r w:rsidRPr="00462482">
      <w:fldChar w:fldCharType="begin"/>
    </w:r>
    <w:r w:rsidRPr="00462482">
      <w:instrText xml:space="preserve"> PAGE  \* MERGEFORMAT </w:instrText>
    </w:r>
    <w:r w:rsidRPr="00462482">
      <w:fldChar w:fldCharType="separate"/>
    </w:r>
    <w:r w:rsidR="003D06D6">
      <w:rPr>
        <w:noProof/>
      </w:rPr>
      <w:t>16</w:t>
    </w:r>
    <w:r w:rsidRPr="00462482">
      <w:fldChar w:fldCharType="end"/>
    </w:r>
    <w:r w:rsidRPr="00462482">
      <w:t>/</w:t>
    </w:r>
    <w:fldSimple w:instr=" NUMPAGES  \* MERGEFORMAT ">
      <w:r w:rsidR="003D06D6">
        <w:rPr>
          <w:noProof/>
        </w:rPr>
        <w:t>16</w:t>
      </w:r>
    </w:fldSimple>
    <w:r w:rsidRPr="00462482">
      <w:tab/>
    </w:r>
    <w:r w:rsidRPr="00462482">
      <w:rPr>
        <w:rStyle w:val="HideTWBExt"/>
        <w:noProof w:val="0"/>
      </w:rPr>
      <w:t>&lt;PathFdR&gt;</w:t>
    </w:r>
    <w:r w:rsidRPr="00462482">
      <w:t>RE\1193055RO.docx</w:t>
    </w:r>
    <w:r w:rsidRPr="00462482">
      <w:rPr>
        <w:rStyle w:val="HideTWBExt"/>
        <w:noProof w:val="0"/>
      </w:rPr>
      <w:t>&lt;/PathFdR&gt;</w:t>
    </w:r>
  </w:p>
  <w:p w:rsidR="00873258" w:rsidRPr="00462482" w:rsidRDefault="006E6811" w:rsidP="006E6811">
    <w:pPr>
      <w:pStyle w:val="EPFooter2"/>
    </w:pPr>
    <w:r w:rsidRPr="00462482">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1" w:rsidRPr="00462482" w:rsidRDefault="006E6811" w:rsidP="006E6811">
    <w:pPr>
      <w:pStyle w:val="EPFooter"/>
    </w:pPr>
    <w:r w:rsidRPr="00462482">
      <w:rPr>
        <w:rStyle w:val="HideTWBExt"/>
        <w:noProof w:val="0"/>
      </w:rPr>
      <w:t>&lt;PathFdR&gt;</w:t>
    </w:r>
    <w:r w:rsidRPr="00462482">
      <w:t>RE\1193055RO.docx</w:t>
    </w:r>
    <w:r w:rsidRPr="00462482">
      <w:rPr>
        <w:rStyle w:val="HideTWBExt"/>
        <w:noProof w:val="0"/>
      </w:rPr>
      <w:t>&lt;/PathFdR&gt;</w:t>
    </w:r>
    <w:r w:rsidRPr="00462482">
      <w:tab/>
    </w:r>
    <w:r w:rsidRPr="00462482">
      <w:fldChar w:fldCharType="begin"/>
    </w:r>
    <w:r w:rsidRPr="00462482">
      <w:instrText xml:space="preserve"> PAGE  \* MERGEFORMAT </w:instrText>
    </w:r>
    <w:r w:rsidRPr="00462482">
      <w:fldChar w:fldCharType="separate"/>
    </w:r>
    <w:r w:rsidR="003D06D6">
      <w:rPr>
        <w:noProof/>
      </w:rPr>
      <w:t>15</w:t>
    </w:r>
    <w:r w:rsidRPr="00462482">
      <w:fldChar w:fldCharType="end"/>
    </w:r>
    <w:r w:rsidRPr="00462482">
      <w:t>/</w:t>
    </w:r>
    <w:fldSimple w:instr=" NUMPAGES  \* MERGEFORMAT ">
      <w:r w:rsidR="003D06D6">
        <w:rPr>
          <w:noProof/>
        </w:rPr>
        <w:t>15</w:t>
      </w:r>
    </w:fldSimple>
    <w:r w:rsidRPr="00462482">
      <w:tab/>
      <w:t>PE</w:t>
    </w:r>
    <w:r w:rsidRPr="00462482">
      <w:rPr>
        <w:rStyle w:val="HideTWBExt"/>
        <w:noProof w:val="0"/>
      </w:rPr>
      <w:t>&lt;NoPE&gt;</w:t>
    </w:r>
    <w:r w:rsidRPr="00462482">
      <w:t>643.348</w:t>
    </w:r>
    <w:r w:rsidRPr="00462482">
      <w:rPr>
        <w:rStyle w:val="HideTWBExt"/>
        <w:noProof w:val="0"/>
      </w:rPr>
      <w:t>&lt;/NoPE&gt;&lt;Version&gt;</w:t>
    </w:r>
    <w:r w:rsidRPr="00462482">
      <w:t>v01-00</w:t>
    </w:r>
    <w:r w:rsidRPr="00462482">
      <w:rPr>
        <w:rStyle w:val="HideTWBExt"/>
        <w:noProof w:val="0"/>
      </w:rPr>
      <w:t>&lt;/Version&gt;</w:t>
    </w:r>
  </w:p>
  <w:p w:rsidR="00873258" w:rsidRPr="00462482" w:rsidRDefault="006E6811" w:rsidP="006E6811">
    <w:pPr>
      <w:pStyle w:val="EPFooter2"/>
    </w:pPr>
    <w:r w:rsidRPr="00462482">
      <w:tab/>
    </w:r>
    <w:r w:rsidRPr="00462482">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1" w:rsidRPr="00462482" w:rsidRDefault="006E6811" w:rsidP="006E6811">
    <w:pPr>
      <w:pStyle w:val="EPFooter"/>
    </w:pPr>
    <w:r w:rsidRPr="00462482">
      <w:rPr>
        <w:rStyle w:val="HideTWBExt"/>
        <w:noProof w:val="0"/>
      </w:rPr>
      <w:t>&lt;PathFdR&gt;</w:t>
    </w:r>
    <w:r w:rsidRPr="00462482">
      <w:t>RE\1193055RO.docx</w:t>
    </w:r>
    <w:r w:rsidRPr="00462482">
      <w:rPr>
        <w:rStyle w:val="HideTWBExt"/>
        <w:noProof w:val="0"/>
      </w:rPr>
      <w:t>&lt;/PathFdR&gt;</w:t>
    </w:r>
    <w:r w:rsidRPr="00462482">
      <w:tab/>
    </w:r>
    <w:r w:rsidRPr="00462482">
      <w:tab/>
      <w:t>PE</w:t>
    </w:r>
    <w:r w:rsidRPr="00462482">
      <w:rPr>
        <w:rStyle w:val="HideTWBExt"/>
        <w:noProof w:val="0"/>
      </w:rPr>
      <w:t>&lt;NoPE&gt;</w:t>
    </w:r>
    <w:r w:rsidRPr="00462482">
      <w:t>643.348</w:t>
    </w:r>
    <w:r w:rsidRPr="00462482">
      <w:rPr>
        <w:rStyle w:val="HideTWBExt"/>
        <w:noProof w:val="0"/>
      </w:rPr>
      <w:t>&lt;/NoPE&gt;&lt;Version&gt;</w:t>
    </w:r>
    <w:r w:rsidRPr="00462482">
      <w:t>v01-00</w:t>
    </w:r>
    <w:r w:rsidRPr="00462482">
      <w:rPr>
        <w:rStyle w:val="HideTWBExt"/>
        <w:noProof w:val="0"/>
      </w:rPr>
      <w:t>&lt;/Version&gt;</w:t>
    </w:r>
  </w:p>
  <w:p w:rsidR="00873258" w:rsidRPr="00462482" w:rsidRDefault="006E6811" w:rsidP="006E6811">
    <w:pPr>
      <w:pStyle w:val="EPFooter2"/>
    </w:pPr>
    <w:r w:rsidRPr="00462482">
      <w:t>RO</w:t>
    </w:r>
    <w:r w:rsidRPr="00462482">
      <w:tab/>
    </w:r>
    <w:r w:rsidRPr="00462482">
      <w:rPr>
        <w:b w:val="0"/>
        <w:i/>
        <w:color w:val="C0C0C0"/>
        <w:sz w:val="22"/>
      </w:rPr>
      <w:t>Unită în diversitate</w:t>
    </w:r>
    <w:r w:rsidRPr="00462482">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58" w:rsidRPr="00462482" w:rsidRDefault="00772CC5">
      <w:r w:rsidRPr="00462482">
        <w:separator/>
      </w:r>
    </w:p>
  </w:footnote>
  <w:footnote w:type="continuationSeparator" w:id="0">
    <w:p w:rsidR="00873258" w:rsidRPr="00462482" w:rsidRDefault="00772CC5">
      <w:r w:rsidRPr="00462482">
        <w:continuationSeparator/>
      </w:r>
    </w:p>
  </w:footnote>
  <w:footnote w:type="continuationNotice" w:id="1">
    <w:p w:rsidR="00873258" w:rsidRPr="00462482" w:rsidRDefault="00873258"/>
  </w:footnote>
  <w:footnote w:id="2">
    <w:p w:rsidR="00873258" w:rsidRPr="00462482" w:rsidRDefault="00772CC5" w:rsidP="001241CE">
      <w:pPr>
        <w:pStyle w:val="FootnoteText"/>
      </w:pPr>
      <w:r w:rsidRPr="00462482">
        <w:rPr>
          <w:rStyle w:val="FootnoteReference"/>
        </w:rPr>
        <w:footnoteRef/>
      </w:r>
      <w:r w:rsidRPr="00462482">
        <w:t xml:space="preserve"> JO L 335, 17.12.2011, p. 1.</w:t>
      </w:r>
    </w:p>
  </w:footnote>
  <w:footnote w:id="3">
    <w:p w:rsidR="00873258" w:rsidRPr="00462482" w:rsidRDefault="00772CC5" w:rsidP="001241CE">
      <w:pPr>
        <w:pStyle w:val="FootnoteText"/>
      </w:pPr>
      <w:r w:rsidRPr="00462482">
        <w:rPr>
          <w:rStyle w:val="FootnoteReference"/>
        </w:rPr>
        <w:footnoteRef/>
      </w:r>
      <w:r w:rsidRPr="00462482">
        <w:t xml:space="preserve"> JO L 132, 21.5.2016, p. 1.</w:t>
      </w:r>
    </w:p>
  </w:footnote>
  <w:footnote w:id="4">
    <w:p w:rsidR="00873258" w:rsidRPr="00462482" w:rsidRDefault="00772CC5" w:rsidP="001241CE">
      <w:pPr>
        <w:pStyle w:val="FootnoteText"/>
      </w:pPr>
      <w:r w:rsidRPr="00462482">
        <w:rPr>
          <w:rStyle w:val="FootnoteReference"/>
        </w:rPr>
        <w:footnoteRef/>
      </w:r>
      <w:r w:rsidRPr="00462482">
        <w:t xml:space="preserve"> Texte adoptate, P8_TA(2018)0201.</w:t>
      </w:r>
    </w:p>
  </w:footnote>
  <w:footnote w:id="5">
    <w:p w:rsidR="00873258" w:rsidRPr="00462482" w:rsidRDefault="00772CC5" w:rsidP="001241CE">
      <w:pPr>
        <w:pStyle w:val="FootnoteText"/>
      </w:pPr>
      <w:r w:rsidRPr="00462482">
        <w:rPr>
          <w:rStyle w:val="FootnoteReference"/>
        </w:rPr>
        <w:footnoteRef/>
      </w:r>
      <w:r w:rsidRPr="00462482">
        <w:t xml:space="preserve"> Texte adoptate, P8_TA(2019)0128.</w:t>
      </w:r>
    </w:p>
  </w:footnote>
  <w:footnote w:id="6">
    <w:p w:rsidR="00873258" w:rsidRPr="00462482" w:rsidRDefault="00772CC5" w:rsidP="001241CE">
      <w:pPr>
        <w:pStyle w:val="FootnoteText"/>
      </w:pPr>
      <w:r w:rsidRPr="00462482">
        <w:rPr>
          <w:rStyle w:val="FootnoteReference"/>
        </w:rPr>
        <w:footnoteRef/>
      </w:r>
      <w:r w:rsidRPr="00462482">
        <w:rPr>
          <w:rStyle w:val="FootnoteReference"/>
        </w:rPr>
        <w:t xml:space="preserve"> </w:t>
      </w:r>
      <w:r w:rsidRPr="00462482">
        <w:t>Raportul FRA intitulat „</w:t>
      </w:r>
      <w:hyperlink r:id="rId1" w:history="1">
        <w:r w:rsidRPr="00462482">
          <w:rPr>
            <w:rStyle w:val="Hyperlink"/>
          </w:rPr>
          <w:t>Combating child poverty:</w:t>
        </w:r>
      </w:hyperlink>
      <w:hyperlink r:id="rId2" w:history="1">
        <w:r w:rsidRPr="00462482">
          <w:rPr>
            <w:rStyle w:val="Hyperlink"/>
          </w:rPr>
          <w:t xml:space="preserve"> an issue of fundamental rights</w:t>
        </w:r>
      </w:hyperlink>
      <w:r w:rsidRPr="00462482">
        <w:rPr>
          <w:rStyle w:val="Hyperlink"/>
        </w:rPr>
        <w:t xml:space="preserve">”, </w:t>
      </w:r>
      <w:r w:rsidRPr="00462482">
        <w:t xml:space="preserve"> (Combaterea sărăciei în rândul copiilor: o chestiune ce </w:t>
      </w:r>
      <w:r w:rsidR="008E78D4">
        <w:t>ț</w:t>
      </w:r>
      <w:r w:rsidRPr="00462482">
        <w:t>ine de drepturile fundamentale) https://fra.europa.eu/en/publication/2018/child-poverty</w:t>
      </w:r>
    </w:p>
  </w:footnote>
  <w:footnote w:id="7">
    <w:p w:rsidR="00873258" w:rsidRPr="00462482" w:rsidRDefault="00772CC5" w:rsidP="001241CE">
      <w:pPr>
        <w:pStyle w:val="FootnoteText"/>
      </w:pPr>
      <w:r w:rsidRPr="00462482">
        <w:rPr>
          <w:rStyle w:val="FootnoteReference"/>
        </w:rPr>
        <w:footnoteRef/>
      </w:r>
      <w:r w:rsidRPr="00462482">
        <w:rPr>
          <w:rStyle w:val="FootnoteReference"/>
        </w:rPr>
        <w:t xml:space="preserve"> </w:t>
      </w:r>
      <w:r w:rsidRPr="00462482">
        <w:t xml:space="preserve">Raportul OMS intitulat „Air pollution and child health, prescribing clear air” (Poluarea atmosferică </w:t>
      </w:r>
      <w:r w:rsidR="008E78D4">
        <w:t>ș</w:t>
      </w:r>
      <w:r w:rsidRPr="00462482">
        <w:t>i sănătatea copiilor, se prescrie un aer curat”, 2018, https://www.who.int/ceh/publications/Advance-copy-Oct24_18150_Air-Pollution-and-Child-Health-merged-compressed.pdf?ua=1</w:t>
      </w:r>
    </w:p>
  </w:footnote>
  <w:footnote w:id="8">
    <w:p w:rsidR="00873258" w:rsidRPr="00462482" w:rsidRDefault="00772CC5" w:rsidP="001241CE">
      <w:pPr>
        <w:pStyle w:val="FootnoteText"/>
      </w:pPr>
      <w:r w:rsidRPr="00462482">
        <w:rPr>
          <w:rStyle w:val="FootnoteReference"/>
        </w:rPr>
        <w:footnoteRef/>
      </w:r>
      <w:hyperlink r:id="rId3" w:history="1">
        <w:r w:rsidRPr="00462482">
          <w:rPr>
            <w:rStyle w:val="Hyperlink"/>
          </w:rPr>
          <w:t>https://ec.europa.eu/home-affairs/sites/homeaffairs/files/what-we-do/policies/european-agenda-security/20181204_data-collection-study.pdf</w:t>
        </w:r>
      </w:hyperlink>
      <w:r w:rsidRPr="00462482">
        <w:t xml:space="preserve"> </w:t>
      </w:r>
    </w:p>
  </w:footnote>
  <w:footnote w:id="9">
    <w:p w:rsidR="00873258" w:rsidRPr="00462482" w:rsidRDefault="00772CC5" w:rsidP="001241CE">
      <w:pPr>
        <w:pStyle w:val="FootnoteText"/>
      </w:pPr>
      <w:r w:rsidRPr="00462482">
        <w:rPr>
          <w:rStyle w:val="FootnoteReference"/>
        </w:rPr>
        <w:footnoteRef/>
      </w:r>
      <w:r w:rsidRPr="00462482">
        <w:rPr>
          <w:rStyle w:val="FootnoteReference"/>
        </w:rPr>
        <w:t xml:space="preserve"> </w:t>
      </w:r>
      <w:hyperlink r:id="rId4" w:history="1">
        <w:r w:rsidRPr="00462482">
          <w:rPr>
            <w:rStyle w:val="Hyperlink"/>
          </w:rPr>
          <w:t>https://web.archive.org/web/20190928174029/https://storage.googleapis.com/pub-tools-public-publication-data/pdf/b6555a1018a750f39028005bfdb9f35eaee4b947.pdf</w:t>
        </w:r>
      </w:hyperlink>
    </w:p>
  </w:footnote>
  <w:footnote w:id="10">
    <w:p w:rsidR="00873258" w:rsidRPr="00462482" w:rsidRDefault="00772CC5" w:rsidP="001241CE">
      <w:pPr>
        <w:pStyle w:val="FootnoteText"/>
      </w:pPr>
      <w:r w:rsidRPr="00462482">
        <w:rPr>
          <w:rStyle w:val="FootnoteReference"/>
        </w:rPr>
        <w:footnoteRef/>
      </w:r>
      <w:r w:rsidRPr="00462482">
        <w:t xml:space="preserve"> JO C 369, 11.10.2018, p. 96.</w:t>
      </w:r>
    </w:p>
  </w:footnote>
  <w:footnote w:id="11">
    <w:p w:rsidR="00873258" w:rsidRPr="00462482" w:rsidRDefault="00772CC5" w:rsidP="001241CE">
      <w:pPr>
        <w:pStyle w:val="FootnoteText"/>
      </w:pPr>
      <w:r w:rsidRPr="00462482">
        <w:rPr>
          <w:rStyle w:val="FootnoteReference"/>
        </w:rPr>
        <w:footnoteRef/>
      </w:r>
      <w:r w:rsidRPr="00462482">
        <w:rPr>
          <w:rStyle w:val="FootnoteReference"/>
        </w:rPr>
        <w:t xml:space="preserve"> </w:t>
      </w:r>
      <w:hyperlink r:id="rId5" w:history="1">
        <w:r w:rsidRPr="00462482">
          <w:rPr>
            <w:rStyle w:val="Hyperlink"/>
          </w:rPr>
          <w:t>https://eur-lex.europa.eu/legal-content/RO/TXT/?uri=COM%3A2012%3A0196%3AFIN</w:t>
        </w:r>
      </w:hyperlink>
    </w:p>
  </w:footnote>
  <w:footnote w:id="12">
    <w:p w:rsidR="007256B8" w:rsidRPr="00462482" w:rsidRDefault="007256B8" w:rsidP="007256B8">
      <w:pPr>
        <w:pStyle w:val="FootnoteText"/>
      </w:pPr>
      <w:r w:rsidRPr="00462482">
        <w:rPr>
          <w:rStyle w:val="FootnoteReference"/>
        </w:rPr>
        <w:footnoteRef/>
      </w:r>
      <w:r w:rsidRPr="00462482">
        <w:rPr>
          <w:rStyle w:val="FootnoteReference"/>
        </w:rPr>
        <w:t xml:space="preserve"> </w:t>
      </w:r>
      <w:r w:rsidRPr="00462482">
        <w:t>OMS estimează că, în 2016, 62 000 de adolescen</w:t>
      </w:r>
      <w:r w:rsidR="008E78D4">
        <w:t>ț</w:t>
      </w:r>
      <w:r w:rsidRPr="00462482">
        <w:t>i au decedat în urma actelor de autovătămare, care reprezintă, în prezent, a treia cauză de deces în rândul adolescen</w:t>
      </w:r>
      <w:r w:rsidR="008E78D4">
        <w:t>ț</w:t>
      </w:r>
      <w:r w:rsidRPr="00462482">
        <w:t xml:space="preserve">ilor cu vârste cuprinse între 18 </w:t>
      </w:r>
      <w:r w:rsidR="008E78D4">
        <w:t>ș</w:t>
      </w:r>
      <w:r w:rsidRPr="00462482">
        <w:t xml:space="preserve">i 19 ani. </w:t>
      </w:r>
    </w:p>
    <w:p w:rsidR="007256B8" w:rsidRPr="00462482" w:rsidRDefault="007256B8" w:rsidP="007256B8">
      <w:pPr>
        <w:pStyle w:val="FootnoteText"/>
      </w:pPr>
    </w:p>
  </w:footnote>
  <w:footnote w:id="13">
    <w:p w:rsidR="007256B8" w:rsidRPr="00462482" w:rsidRDefault="007256B8" w:rsidP="007256B8">
      <w:pPr>
        <w:pStyle w:val="FootnoteText"/>
      </w:pPr>
      <w:r w:rsidRPr="00462482">
        <w:rPr>
          <w:rStyle w:val="FootnoteReference"/>
        </w:rPr>
        <w:footnoteRef/>
      </w:r>
      <w:r w:rsidRPr="00462482">
        <w:t xml:space="preserve"> JO L 132, 21.5.2016, p. 1.</w:t>
      </w:r>
    </w:p>
  </w:footnote>
  <w:footnote w:id="14">
    <w:p w:rsidR="007256B8" w:rsidRPr="00462482" w:rsidRDefault="007256B8" w:rsidP="007256B8">
      <w:pPr>
        <w:pStyle w:val="FootnoteText"/>
      </w:pPr>
      <w:r w:rsidRPr="00462482">
        <w:rPr>
          <w:rStyle w:val="FootnoteReference"/>
        </w:rPr>
        <w:footnoteRef/>
      </w:r>
      <w:r w:rsidRPr="00462482">
        <w:rPr>
          <w:rStyle w:val="FootnoteReference"/>
        </w:rPr>
        <w:t xml:space="preserve"> </w:t>
      </w:r>
      <w:hyperlink r:id="rId6" w:history="1">
        <w:r w:rsidRPr="00462482">
          <w:rPr>
            <w:rStyle w:val="Hyperlink"/>
          </w:rPr>
          <w:t>https://rm.coe.int/16804b2cf3</w:t>
        </w:r>
      </w:hyperlink>
      <w:r w:rsidRPr="00462482">
        <w:t xml:space="preserve"> </w:t>
      </w:r>
    </w:p>
  </w:footnote>
  <w:footnote w:id="15">
    <w:p w:rsidR="007256B8" w:rsidRPr="00462482" w:rsidRDefault="007256B8" w:rsidP="007256B8">
      <w:pPr>
        <w:pStyle w:val="FootnoteText"/>
      </w:pPr>
      <w:r w:rsidRPr="00462482">
        <w:rPr>
          <w:rStyle w:val="FootnoteReference"/>
        </w:rPr>
        <w:footnoteRef/>
      </w:r>
      <w:r w:rsidRPr="00462482">
        <w:rPr>
          <w:rStyle w:val="FootnoteReference"/>
        </w:rPr>
        <w:t xml:space="preserve"> </w:t>
      </w:r>
      <w:hyperlink r:id="rId7" w:history="1">
        <w:r w:rsidRPr="00462482">
          <w:rPr>
            <w:rStyle w:val="Hyperlink"/>
          </w:rPr>
          <w:t>https://www.un.org/en/ga/search/view_doc.asp?symbol=A/RES/71/1</w:t>
        </w:r>
      </w:hyperlink>
    </w:p>
  </w:footnote>
  <w:footnote w:id="16">
    <w:p w:rsidR="007256B8" w:rsidRPr="00462482" w:rsidRDefault="007256B8" w:rsidP="007256B8">
      <w:pPr>
        <w:pStyle w:val="FootnoteText"/>
      </w:pPr>
      <w:r w:rsidRPr="00462482">
        <w:rPr>
          <w:rStyle w:val="FootnoteReference"/>
        </w:rPr>
        <w:footnoteRef/>
      </w:r>
      <w:r w:rsidRPr="00462482">
        <w:t xml:space="preserve"> JO C 93, 9.3.2016, p. 165.</w:t>
      </w:r>
    </w:p>
  </w:footnote>
  <w:footnote w:id="17">
    <w:p w:rsidR="007256B8" w:rsidRPr="00462482" w:rsidRDefault="007256B8" w:rsidP="007256B8">
      <w:pPr>
        <w:pStyle w:val="FootnoteText"/>
      </w:pPr>
      <w:r w:rsidRPr="00462482">
        <w:rPr>
          <w:rStyle w:val="FootnoteReference"/>
        </w:rPr>
        <w:footnoteRef/>
      </w:r>
      <w:r w:rsidRPr="00462482">
        <w:t xml:space="preserve"> JO C 463, 21.12.2018, p. 26.</w:t>
      </w:r>
    </w:p>
  </w:footnote>
  <w:footnote w:id="18">
    <w:p w:rsidR="007256B8" w:rsidRPr="00462482" w:rsidRDefault="007256B8" w:rsidP="007256B8">
      <w:pPr>
        <w:pStyle w:val="FootnoteText"/>
      </w:pPr>
      <w:r w:rsidRPr="00462482">
        <w:rPr>
          <w:rStyle w:val="FootnoteReference"/>
        </w:rPr>
        <w:footnoteRef/>
      </w:r>
      <w:r w:rsidRPr="00462482">
        <w:rPr>
          <w:rStyle w:val="FootnoteReference"/>
        </w:rPr>
        <w:t xml:space="preserve"> </w:t>
      </w:r>
      <w:hyperlink r:id="rId8" w:history="1">
        <w:r w:rsidRPr="00462482">
          <w:rPr>
            <w:rStyle w:val="Hyperlink"/>
          </w:rPr>
          <w:t>https://chilrendeclaration.typeform.com/to/h8dSPt</w:t>
        </w:r>
      </w:hyperlink>
      <w:r w:rsidRPr="004624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4" w:rsidRDefault="008E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4" w:rsidRDefault="008E7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D4" w:rsidRDefault="008E7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37C5F"/>
    <w:multiLevelType w:val="hybridMultilevel"/>
    <w:tmpl w:val="129EB3EE"/>
    <w:lvl w:ilvl="0" w:tplc="0272427A">
      <w:start w:val="1"/>
      <w:numFmt w:val="upperLetter"/>
      <w:lvlText w:val="%1."/>
      <w:lvlJc w:val="left"/>
      <w:pPr>
        <w:ind w:left="720" w:hanging="360"/>
      </w:pPr>
    </w:lvl>
    <w:lvl w:ilvl="1" w:tplc="AFDC37E0" w:tentative="1">
      <w:start w:val="1"/>
      <w:numFmt w:val="lowerLetter"/>
      <w:lvlText w:val="%2."/>
      <w:lvlJc w:val="left"/>
      <w:pPr>
        <w:ind w:left="1440" w:hanging="360"/>
      </w:pPr>
    </w:lvl>
    <w:lvl w:ilvl="2" w:tplc="EE4EBC22" w:tentative="1">
      <w:start w:val="1"/>
      <w:numFmt w:val="lowerRoman"/>
      <w:lvlText w:val="%3."/>
      <w:lvlJc w:val="right"/>
      <w:pPr>
        <w:ind w:left="2160" w:hanging="180"/>
      </w:pPr>
    </w:lvl>
    <w:lvl w:ilvl="3" w:tplc="FA728F98" w:tentative="1">
      <w:start w:val="1"/>
      <w:numFmt w:val="decimal"/>
      <w:lvlText w:val="%4."/>
      <w:lvlJc w:val="left"/>
      <w:pPr>
        <w:ind w:left="2880" w:hanging="360"/>
      </w:pPr>
    </w:lvl>
    <w:lvl w:ilvl="4" w:tplc="3C6EBAD2" w:tentative="1">
      <w:start w:val="1"/>
      <w:numFmt w:val="lowerLetter"/>
      <w:lvlText w:val="%5."/>
      <w:lvlJc w:val="left"/>
      <w:pPr>
        <w:ind w:left="3600" w:hanging="360"/>
      </w:pPr>
    </w:lvl>
    <w:lvl w:ilvl="5" w:tplc="BB1A76DA" w:tentative="1">
      <w:start w:val="1"/>
      <w:numFmt w:val="lowerRoman"/>
      <w:lvlText w:val="%6."/>
      <w:lvlJc w:val="right"/>
      <w:pPr>
        <w:ind w:left="4320" w:hanging="180"/>
      </w:pPr>
    </w:lvl>
    <w:lvl w:ilvl="6" w:tplc="F66058D8" w:tentative="1">
      <w:start w:val="1"/>
      <w:numFmt w:val="decimal"/>
      <w:lvlText w:val="%7."/>
      <w:lvlJc w:val="left"/>
      <w:pPr>
        <w:ind w:left="5040" w:hanging="360"/>
      </w:pPr>
    </w:lvl>
    <w:lvl w:ilvl="7" w:tplc="BDFE427A" w:tentative="1">
      <w:start w:val="1"/>
      <w:numFmt w:val="lowerLetter"/>
      <w:lvlText w:val="%8."/>
      <w:lvlJc w:val="left"/>
      <w:pPr>
        <w:ind w:left="5760" w:hanging="360"/>
      </w:pPr>
    </w:lvl>
    <w:lvl w:ilvl="8" w:tplc="CC94C766" w:tentative="1">
      <w:start w:val="1"/>
      <w:numFmt w:val="lowerRoman"/>
      <w:lvlText w:val="%9."/>
      <w:lvlJc w:val="right"/>
      <w:pPr>
        <w:ind w:left="6480" w:hanging="180"/>
      </w:pPr>
    </w:lvl>
  </w:abstractNum>
  <w:abstractNum w:abstractNumId="11" w15:restartNumberingAfterBreak="0">
    <w:nsid w:val="2E3A2346"/>
    <w:multiLevelType w:val="hybridMultilevel"/>
    <w:tmpl w:val="88D49B60"/>
    <w:lvl w:ilvl="0" w:tplc="8EACDAFC">
      <w:start w:val="1"/>
      <w:numFmt w:val="decimal"/>
      <w:lvlText w:val="%1."/>
      <w:lvlJc w:val="left"/>
      <w:pPr>
        <w:ind w:left="1070" w:hanging="360"/>
      </w:pPr>
      <w:rPr>
        <w:rFonts w:hint="default"/>
      </w:rPr>
    </w:lvl>
    <w:lvl w:ilvl="1" w:tplc="71B6DE9C" w:tentative="1">
      <w:start w:val="1"/>
      <w:numFmt w:val="bullet"/>
      <w:lvlText w:val="o"/>
      <w:lvlJc w:val="left"/>
      <w:pPr>
        <w:ind w:left="1440" w:hanging="360"/>
      </w:pPr>
      <w:rPr>
        <w:rFonts w:ascii="Courier New" w:hAnsi="Courier New" w:cs="Courier New" w:hint="default"/>
      </w:rPr>
    </w:lvl>
    <w:lvl w:ilvl="2" w:tplc="86E473F0" w:tentative="1">
      <w:start w:val="1"/>
      <w:numFmt w:val="bullet"/>
      <w:lvlText w:val=""/>
      <w:lvlJc w:val="left"/>
      <w:pPr>
        <w:ind w:left="2160" w:hanging="360"/>
      </w:pPr>
      <w:rPr>
        <w:rFonts w:ascii="Wingdings" w:hAnsi="Wingdings" w:hint="default"/>
      </w:rPr>
    </w:lvl>
    <w:lvl w:ilvl="3" w:tplc="3D10F194" w:tentative="1">
      <w:start w:val="1"/>
      <w:numFmt w:val="bullet"/>
      <w:lvlText w:val=""/>
      <w:lvlJc w:val="left"/>
      <w:pPr>
        <w:ind w:left="2880" w:hanging="360"/>
      </w:pPr>
      <w:rPr>
        <w:rFonts w:ascii="Symbol" w:hAnsi="Symbol" w:hint="default"/>
      </w:rPr>
    </w:lvl>
    <w:lvl w:ilvl="4" w:tplc="6A9687B4" w:tentative="1">
      <w:start w:val="1"/>
      <w:numFmt w:val="bullet"/>
      <w:lvlText w:val="o"/>
      <w:lvlJc w:val="left"/>
      <w:pPr>
        <w:ind w:left="3600" w:hanging="360"/>
      </w:pPr>
      <w:rPr>
        <w:rFonts w:ascii="Courier New" w:hAnsi="Courier New" w:cs="Courier New" w:hint="default"/>
      </w:rPr>
    </w:lvl>
    <w:lvl w:ilvl="5" w:tplc="8C483E72" w:tentative="1">
      <w:start w:val="1"/>
      <w:numFmt w:val="bullet"/>
      <w:lvlText w:val=""/>
      <w:lvlJc w:val="left"/>
      <w:pPr>
        <w:ind w:left="4320" w:hanging="360"/>
      </w:pPr>
      <w:rPr>
        <w:rFonts w:ascii="Wingdings" w:hAnsi="Wingdings" w:hint="default"/>
      </w:rPr>
    </w:lvl>
    <w:lvl w:ilvl="6" w:tplc="24AE91B2" w:tentative="1">
      <w:start w:val="1"/>
      <w:numFmt w:val="bullet"/>
      <w:lvlText w:val=""/>
      <w:lvlJc w:val="left"/>
      <w:pPr>
        <w:ind w:left="5040" w:hanging="360"/>
      </w:pPr>
      <w:rPr>
        <w:rFonts w:ascii="Symbol" w:hAnsi="Symbol" w:hint="default"/>
      </w:rPr>
    </w:lvl>
    <w:lvl w:ilvl="7" w:tplc="E3548B4C" w:tentative="1">
      <w:start w:val="1"/>
      <w:numFmt w:val="bullet"/>
      <w:lvlText w:val="o"/>
      <w:lvlJc w:val="left"/>
      <w:pPr>
        <w:ind w:left="5760" w:hanging="360"/>
      </w:pPr>
      <w:rPr>
        <w:rFonts w:ascii="Courier New" w:hAnsi="Courier New" w:cs="Courier New" w:hint="default"/>
      </w:rPr>
    </w:lvl>
    <w:lvl w:ilvl="8" w:tplc="82881C5A"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7"/>
    <w:docVar w:name="strSubDir" w:val="1193"/>
    <w:docVar w:name="TXTLANGUE" w:val="RO"/>
    <w:docVar w:name="TXTLANGUEMIN" w:val="ro"/>
    <w:docVar w:name="TXTNRB" w:val="0180/2019"/>
    <w:docVar w:name="TXTNRPE" w:val="643.348"/>
    <w:docVar w:name="TXTNRRSP" w:val="2019/2876"/>
    <w:docVar w:name="TXTPEorAP" w:val="PE"/>
    <w:docVar w:name="TXTROUTE" w:val="RE\1193055RO.docx"/>
    <w:docVar w:name="TXTTITLE" w:val="Children Rights in occasion of the 30th anniversary of the Convention of the Rights of the Child"/>
    <w:docVar w:name="TXTVERSION" w:val="01-00"/>
  </w:docVars>
  <w:rsids>
    <w:rsidRoot w:val="00364FE7"/>
    <w:rsid w:val="00037F46"/>
    <w:rsid w:val="00094DDA"/>
    <w:rsid w:val="000E1ACD"/>
    <w:rsid w:val="000E65E0"/>
    <w:rsid w:val="00103766"/>
    <w:rsid w:val="0011583C"/>
    <w:rsid w:val="00117781"/>
    <w:rsid w:val="001241CE"/>
    <w:rsid w:val="00142D4F"/>
    <w:rsid w:val="00156E8A"/>
    <w:rsid w:val="001B49A3"/>
    <w:rsid w:val="001B7CFB"/>
    <w:rsid w:val="001C16A7"/>
    <w:rsid w:val="001C62C5"/>
    <w:rsid w:val="001E2450"/>
    <w:rsid w:val="00205066"/>
    <w:rsid w:val="00217D3C"/>
    <w:rsid w:val="00222BBB"/>
    <w:rsid w:val="00222E71"/>
    <w:rsid w:val="002574AA"/>
    <w:rsid w:val="002669E2"/>
    <w:rsid w:val="00293113"/>
    <w:rsid w:val="002C7767"/>
    <w:rsid w:val="002D19FB"/>
    <w:rsid w:val="00303413"/>
    <w:rsid w:val="003215BD"/>
    <w:rsid w:val="00343794"/>
    <w:rsid w:val="00355FA5"/>
    <w:rsid w:val="00364FE7"/>
    <w:rsid w:val="003772FA"/>
    <w:rsid w:val="00395849"/>
    <w:rsid w:val="003A075C"/>
    <w:rsid w:val="003D06D6"/>
    <w:rsid w:val="00410DB1"/>
    <w:rsid w:val="00411D03"/>
    <w:rsid w:val="00412503"/>
    <w:rsid w:val="00462482"/>
    <w:rsid w:val="00471D62"/>
    <w:rsid w:val="00477612"/>
    <w:rsid w:val="004A1459"/>
    <w:rsid w:val="004B5166"/>
    <w:rsid w:val="004E3A06"/>
    <w:rsid w:val="00516BD3"/>
    <w:rsid w:val="0058312A"/>
    <w:rsid w:val="00592BEB"/>
    <w:rsid w:val="005A2605"/>
    <w:rsid w:val="005D6861"/>
    <w:rsid w:val="005D6DA6"/>
    <w:rsid w:val="00646270"/>
    <w:rsid w:val="00654CBD"/>
    <w:rsid w:val="006726A1"/>
    <w:rsid w:val="0068676B"/>
    <w:rsid w:val="006A27B7"/>
    <w:rsid w:val="006E6811"/>
    <w:rsid w:val="006F48B8"/>
    <w:rsid w:val="00706BC0"/>
    <w:rsid w:val="00721786"/>
    <w:rsid w:val="00723A0B"/>
    <w:rsid w:val="007256B8"/>
    <w:rsid w:val="007362AE"/>
    <w:rsid w:val="00755915"/>
    <w:rsid w:val="00772CC5"/>
    <w:rsid w:val="00780A7D"/>
    <w:rsid w:val="007C3291"/>
    <w:rsid w:val="007E1E11"/>
    <w:rsid w:val="00814BC6"/>
    <w:rsid w:val="008278C0"/>
    <w:rsid w:val="008508CD"/>
    <w:rsid w:val="00866D70"/>
    <w:rsid w:val="00873258"/>
    <w:rsid w:val="008A3529"/>
    <w:rsid w:val="008A4052"/>
    <w:rsid w:val="008D7B31"/>
    <w:rsid w:val="008E78D4"/>
    <w:rsid w:val="008F4DC7"/>
    <w:rsid w:val="00907285"/>
    <w:rsid w:val="00910F7E"/>
    <w:rsid w:val="00981ED6"/>
    <w:rsid w:val="009A46CD"/>
    <w:rsid w:val="009D09DB"/>
    <w:rsid w:val="009D24DE"/>
    <w:rsid w:val="009E3FC8"/>
    <w:rsid w:val="00A114EE"/>
    <w:rsid w:val="00A32337"/>
    <w:rsid w:val="00A32958"/>
    <w:rsid w:val="00A4763A"/>
    <w:rsid w:val="00A516B8"/>
    <w:rsid w:val="00A8795A"/>
    <w:rsid w:val="00A90219"/>
    <w:rsid w:val="00AE3197"/>
    <w:rsid w:val="00B34A46"/>
    <w:rsid w:val="00B61CA6"/>
    <w:rsid w:val="00B90331"/>
    <w:rsid w:val="00BC2024"/>
    <w:rsid w:val="00BC3002"/>
    <w:rsid w:val="00BC6BF6"/>
    <w:rsid w:val="00BF03EC"/>
    <w:rsid w:val="00BF2C2D"/>
    <w:rsid w:val="00C23264"/>
    <w:rsid w:val="00C4455C"/>
    <w:rsid w:val="00C85195"/>
    <w:rsid w:val="00CC09D8"/>
    <w:rsid w:val="00D12F64"/>
    <w:rsid w:val="00D17055"/>
    <w:rsid w:val="00D44718"/>
    <w:rsid w:val="00D609E9"/>
    <w:rsid w:val="00D90D37"/>
    <w:rsid w:val="00DB11CB"/>
    <w:rsid w:val="00DB447B"/>
    <w:rsid w:val="00DC3C6F"/>
    <w:rsid w:val="00DE058B"/>
    <w:rsid w:val="00DF5863"/>
    <w:rsid w:val="00DF5F75"/>
    <w:rsid w:val="00DF7943"/>
    <w:rsid w:val="00E53167"/>
    <w:rsid w:val="00EA43FB"/>
    <w:rsid w:val="00EB4145"/>
    <w:rsid w:val="00EC05E9"/>
    <w:rsid w:val="00ED22B8"/>
    <w:rsid w:val="00F02A2C"/>
    <w:rsid w:val="00F26DE8"/>
    <w:rsid w:val="00F4455A"/>
    <w:rsid w:val="00F7050A"/>
    <w:rsid w:val="00F805FF"/>
    <w:rsid w:val="00F959BA"/>
    <w:rsid w:val="00FA25B5"/>
    <w:rsid w:val="00FF24C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58EA"/>
  <w15:chartTrackingRefBased/>
  <w15:docId w15:val="{7D566C12-722F-41F6-A1DF-8D232087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semiHidden="1"/>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ListParagraph">
    <w:name w:val="List Paragraph"/>
    <w:basedOn w:val="Normal"/>
    <w:uiPriority w:val="34"/>
    <w:qFormat/>
    <w:rsid w:val="00C85195"/>
    <w:pPr>
      <w:widowControl/>
      <w:ind w:left="720"/>
      <w:contextualSpacing/>
      <w:jc w:val="both"/>
    </w:pPr>
    <w:rPr>
      <w:rFonts w:eastAsiaTheme="minorHAnsi"/>
      <w:szCs w:val="24"/>
      <w:lang w:eastAsia="en-US"/>
    </w:rPr>
  </w:style>
  <w:style w:type="paragraph" w:customStyle="1" w:styleId="Normal12Hanging">
    <w:name w:val="Normal12Hanging"/>
    <w:basedOn w:val="Normal"/>
    <w:rsid w:val="00C85195"/>
    <w:pPr>
      <w:spacing w:after="240"/>
      <w:ind w:left="567" w:hanging="567"/>
    </w:pPr>
  </w:style>
  <w:style w:type="character" w:styleId="Hyperlink">
    <w:name w:val="Hyperlink"/>
    <w:basedOn w:val="DefaultParagraphFont"/>
    <w:uiPriority w:val="99"/>
    <w:unhideWhenUsed/>
    <w:rsid w:val="00C85195"/>
    <w:rPr>
      <w:color w:val="0563C1" w:themeColor="hyperlink"/>
      <w:u w:val="single"/>
    </w:rPr>
  </w:style>
  <w:style w:type="paragraph" w:styleId="FootnoteText">
    <w:name w:val="footnote text"/>
    <w:basedOn w:val="Normal"/>
    <w:link w:val="FootnoteTextChar"/>
    <w:uiPriority w:val="99"/>
    <w:unhideWhenUsed/>
    <w:rsid w:val="00C85195"/>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C85195"/>
    <w:rPr>
      <w:rFonts w:eastAsiaTheme="minorHAnsi"/>
      <w:lang w:eastAsia="en-US"/>
    </w:rPr>
  </w:style>
  <w:style w:type="character" w:styleId="FootnoteReference">
    <w:name w:val="footnote reference"/>
    <w:basedOn w:val="DefaultParagraphFont"/>
    <w:uiPriority w:val="99"/>
    <w:unhideWhenUsed/>
    <w:rsid w:val="00C85195"/>
    <w:rPr>
      <w:vertAlign w:val="superscript"/>
    </w:rPr>
  </w:style>
  <w:style w:type="paragraph" w:styleId="Footer">
    <w:name w:val="footer"/>
    <w:basedOn w:val="Normal"/>
    <w:link w:val="FooterChar"/>
    <w:semiHidden/>
    <w:rsid w:val="00205066"/>
    <w:pPr>
      <w:tabs>
        <w:tab w:val="center" w:pos="4513"/>
        <w:tab w:val="right" w:pos="9026"/>
      </w:tabs>
    </w:pPr>
  </w:style>
  <w:style w:type="character" w:customStyle="1" w:styleId="FooterChar">
    <w:name w:val="Footer Char"/>
    <w:basedOn w:val="DefaultParagraphFont"/>
    <w:link w:val="Footer"/>
    <w:semiHidden/>
    <w:rsid w:val="00205066"/>
    <w:rPr>
      <w:sz w:val="24"/>
    </w:rPr>
  </w:style>
  <w:style w:type="character" w:styleId="CommentReference">
    <w:name w:val="annotation reference"/>
    <w:basedOn w:val="DefaultParagraphFont"/>
    <w:uiPriority w:val="99"/>
    <w:rsid w:val="00AE3197"/>
    <w:rPr>
      <w:sz w:val="16"/>
      <w:szCs w:val="16"/>
    </w:rPr>
  </w:style>
  <w:style w:type="paragraph" w:styleId="CommentText">
    <w:name w:val="annotation text"/>
    <w:basedOn w:val="Normal"/>
    <w:link w:val="CommentTextChar"/>
    <w:uiPriority w:val="99"/>
    <w:rsid w:val="00AE3197"/>
    <w:rPr>
      <w:sz w:val="20"/>
    </w:rPr>
  </w:style>
  <w:style w:type="character" w:customStyle="1" w:styleId="CommentTextChar">
    <w:name w:val="Comment Text Char"/>
    <w:basedOn w:val="DefaultParagraphFont"/>
    <w:link w:val="CommentText"/>
    <w:uiPriority w:val="99"/>
    <w:rsid w:val="00AE3197"/>
  </w:style>
  <w:style w:type="paragraph" w:styleId="CommentSubject">
    <w:name w:val="annotation subject"/>
    <w:basedOn w:val="CommentText"/>
    <w:next w:val="CommentText"/>
    <w:link w:val="CommentSubjectChar"/>
    <w:rsid w:val="00AE3197"/>
    <w:rPr>
      <w:b/>
      <w:bCs/>
    </w:rPr>
  </w:style>
  <w:style w:type="character" w:customStyle="1" w:styleId="CommentSubjectChar">
    <w:name w:val="Comment Subject Char"/>
    <w:basedOn w:val="CommentTextChar"/>
    <w:link w:val="CommentSubject"/>
    <w:rsid w:val="00AE3197"/>
    <w:rPr>
      <w:b/>
      <w:bCs/>
    </w:rPr>
  </w:style>
  <w:style w:type="paragraph" w:styleId="BalloonText">
    <w:name w:val="Balloon Text"/>
    <w:basedOn w:val="Normal"/>
    <w:link w:val="BalloonTextChar"/>
    <w:rsid w:val="00AE3197"/>
    <w:rPr>
      <w:rFonts w:ascii="Segoe UI" w:hAnsi="Segoe UI" w:cs="Segoe UI"/>
      <w:sz w:val="18"/>
      <w:szCs w:val="18"/>
    </w:rPr>
  </w:style>
  <w:style w:type="character" w:customStyle="1" w:styleId="BalloonTextChar">
    <w:name w:val="Balloon Text Char"/>
    <w:basedOn w:val="DefaultParagraphFont"/>
    <w:link w:val="BalloonText"/>
    <w:rsid w:val="00AE3197"/>
    <w:rPr>
      <w:rFonts w:ascii="Segoe UI" w:hAnsi="Segoe UI" w:cs="Segoe UI"/>
      <w:sz w:val="18"/>
      <w:szCs w:val="18"/>
    </w:rPr>
  </w:style>
  <w:style w:type="paragraph" w:styleId="Revision">
    <w:name w:val="Revision"/>
    <w:hidden/>
    <w:uiPriority w:val="99"/>
    <w:semiHidden/>
    <w:rsid w:val="007C3291"/>
    <w:rPr>
      <w:sz w:val="24"/>
    </w:rPr>
  </w:style>
  <w:style w:type="character" w:styleId="FollowedHyperlink">
    <w:name w:val="FollowedHyperlink"/>
    <w:basedOn w:val="DefaultParagraphFont"/>
    <w:rsid w:val="00DE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hilrendeclaration.typeform.com/to/h8dSPt" TargetMode="External"/><Relationship Id="rId3" Type="http://schemas.openxmlformats.org/officeDocument/2006/relationships/hyperlink" Target="https://ec.europa.eu/home-affairs/sites/homeaffairs/files/what-we-do/policies/european-agenda-security/20181204_data-collection-study.pdf" TargetMode="External"/><Relationship Id="rId7" Type="http://schemas.openxmlformats.org/officeDocument/2006/relationships/hyperlink" Target="https://www.un.org/en/ga/search/view_doc.asp?symbol=A/RES/71/1" TargetMode="External"/><Relationship Id="rId2" Type="http://schemas.openxmlformats.org/officeDocument/2006/relationships/hyperlink" Target="https://fra.europa.eu/sites/default/files/fra_uploads/fra-2018-combating-child-poverty_en.pdf" TargetMode="External"/><Relationship Id="rId1" Type="http://schemas.openxmlformats.org/officeDocument/2006/relationships/hyperlink" Target="https://fra.europa.eu/sites/default/files/fra_uploads/fra-2018-combating-child-poverty_en.pdf" TargetMode="External"/><Relationship Id="rId6" Type="http://schemas.openxmlformats.org/officeDocument/2006/relationships/hyperlink" Target="https://rm.coe.int/16804b2cf3" TargetMode="External"/><Relationship Id="rId5" Type="http://schemas.openxmlformats.org/officeDocument/2006/relationships/hyperlink" Target="https://eur-lex.europa.eu/legal-content/RO/TXT/?uri=COM%3A2012%3A0196%3AFIN" TargetMode="External"/><Relationship Id="rId4" Type="http://schemas.openxmlformats.org/officeDocument/2006/relationships/hyperlink" Target="https://web.archive.org/web/20190928174029/https://storage.googleapis.com/pub-tools-public-publication-data/pdf/b6555a1018a750f39028005bfdb9f35eaee4b9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8C7A-927A-4960-810B-0FDDA867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6314</Words>
  <Characters>36563</Characters>
  <Application>Microsoft Office Word</Application>
  <DocSecurity>0</DocSecurity>
  <Lines>571</Lines>
  <Paragraphs>154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creator>LUTOVS Vladimirs</dc:creator>
  <cp:lastModifiedBy>DIACONESCU Simona</cp:lastModifiedBy>
  <cp:revision>2</cp:revision>
  <cp:lastPrinted>2004-11-19T15:55:00Z</cp:lastPrinted>
  <dcterms:created xsi:type="dcterms:W3CDTF">2019-11-22T14:01:00Z</dcterms:created>
  <dcterms:modified xsi:type="dcterms:W3CDTF">2019-11-22T14:01:00Z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1193055</vt:lpwstr>
  </property>
  <property fmtid="{D5CDD505-2E9C-101B-9397-08002B2CF9AE}" pid="3" name="&lt;Model&gt;">
    <vt:lpwstr>RE_Statements</vt:lpwstr>
  </property>
  <property fmtid="{D5CDD505-2E9C-101B-9397-08002B2CF9AE}" pid="4" name="&lt;ModelCod&gt;">
    <vt:lpwstr>\\eiciLUXpr1\pdocep$\DocEP\DOCS\General\RE\RE_Statements.dotx(15/10/2019 06:18:29)</vt:lpwstr>
  </property>
  <property fmtid="{D5CDD505-2E9C-101B-9397-08002B2CF9AE}" pid="5" name="&lt;ModelTra&gt;">
    <vt:lpwstr>\\eiciLUXpr1\pdocep$\DocEP\TRANSFIL\EN\RE_Statements.EN(25/06/2019 11:01:00)</vt:lpwstr>
  </property>
  <property fmtid="{D5CDD505-2E9C-101B-9397-08002B2CF9AE}" pid="6" name="&lt;Type&gt;">
    <vt:lpwstr>RE</vt:lpwstr>
  </property>
  <property fmtid="{D5CDD505-2E9C-101B-9397-08002B2CF9AE}" pid="7" name="Bookout">
    <vt:lpwstr>OK - 2019/11/22 15:01</vt:lpwstr>
  </property>
  <property fmtid="{D5CDD505-2E9C-101B-9397-08002B2CF9AE}" pid="8" name="Created with">
    <vt:lpwstr>9.8.0 Build [20191010]</vt:lpwstr>
  </property>
  <property fmtid="{D5CDD505-2E9C-101B-9397-08002B2CF9AE}" pid="9" name="FooterPath">
    <vt:lpwstr>RE\1193055RO.docx</vt:lpwstr>
  </property>
  <property fmtid="{D5CDD505-2E9C-101B-9397-08002B2CF9AE}" pid="10" name="LastEdited with">
    <vt:lpwstr>9.8.0 Build [20191010]</vt:lpwstr>
  </property>
  <property fmtid="{D5CDD505-2E9C-101B-9397-08002B2CF9AE}" pid="11" name="PE number">
    <vt:lpwstr>643.348</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