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293E38" w14:paraId="07C215CD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6A3EDCF7" w14:textId="77777777" w:rsidR="00706BC0" w:rsidRPr="00293E38" w:rsidRDefault="00661AAE" w:rsidP="00F26DE8">
            <w:pPr>
              <w:pStyle w:val="EPName"/>
            </w:pPr>
            <w:r>
              <w:t>Parlament Europejski</w:t>
            </w:r>
          </w:p>
          <w:p w14:paraId="08AFDA82" w14:textId="77777777" w:rsidR="00706BC0" w:rsidRPr="00293E38" w:rsidRDefault="00044D1C" w:rsidP="00044D1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14:paraId="5D5E5A7B" w14:textId="77777777" w:rsidR="00706BC0" w:rsidRPr="00293E38" w:rsidRDefault="001E2450" w:rsidP="00F26DE8">
            <w:pPr>
              <w:pStyle w:val="EPLogo"/>
            </w:pPr>
            <w:r w:rsidRPr="00293E38">
              <w:rPr>
                <w:lang w:val="en-GB"/>
              </w:rPr>
              <w:drawing>
                <wp:inline distT="0" distB="0" distL="0" distR="0" wp14:anchorId="28B4E3DA" wp14:editId="3E95E721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B0947" w14:textId="77777777" w:rsidR="00E53167" w:rsidRPr="00293E38" w:rsidRDefault="00E53167" w:rsidP="00E53167">
      <w:pPr>
        <w:pStyle w:val="LineTop"/>
      </w:pPr>
    </w:p>
    <w:p w14:paraId="772FBE48" w14:textId="77777777" w:rsidR="00E53167" w:rsidRPr="00916EC9" w:rsidRDefault="00044D1C" w:rsidP="00E53167">
      <w:pPr>
        <w:pStyle w:val="EPBody"/>
      </w:pPr>
      <w:r>
        <w:t>Dokument z posiedzenia</w:t>
      </w:r>
    </w:p>
    <w:p w14:paraId="7DA3DA05" w14:textId="77777777" w:rsidR="00094DDA" w:rsidRPr="00916EC9" w:rsidRDefault="00094DDA" w:rsidP="00094DDA">
      <w:pPr>
        <w:pStyle w:val="LineBottom"/>
        <w:rPr>
          <w:lang w:val="en-GB"/>
        </w:rPr>
      </w:pPr>
    </w:p>
    <w:p w14:paraId="11EFFA6A" w14:textId="45CFBAC9" w:rsidR="00094DDA" w:rsidRPr="00916EC9" w:rsidRDefault="00094DDA" w:rsidP="00094DDA">
      <w:pPr>
        <w:pStyle w:val="CoverReference"/>
      </w:pPr>
      <w:r>
        <w:rPr>
          <w:rStyle w:val="HideTWBExt"/>
          <w:b w:val="0"/>
          <w:noProof w:val="0"/>
          <w:lang w:val="en-GB"/>
        </w:rPr>
        <w:t>&lt;NoDocSe&gt;</w:t>
      </w:r>
      <w:r>
        <w:t>B9-0240/2019</w:t>
      </w:r>
      <w:r>
        <w:rPr>
          <w:rStyle w:val="HideTWBExt"/>
          <w:b w:val="0"/>
          <w:noProof w:val="0"/>
          <w:lang w:val="en-GB"/>
        </w:rPr>
        <w:t>&lt;/NoDocSe&gt;</w:t>
      </w:r>
    </w:p>
    <w:p w14:paraId="3E666D14" w14:textId="77777777" w:rsidR="00094DDA" w:rsidRPr="00916EC9" w:rsidRDefault="00094DDA" w:rsidP="00094DDA">
      <w:pPr>
        <w:pStyle w:val="CoverDate"/>
      </w:pPr>
      <w:r>
        <w:rPr>
          <w:rStyle w:val="HideTWBExt"/>
          <w:noProof w:val="0"/>
          <w:lang w:val="en-GB"/>
        </w:rPr>
        <w:t>&lt;Date&gt;</w:t>
      </w:r>
      <w:r>
        <w:rPr>
          <w:rStyle w:val="HideTWBInt"/>
          <w:lang w:val="en-GB"/>
        </w:rPr>
        <w:t>{16/12/2019}</w:t>
      </w:r>
      <w:r>
        <w:t>16.12.2019</w:t>
      </w:r>
      <w:r>
        <w:rPr>
          <w:rStyle w:val="HideTWBExt"/>
          <w:noProof w:val="0"/>
          <w:lang w:val="en-GB"/>
        </w:rPr>
        <w:t>&lt;/Date&gt;</w:t>
      </w:r>
    </w:p>
    <w:p w14:paraId="7A73776C" w14:textId="77777777" w:rsidR="00814BC6" w:rsidRPr="00916EC9" w:rsidRDefault="00814BC6">
      <w:pPr>
        <w:pStyle w:val="CoverDocType24a"/>
      </w:pPr>
      <w:r>
        <w:rPr>
          <w:rStyle w:val="HideTWBExt"/>
          <w:b w:val="0"/>
          <w:noProof w:val="0"/>
          <w:lang w:val="en-GB"/>
        </w:rPr>
        <w:t>&lt;TitreType&gt;</w:t>
      </w:r>
      <w:r>
        <w:t>PROJEKT REZOLUCJI</w:t>
      </w:r>
      <w:r>
        <w:rPr>
          <w:rStyle w:val="HideTWBExt"/>
          <w:b w:val="0"/>
          <w:noProof w:val="0"/>
          <w:lang w:val="en-GB"/>
        </w:rPr>
        <w:t>&lt;/TitreType&gt;</w:t>
      </w:r>
    </w:p>
    <w:p w14:paraId="53D41EFF" w14:textId="77777777" w:rsidR="00726E90" w:rsidRDefault="00814BC6">
      <w:pPr>
        <w:pStyle w:val="CoverNormal12a"/>
      </w:pPr>
      <w:r>
        <w:rPr>
          <w:rStyle w:val="HideTWBExt"/>
          <w:noProof w:val="0"/>
          <w:lang w:val="en-GB"/>
        </w:rPr>
        <w:t>&lt;TitreSuite&gt;</w:t>
      </w:r>
      <w:r>
        <w:t>złożony w następstwie oświadczenia Komisji</w:t>
      </w:r>
    </w:p>
    <w:p w14:paraId="3AB95E4D" w14:textId="51A220E0" w:rsidR="00814BC6" w:rsidRPr="00916EC9" w:rsidRDefault="00814BC6">
      <w:pPr>
        <w:pStyle w:val="CoverNormal12a"/>
        <w:rPr>
          <w:rStyle w:val="HideTWBExt"/>
          <w:noProof w:val="0"/>
        </w:rPr>
      </w:pPr>
      <w:r>
        <w:rPr>
          <w:rStyle w:val="HideTWBExt"/>
          <w:noProof w:val="0"/>
          <w:lang w:val="en-GB"/>
        </w:rPr>
        <w:t>&lt;/TitreSuite&gt;</w:t>
      </w:r>
    </w:p>
    <w:p w14:paraId="74637162" w14:textId="061AD1CD" w:rsidR="00814BC6" w:rsidRPr="00916EC9" w:rsidRDefault="00814BC6">
      <w:pPr>
        <w:pStyle w:val="CoverNormal12a"/>
      </w:pPr>
      <w:r>
        <w:rPr>
          <w:rStyle w:val="HideTWBExt"/>
          <w:noProof w:val="0"/>
          <w:lang w:val="en-GB"/>
        </w:rPr>
        <w:t>&lt;TitreRecueil&gt;</w:t>
      </w:r>
      <w:bookmarkStart w:id="0" w:name="_GoBack"/>
      <w:bookmarkEnd w:id="0"/>
      <w:r>
        <w:t>zgodnie z art. 132 ust. 2 Regulaminu</w:t>
      </w:r>
      <w:r>
        <w:rPr>
          <w:rStyle w:val="HideTWBExt"/>
          <w:noProof w:val="0"/>
          <w:lang w:val="en-GB"/>
        </w:rPr>
        <w:t>&lt;/TitreRecueil&gt;</w:t>
      </w:r>
    </w:p>
    <w:p w14:paraId="2601AC65" w14:textId="227D405D" w:rsidR="000458EF" w:rsidRPr="00916EC9" w:rsidRDefault="000458EF" w:rsidP="000458EF">
      <w:pPr>
        <w:pStyle w:val="CoverNormal"/>
      </w:pPr>
      <w:r>
        <w:rPr>
          <w:rStyle w:val="HideTWBExt"/>
          <w:noProof w:val="0"/>
          <w:lang w:val="en-GB"/>
        </w:rPr>
        <w:t>&lt;Titre&gt;</w:t>
      </w:r>
      <w:r>
        <w:t>w sprawie praworządności na Malcie po ujawnieniu najnowszych informacji w sprawie morderstwa Daphne Caruany Galizii</w:t>
      </w:r>
      <w:r>
        <w:rPr>
          <w:rStyle w:val="HideTWBExt"/>
          <w:noProof w:val="0"/>
          <w:lang w:val="en-GB"/>
        </w:rPr>
        <w:t>&lt;/Titre&gt;</w:t>
      </w:r>
    </w:p>
    <w:p w14:paraId="293F78D5" w14:textId="77777777" w:rsidR="00C23264" w:rsidRPr="00916EC9" w:rsidRDefault="00C23264" w:rsidP="00C23264">
      <w:pPr>
        <w:pStyle w:val="CoverNormal24a"/>
      </w:pPr>
      <w:r>
        <w:rPr>
          <w:rStyle w:val="HideTWBExt"/>
          <w:noProof w:val="0"/>
          <w:lang w:val="en-GB"/>
        </w:rPr>
        <w:t>&lt;DocRef&gt;</w:t>
      </w:r>
      <w:r>
        <w:t>(2019/2954(RSP))</w:t>
      </w:r>
      <w:r>
        <w:rPr>
          <w:rStyle w:val="HideTWBExt"/>
          <w:noProof w:val="0"/>
          <w:lang w:val="en-GB"/>
        </w:rPr>
        <w:t>&lt;/DocRef&gt;</w:t>
      </w:r>
    </w:p>
    <w:p w14:paraId="030B4A91" w14:textId="77777777" w:rsidR="002574AA" w:rsidRPr="00916EC9" w:rsidRDefault="002574AA" w:rsidP="002574AA">
      <w:pPr>
        <w:pStyle w:val="CoverBold"/>
      </w:pPr>
      <w:r>
        <w:rPr>
          <w:rStyle w:val="HideTWBExt"/>
          <w:b w:val="0"/>
          <w:noProof w:val="0"/>
          <w:lang w:val="en-GB"/>
        </w:rPr>
        <w:t>&lt;RepeatBlock-By&gt;&lt;Depute&gt;</w:t>
      </w:r>
      <w:r>
        <w:t>Roberta Metsola, Antonio Tajani</w:t>
      </w:r>
      <w:r>
        <w:rPr>
          <w:rStyle w:val="HideTWBExt"/>
          <w:b w:val="0"/>
          <w:noProof w:val="0"/>
          <w:lang w:val="en-GB"/>
        </w:rPr>
        <w:t>&lt;/Depute&gt;</w:t>
      </w:r>
    </w:p>
    <w:p w14:paraId="63383F37" w14:textId="77777777" w:rsidR="002574AA" w:rsidRPr="00916EC9" w:rsidRDefault="002574AA" w:rsidP="002574AA">
      <w:pPr>
        <w:pStyle w:val="CoverNormal"/>
      </w:pPr>
      <w:r>
        <w:rPr>
          <w:rStyle w:val="HideTWBExt"/>
          <w:noProof w:val="0"/>
          <w:lang w:val="en-GB"/>
        </w:rPr>
        <w:t>&lt;Commission&gt;</w:t>
      </w:r>
      <w:r>
        <w:rPr>
          <w:rStyle w:val="HideTWBInt"/>
          <w:lang w:val="en-GB"/>
        </w:rPr>
        <w:t>{PPE}</w:t>
      </w:r>
      <w:r>
        <w:t>w imieniu grupy PPE</w:t>
      </w:r>
      <w:r>
        <w:rPr>
          <w:rStyle w:val="HideTWBExt"/>
          <w:noProof w:val="0"/>
          <w:lang w:val="en-GB"/>
        </w:rPr>
        <w:t>&lt;/Commission&gt;</w:t>
      </w:r>
    </w:p>
    <w:p w14:paraId="7FDE1711" w14:textId="77777777" w:rsidR="00044D1C" w:rsidRPr="00916EC9" w:rsidRDefault="00044D1C" w:rsidP="00044D1C">
      <w:pPr>
        <w:pStyle w:val="CoverBold"/>
      </w:pPr>
      <w:r>
        <w:rPr>
          <w:rStyle w:val="HideTWBExt"/>
          <w:b w:val="0"/>
          <w:noProof w:val="0"/>
          <w:lang w:val="en-GB"/>
        </w:rPr>
        <w:t>&lt;Depute&gt;</w:t>
      </w:r>
      <w:r>
        <w:t>Claude Moraes, Juan Fernando López Aguilar, Birgit Sippel, Katarina Barley, Sylwia Spurek</w:t>
      </w:r>
      <w:r>
        <w:rPr>
          <w:rStyle w:val="HideTWBExt"/>
          <w:b w:val="0"/>
          <w:noProof w:val="0"/>
          <w:color w:val="auto"/>
          <w:lang w:val="en-GB"/>
        </w:rPr>
        <w:t>&lt;/Depute&gt;</w:t>
      </w:r>
    </w:p>
    <w:p w14:paraId="0627E236" w14:textId="77777777" w:rsidR="00044D1C" w:rsidRPr="00916EC9" w:rsidRDefault="00044D1C" w:rsidP="00044D1C">
      <w:pPr>
        <w:pStyle w:val="CoverNormal"/>
      </w:pPr>
      <w:r>
        <w:rPr>
          <w:rStyle w:val="HideTWBExt"/>
          <w:noProof w:val="0"/>
          <w:lang w:val="en-GB"/>
        </w:rPr>
        <w:t>&lt;Commission&gt;</w:t>
      </w:r>
      <w:r>
        <w:rPr>
          <w:rStyle w:val="HideTWBInt"/>
          <w:lang w:val="en-GB"/>
        </w:rPr>
        <w:t>{S&amp;D}</w:t>
      </w:r>
      <w:r>
        <w:t>w imieniu grupy S&amp;D</w:t>
      </w:r>
      <w:r>
        <w:rPr>
          <w:rStyle w:val="HideTWBExt"/>
          <w:noProof w:val="0"/>
          <w:lang w:val="en-GB"/>
        </w:rPr>
        <w:t>&lt;/Commission&gt;</w:t>
      </w:r>
    </w:p>
    <w:p w14:paraId="431DEEFC" w14:textId="4F778F66" w:rsidR="00044D1C" w:rsidRPr="00916EC9" w:rsidRDefault="00044D1C" w:rsidP="00044D1C">
      <w:pPr>
        <w:pStyle w:val="CoverBold"/>
      </w:pPr>
      <w:r>
        <w:rPr>
          <w:rStyle w:val="HideTWBExt"/>
          <w:b w:val="0"/>
          <w:noProof w:val="0"/>
          <w:lang w:val="en-GB"/>
        </w:rPr>
        <w:t>&lt;Depute&gt;</w:t>
      </w:r>
      <w:r>
        <w:t>Sophia in ’t Veld, Dragoş Tudorache, Ramona Strugariu, Michal Šimečka, Anna Júlia Donáth, Maite Pagazaurtundúa, Moritz Körner, Antony Hook, Fabienne Keller, Abir Al-Sahlani, Olivier Chastel, Karen Melchior</w:t>
      </w:r>
      <w:r>
        <w:rPr>
          <w:rStyle w:val="HideTWBExt"/>
          <w:b w:val="0"/>
          <w:noProof w:val="0"/>
          <w:lang w:val="en-GB"/>
        </w:rPr>
        <w:t>&lt;/Depute&gt;</w:t>
      </w:r>
    </w:p>
    <w:p w14:paraId="6E660A51" w14:textId="77777777" w:rsidR="00044D1C" w:rsidRPr="00916EC9" w:rsidRDefault="00044D1C" w:rsidP="00044D1C">
      <w:pPr>
        <w:pStyle w:val="CoverNormal"/>
      </w:pPr>
      <w:r>
        <w:rPr>
          <w:rStyle w:val="HideTWBExt"/>
          <w:noProof w:val="0"/>
          <w:lang w:val="en-GB"/>
        </w:rPr>
        <w:t>&lt;Commission&gt;</w:t>
      </w:r>
      <w:r>
        <w:rPr>
          <w:rStyle w:val="HideTWBInt"/>
          <w:lang w:val="en-GB"/>
        </w:rPr>
        <w:t>{Renew}</w:t>
      </w:r>
      <w:r>
        <w:t>w imieniu grupy Renew</w:t>
      </w:r>
      <w:r>
        <w:rPr>
          <w:rStyle w:val="HideTWBExt"/>
          <w:noProof w:val="0"/>
          <w:lang w:val="en-GB"/>
        </w:rPr>
        <w:t>&lt;/Commission&gt;</w:t>
      </w:r>
    </w:p>
    <w:p w14:paraId="5BA6BE49" w14:textId="75EC0C5A" w:rsidR="00044D1C" w:rsidRPr="00916EC9" w:rsidRDefault="00044D1C" w:rsidP="00044D1C">
      <w:pPr>
        <w:pStyle w:val="CoverBold"/>
      </w:pPr>
      <w:r>
        <w:rPr>
          <w:rStyle w:val="HideTWBExt"/>
          <w:b w:val="0"/>
          <w:noProof w:val="0"/>
          <w:lang w:val="en-GB"/>
        </w:rPr>
        <w:t>&lt;Depute&gt;</w:t>
      </w:r>
      <w:r>
        <w:t>Sven Giegold, Daniel Freund, Terry Reintke, Alice Kuhnke, Gwendoline Delbos-Corfield, Bronis Ropė, Henrike Hahn, Tineke Strik, Saskia Bricmont, Viola Von Cramon-Taubadel, Erik Marquardt, Diana Riba i Giner</w:t>
      </w:r>
      <w:r>
        <w:rPr>
          <w:rStyle w:val="HideTWBExt"/>
          <w:b w:val="0"/>
          <w:noProof w:val="0"/>
          <w:color w:val="auto"/>
          <w:lang w:val="en-GB"/>
        </w:rPr>
        <w:t>&lt;/Depute&gt;</w:t>
      </w:r>
    </w:p>
    <w:p w14:paraId="26DECFE9" w14:textId="77777777" w:rsidR="00044D1C" w:rsidRPr="00916EC9" w:rsidRDefault="00044D1C" w:rsidP="00044D1C">
      <w:pPr>
        <w:pStyle w:val="CoverNormal"/>
      </w:pPr>
      <w:r>
        <w:rPr>
          <w:rStyle w:val="HideTWBExt"/>
          <w:noProof w:val="0"/>
          <w:lang w:val="en-GB"/>
        </w:rPr>
        <w:t>&lt;Commission&gt;</w:t>
      </w:r>
      <w:r>
        <w:rPr>
          <w:rStyle w:val="HideTWBInt"/>
          <w:lang w:val="en-GB"/>
        </w:rPr>
        <w:t>{Verts/ALE}</w:t>
      </w:r>
      <w:r>
        <w:t>w imieniu grupy Verts/ALE</w:t>
      </w:r>
      <w:r>
        <w:rPr>
          <w:rStyle w:val="HideTWBExt"/>
          <w:noProof w:val="0"/>
          <w:lang w:val="en-GB"/>
        </w:rPr>
        <w:t>&lt;/Commission&gt;</w:t>
      </w:r>
    </w:p>
    <w:p w14:paraId="4CDAEBDF" w14:textId="77777777" w:rsidR="00044D1C" w:rsidRPr="00916EC9" w:rsidRDefault="00044D1C" w:rsidP="00044D1C">
      <w:pPr>
        <w:pStyle w:val="CoverBold"/>
      </w:pPr>
      <w:r>
        <w:rPr>
          <w:rStyle w:val="HideTWBExt"/>
          <w:b w:val="0"/>
          <w:noProof w:val="0"/>
          <w:lang w:val="en-GB"/>
        </w:rPr>
        <w:lastRenderedPageBreak/>
        <w:t>&lt;Depute&gt;</w:t>
      </w:r>
      <w:r>
        <w:t>Assita Kanko, Nicola Procaccini, Zdzisław Krasnodębski, Jadwiga Wiśniewska, Dace Melbārde</w:t>
      </w:r>
      <w:r>
        <w:rPr>
          <w:rStyle w:val="HideTWBExt"/>
          <w:b w:val="0"/>
          <w:noProof w:val="0"/>
          <w:color w:val="auto"/>
          <w:lang w:val="en-GB"/>
        </w:rPr>
        <w:t>&lt;/Depute&gt;</w:t>
      </w:r>
    </w:p>
    <w:p w14:paraId="059795C5" w14:textId="77777777" w:rsidR="00044D1C" w:rsidRPr="00916EC9" w:rsidRDefault="00044D1C" w:rsidP="00044D1C">
      <w:pPr>
        <w:pStyle w:val="CoverNormal"/>
      </w:pPr>
      <w:r>
        <w:rPr>
          <w:rStyle w:val="HideTWBExt"/>
          <w:noProof w:val="0"/>
          <w:lang w:val="en-GB"/>
        </w:rPr>
        <w:t>&lt;Commission&gt;</w:t>
      </w:r>
      <w:r>
        <w:rPr>
          <w:rStyle w:val="HideTWBInt"/>
          <w:lang w:val="en-GB"/>
        </w:rPr>
        <w:t>{ECR}</w:t>
      </w:r>
      <w:r>
        <w:t>w imieniu grupy ECR</w:t>
      </w:r>
      <w:r>
        <w:rPr>
          <w:rStyle w:val="HideTWBExt"/>
          <w:noProof w:val="0"/>
          <w:lang w:val="en-GB"/>
        </w:rPr>
        <w:t>&lt;/Commission&gt;</w:t>
      </w:r>
    </w:p>
    <w:p w14:paraId="23594C2F" w14:textId="31762C1F" w:rsidR="00044D1C" w:rsidRPr="00916EC9" w:rsidRDefault="00044D1C" w:rsidP="00044D1C">
      <w:pPr>
        <w:pStyle w:val="CoverBold"/>
      </w:pPr>
      <w:r>
        <w:rPr>
          <w:rStyle w:val="HideTWBExt"/>
          <w:b w:val="0"/>
          <w:noProof w:val="0"/>
          <w:lang w:val="en-GB"/>
        </w:rPr>
        <w:t>&lt;Depute&gt;</w:t>
      </w:r>
      <w:r>
        <w:t>Stelios Kouloglou, Konstantinos Arvanitis, Marisa Matias, José Gusmão, Manuel Bompard, Pernando Barrena Arza, Dimitrios Papadimoulis, Miguel Urbán Crespo, Idoia Villanueva Ruiz, Eugenia Rodríguez Palop, Anne-Sophie Pelletier, Manon Aubry, Petros Kokkalis, Niyazi Kizilyürek, Lucia Ďuriš Nicholsonová</w:t>
      </w:r>
      <w:r>
        <w:rPr>
          <w:rStyle w:val="HideTWBExt"/>
          <w:b w:val="0"/>
          <w:noProof w:val="0"/>
          <w:lang w:val="en-GB"/>
        </w:rPr>
        <w:t>&lt;/Depute&gt;</w:t>
      </w:r>
    </w:p>
    <w:p w14:paraId="33CC6198" w14:textId="77777777" w:rsidR="00044D1C" w:rsidRPr="00916EC9" w:rsidRDefault="00044D1C" w:rsidP="00044D1C">
      <w:pPr>
        <w:pStyle w:val="CoverNormal"/>
      </w:pPr>
      <w:r>
        <w:rPr>
          <w:rStyle w:val="HideTWBExt"/>
          <w:noProof w:val="0"/>
          <w:lang w:val="en-GB"/>
        </w:rPr>
        <w:t>&lt;Commission&gt;</w:t>
      </w:r>
      <w:r>
        <w:rPr>
          <w:rStyle w:val="HideTWBInt"/>
          <w:lang w:val="en-GB"/>
        </w:rPr>
        <w:t>{GUE/NGL}</w:t>
      </w:r>
      <w:r>
        <w:t>w imieniu grupy GUE/NGL</w:t>
      </w:r>
      <w:r>
        <w:rPr>
          <w:rStyle w:val="HideTWBExt"/>
          <w:noProof w:val="0"/>
          <w:lang w:val="en-GB"/>
        </w:rPr>
        <w:t>&lt;/Commission&gt;</w:t>
      </w:r>
    </w:p>
    <w:p w14:paraId="42C8D8BD" w14:textId="09B210F1" w:rsidR="00044D1C" w:rsidRPr="00916EC9" w:rsidRDefault="00044D1C" w:rsidP="00044D1C">
      <w:pPr>
        <w:pStyle w:val="CoverBold"/>
      </w:pPr>
      <w:r>
        <w:rPr>
          <w:rStyle w:val="HideTWBExt"/>
          <w:b w:val="0"/>
          <w:noProof w:val="0"/>
          <w:lang w:val="it-IT"/>
        </w:rPr>
        <w:t>&lt;Depute&gt;</w:t>
      </w:r>
      <w:r>
        <w:t>Ignazio Corrao, Eleonora Evi, Piernicola Pedicini, Tiziana Beghin, Mario Furore, Fabio Massimo Castaldo, Dino Giarrusso, Rosa D’Amato, Sabrina Pignedoli</w:t>
      </w:r>
      <w:r>
        <w:rPr>
          <w:rStyle w:val="HideTWBExt"/>
          <w:b w:val="0"/>
          <w:noProof w:val="0"/>
          <w:color w:val="auto"/>
          <w:lang w:val="it-IT"/>
        </w:rPr>
        <w:t>&lt;/Depute&gt;</w:t>
      </w:r>
    </w:p>
    <w:p w14:paraId="2E2FA04E" w14:textId="77777777" w:rsidR="002574AA" w:rsidRPr="00916EC9" w:rsidRDefault="002574AA" w:rsidP="002574AA">
      <w:pPr>
        <w:pStyle w:val="CoverNormal"/>
      </w:pPr>
      <w:r>
        <w:rPr>
          <w:rStyle w:val="HideTWBExt"/>
          <w:noProof w:val="0"/>
          <w:lang w:val="en-GB"/>
        </w:rPr>
        <w:t>&lt;/RepeatBlock-By&gt;</w:t>
      </w:r>
    </w:p>
    <w:p w14:paraId="74259B69" w14:textId="6E3D4C23" w:rsidR="00814BC6" w:rsidRPr="00916EC9" w:rsidRDefault="00814BC6">
      <w:pPr>
        <w:pStyle w:val="NormalBold12a"/>
      </w:pPr>
      <w:r>
        <w:br w:type="page"/>
      </w:r>
      <w:r>
        <w:lastRenderedPageBreak/>
        <w:t>B9-0240/2019</w:t>
      </w:r>
    </w:p>
    <w:p w14:paraId="61C80B7F" w14:textId="0FBDEC85" w:rsidR="000458EF" w:rsidRPr="00916EC9" w:rsidRDefault="000458EF" w:rsidP="000458EF">
      <w:pPr>
        <w:pStyle w:val="NormalBold"/>
      </w:pPr>
      <w:r>
        <w:t>Rezolucja Parlamentu Europejskiego w sprawie praworządności na Malcie po ujawnieniu najnowszych informacji w sprawie morderstwa Daphne Caruany Galizii</w:t>
      </w:r>
    </w:p>
    <w:p w14:paraId="526DE6D2" w14:textId="77777777" w:rsidR="000458EF" w:rsidRPr="00916EC9" w:rsidRDefault="000458EF" w:rsidP="000458EF">
      <w:pPr>
        <w:pStyle w:val="NormalBold"/>
      </w:pPr>
      <w:r>
        <w:t>(2019/2954(RSP))</w:t>
      </w:r>
    </w:p>
    <w:p w14:paraId="5D3CDE67" w14:textId="77777777" w:rsidR="00814BC6" w:rsidRPr="00916EC9" w:rsidRDefault="00661AAE">
      <w:pPr>
        <w:pStyle w:val="EPComma"/>
      </w:pPr>
      <w:r>
        <w:rPr>
          <w:i/>
        </w:rPr>
        <w:t>Parlament Europejski</w:t>
      </w:r>
      <w:r>
        <w:t>,</w:t>
      </w:r>
    </w:p>
    <w:p w14:paraId="032D06A3" w14:textId="77777777" w:rsidR="000458EF" w:rsidRPr="00916EC9" w:rsidRDefault="000458EF" w:rsidP="000458EF">
      <w:pPr>
        <w:pStyle w:val="NormalHanging12a"/>
        <w:rPr>
          <w:rStyle w:val="HideTWBExt"/>
          <w:rFonts w:ascii="Times New Roman" w:hAnsi="Times New Roman"/>
          <w:noProof w:val="0"/>
          <w:color w:val="000000"/>
          <w:sz w:val="24"/>
        </w:rPr>
      </w:pPr>
      <w:r>
        <w:t>–</w:t>
      </w:r>
      <w:r>
        <w:tab/>
        <w:t>uwzględniając art. 2, 4, 5, 6, 7, 9 i 10 Traktatu o Unii Europejskiej (TUE),</w:t>
      </w:r>
    </w:p>
    <w:p w14:paraId="7164604C" w14:textId="77777777" w:rsidR="000458EF" w:rsidRPr="00916EC9" w:rsidRDefault="000458EF" w:rsidP="000458EF">
      <w:pPr>
        <w:pStyle w:val="NormalHanging12a"/>
      </w:pPr>
      <w:r>
        <w:t>–</w:t>
      </w:r>
      <w:r>
        <w:tab/>
        <w:t>uwzględniając art. 20 Traktatu o funkcjonowaniu Unii Europejskiej (TFUE),</w:t>
      </w:r>
    </w:p>
    <w:p w14:paraId="32CF2F96" w14:textId="77777777" w:rsidR="000458EF" w:rsidRPr="00916EC9" w:rsidRDefault="000458EF" w:rsidP="000458EF">
      <w:pPr>
        <w:pStyle w:val="NormalHanging12a"/>
      </w:pPr>
      <w:r>
        <w:t>–</w:t>
      </w:r>
      <w:r>
        <w:tab/>
        <w:t>uwzględniając art. 6, 7, 8, 10, 11, 12 i 47 Karty praw podstawowych Unii Europejskiej,</w:t>
      </w:r>
    </w:p>
    <w:p w14:paraId="51614E28" w14:textId="77777777" w:rsidR="000458EF" w:rsidRPr="00916EC9" w:rsidRDefault="000458EF" w:rsidP="000458EF">
      <w:pPr>
        <w:pStyle w:val="NormalHanging12a"/>
      </w:pPr>
      <w:r>
        <w:t>–</w:t>
      </w:r>
      <w:r>
        <w:tab/>
        <w:t>uwzględniając opinię w sprawie przepisów konstytucyjnych, podziału władz, niezależności wymiaru sprawiedliwości i egzekwowania prawa na Malcie, przyjętą przez Komisję Wenecką na 117. sesji plenarnej (Wenecja, 14–15 grudnia 2018 r.),</w:t>
      </w:r>
    </w:p>
    <w:p w14:paraId="1D002502" w14:textId="50AA130F" w:rsidR="000458EF" w:rsidRPr="00916EC9" w:rsidRDefault="000458EF" w:rsidP="000458EF">
      <w:pPr>
        <w:pStyle w:val="NormalHanging12a"/>
      </w:pPr>
      <w:r>
        <w:t>–</w:t>
      </w:r>
      <w:r>
        <w:tab/>
        <w:t>uwzględniając sprawozdanie Komisji dla Parlamentu Europejskiego, Rady, Europejskiego Komitetu Ekonomiczno-Społecznego i Komitetu Regionów z dnia 23 stycznia 2019 r. zatytułowane „Programy obywatelstwa i ułatwień pobytowych dla inwestorów w Unii Europejskiej” (COM(2019)0012),</w:t>
      </w:r>
    </w:p>
    <w:p w14:paraId="2998745A" w14:textId="4104DB1B" w:rsidR="000458EF" w:rsidRPr="00916EC9" w:rsidRDefault="000458EF" w:rsidP="000458EF">
      <w:pPr>
        <w:pStyle w:val="NormalHanging12a"/>
      </w:pPr>
      <w:r>
        <w:t>–</w:t>
      </w:r>
      <w:r>
        <w:tab/>
        <w:t>uwzględniając swoją rezolucję z dnia 16 stycznia 2014 r. w sprawie obywatelstwa UE na sprzedaż</w:t>
      </w:r>
      <w:r w:rsidRPr="00293E38">
        <w:rPr>
          <w:rStyle w:val="FootnoteReference"/>
        </w:rPr>
        <w:footnoteReference w:id="1"/>
      </w:r>
      <w:r>
        <w:t xml:space="preserve"> oraz wspólne oświadczenie prasowe Komisji i władz Malty z dnia 29 stycznia 2014 r. w sprawie maltańskiego programu dla inwestorów indywidualnych,</w:t>
      </w:r>
    </w:p>
    <w:p w14:paraId="58B46421" w14:textId="2F9B172E" w:rsidR="000458EF" w:rsidRPr="00916EC9" w:rsidRDefault="000458EF" w:rsidP="000458EF">
      <w:pPr>
        <w:pStyle w:val="NormalHanging12a"/>
      </w:pPr>
      <w:r>
        <w:t>–</w:t>
      </w:r>
      <w:r>
        <w:tab/>
        <w:t>uwzględniając swoją rezolucję z dnia 25 października 2016 r. zawierającą zalecenia dla Komisji w kwestii utworzenia unijnego mechanizmu dotyczącego demokracji, praworządności i praw podstawowych</w:t>
      </w:r>
      <w:r w:rsidRPr="00293E38">
        <w:rPr>
          <w:rStyle w:val="FootnoteReference"/>
        </w:rPr>
        <w:footnoteReference w:id="2"/>
      </w:r>
      <w:r>
        <w:t xml:space="preserve"> oraz swoją rezolucję z dnia 14 listopada 2018 r. w sprawie potrzeby utworzenia kompleksowego mechanizmu UE na rzecz ochrony demokracji, praworządności i praw podstawowych</w:t>
      </w:r>
      <w:r w:rsidRPr="00293E38">
        <w:rPr>
          <w:rStyle w:val="FootnoteReference"/>
        </w:rPr>
        <w:footnoteReference w:id="3"/>
      </w:r>
      <w:r>
        <w:t>,</w:t>
      </w:r>
    </w:p>
    <w:p w14:paraId="1B72321D" w14:textId="6BD4FE93" w:rsidR="000458EF" w:rsidRPr="00916EC9" w:rsidRDefault="000458EF" w:rsidP="000458EF">
      <w:pPr>
        <w:pStyle w:val="NormalHanging12a"/>
      </w:pPr>
      <w:r>
        <w:t>–</w:t>
      </w:r>
      <w:r>
        <w:tab/>
        <w:t xml:space="preserve">uwzględniając swoją rezolucję z dnia 15 listopada 2017 r. w sprawie </w:t>
      </w:r>
      <w:bookmarkStart w:id="1" w:name="ref_1_4"/>
      <w:r>
        <w:t>praworządności na Malci</w:t>
      </w:r>
      <w:bookmarkEnd w:id="1"/>
      <w:r>
        <w:t>e</w:t>
      </w:r>
      <w:r w:rsidRPr="00293E38">
        <w:rPr>
          <w:rStyle w:val="FootnoteReference"/>
        </w:rPr>
        <w:footnoteReference w:id="4"/>
      </w:r>
      <w:r>
        <w:t>,</w:t>
      </w:r>
    </w:p>
    <w:p w14:paraId="06F93A23" w14:textId="65373673" w:rsidR="000458EF" w:rsidRPr="00916EC9" w:rsidRDefault="000458EF" w:rsidP="000458EF">
      <w:pPr>
        <w:pStyle w:val="NormalHanging12a"/>
      </w:pPr>
      <w:r>
        <w:t>–</w:t>
      </w:r>
      <w:r>
        <w:tab/>
        <w:t>uwzględniając swoją rezolucję z dnia 3 maja 2018 r. w sprawie pluralizmu mediów i wolności mediów w Unii Europejskiej</w:t>
      </w:r>
      <w:r w:rsidRPr="00293E38">
        <w:rPr>
          <w:rStyle w:val="FootnoteReference"/>
        </w:rPr>
        <w:footnoteReference w:id="5"/>
      </w:r>
      <w:r>
        <w:t>,</w:t>
      </w:r>
    </w:p>
    <w:p w14:paraId="2237FBA7" w14:textId="7538DA19" w:rsidR="000458EF" w:rsidRPr="00916EC9" w:rsidRDefault="000458EF" w:rsidP="000458EF">
      <w:pPr>
        <w:pStyle w:val="NormalHanging12a"/>
      </w:pPr>
      <w:r>
        <w:t>–</w:t>
      </w:r>
      <w:r>
        <w:tab/>
        <w:t xml:space="preserve">uwzględniając sprawozdanie z dnia 11 stycznia 2018 r. w sprawie wizyty ad hoc delegacji Komisji Wolności Obywatelskich, Sprawiedliwości i Spraw Wewnętrznych oraz komisji śledczej do zbadania zarzutów naruszenia prawa Unii i niewłaściwego administrowania w jego stosowaniu w odniesieniu do prania pieniędzy, unikania </w:t>
      </w:r>
      <w:r>
        <w:lastRenderedPageBreak/>
        <w:t>opodatkowania i uchylania się od opodatkowania (PANA) na Malcie w dniach 30 listopada – 1 grudnia 2017 r.,</w:t>
      </w:r>
    </w:p>
    <w:p w14:paraId="58BDEC37" w14:textId="1208B2B4" w:rsidR="000458EF" w:rsidRPr="00916EC9" w:rsidRDefault="000458EF" w:rsidP="000458EF">
      <w:pPr>
        <w:pStyle w:val="NormalHanging12a"/>
      </w:pPr>
      <w:r>
        <w:t>–</w:t>
      </w:r>
      <w:r>
        <w:tab/>
        <w:t>uwzględniając sprawozdanie z dnia 16 listopada 2018 r. w sprawie wizyty ad hoc delegacji Komisji Wolności Obywatelskich, Sprawiedliwości i Spraw Wewnętrznych na Malcie i na Słowacji w dniach 17–20 września 2018 r.,</w:t>
      </w:r>
    </w:p>
    <w:p w14:paraId="091BDCD1" w14:textId="41D58C5C" w:rsidR="000458EF" w:rsidRPr="00916EC9" w:rsidRDefault="000458EF" w:rsidP="000458EF">
      <w:pPr>
        <w:pStyle w:val="NormalHanging12a"/>
      </w:pPr>
      <w:r>
        <w:t>–</w:t>
      </w:r>
      <w:r>
        <w:tab/>
        <w:t>uwzględniając wysłuchania i wymiany poglądów przeprowadzone przez Grupę ds. Monitorowania Demokracji, Praworządności i Praw Podstawowych od dnia jej powołania przez Komisję Wolności Obywatelskich, Sprawiedliwości i Spraw Wewnętrznych w dniu 4 czerwca 2018 r.,</w:t>
      </w:r>
    </w:p>
    <w:p w14:paraId="0CF2E172" w14:textId="77777777" w:rsidR="000458EF" w:rsidRPr="00916EC9" w:rsidRDefault="000458EF" w:rsidP="000458EF">
      <w:pPr>
        <w:pStyle w:val="NormalHanging12a"/>
      </w:pPr>
      <w:r>
        <w:t>–</w:t>
      </w:r>
      <w:r>
        <w:tab/>
        <w:t>uwzględniając pismo premiera Malty z dnia 13 marca 2019 r.,</w:t>
      </w:r>
    </w:p>
    <w:p w14:paraId="5CBF89A3" w14:textId="7C9DB35E" w:rsidR="000458EF" w:rsidRPr="00916EC9" w:rsidRDefault="000458EF" w:rsidP="000458EF">
      <w:pPr>
        <w:pStyle w:val="NormalHanging12a"/>
      </w:pPr>
      <w:r>
        <w:t>–</w:t>
      </w:r>
      <w:r>
        <w:tab/>
        <w:t>uwzględniając rezolucję Zgromadzenia Parlamentarnego Rady Europy nr 2293 (2019) z dnia 26 czerwca 2019 r. pt. „Zabójstwo Daphne Caruany Galizii a praworządność na Malcie i poza nią – zadbanie o ujawnienie całej prawdy”,</w:t>
      </w:r>
    </w:p>
    <w:p w14:paraId="3B100709" w14:textId="35227AD2" w:rsidR="000458EF" w:rsidRPr="00916EC9" w:rsidRDefault="000458EF" w:rsidP="000458EF">
      <w:pPr>
        <w:pStyle w:val="NormalHanging12a"/>
      </w:pPr>
      <w:r>
        <w:t>–</w:t>
      </w:r>
      <w:r>
        <w:tab/>
        <w:t>uwzględniając pytanie skierowane do Komisji w sprawie stanu praworządności i zwalczania korupcji w UE, a zwłaszcza na Malcie i na Słowacji</w:t>
      </w:r>
      <w:r w:rsidRPr="00293E38">
        <w:rPr>
          <w:rStyle w:val="FootnoteReference"/>
        </w:rPr>
        <w:footnoteReference w:id="6"/>
      </w:r>
      <w:r>
        <w:t>,</w:t>
      </w:r>
    </w:p>
    <w:p w14:paraId="70EAAF6C" w14:textId="4183CBC3" w:rsidR="000458EF" w:rsidRPr="00916EC9" w:rsidRDefault="000458EF" w:rsidP="000458EF">
      <w:pPr>
        <w:pStyle w:val="NormalHanging12a"/>
      </w:pPr>
      <w:r>
        <w:t>–</w:t>
      </w:r>
      <w:r>
        <w:tab/>
        <w:t>uwzględniając delegację ad hoc Komisji Wolności Obywatelskich, Sprawiedliwości i Spraw Wewnętrznych na Maltę w dniach 3–4 grudnia 2019 r.,</w:t>
      </w:r>
    </w:p>
    <w:p w14:paraId="7658A330" w14:textId="77777777" w:rsidR="000458EF" w:rsidRPr="00916EC9" w:rsidRDefault="000458EF" w:rsidP="000458EF">
      <w:pPr>
        <w:pStyle w:val="NormalHanging12a"/>
      </w:pPr>
      <w:r>
        <w:t>–</w:t>
      </w:r>
      <w:r>
        <w:tab/>
        <w:t>uwzględniając art. 132 ust. 2 Regulaminu,</w:t>
      </w:r>
    </w:p>
    <w:p w14:paraId="41796A70" w14:textId="782CD5B9" w:rsidR="000458EF" w:rsidRPr="00916EC9" w:rsidRDefault="000458EF" w:rsidP="000458EF">
      <w:pPr>
        <w:pStyle w:val="NormalHanging12a"/>
      </w:pPr>
      <w:r>
        <w:t>A.</w:t>
      </w:r>
      <w:r>
        <w:tab/>
        <w:t>mając na uwadze, że Unia Europejska opiera się na takich wartościach jak poszanowanie godności osoby ludzkiej, wolności, demokracji, równości i praworządności, jak również poszanowanie praw człowieka, oraz mając na uwadze, że wartości te są uniwersalne i wspólne wszystkim państwom członkowskim;</w:t>
      </w:r>
    </w:p>
    <w:p w14:paraId="69F52A38" w14:textId="5F602F05" w:rsidR="000458EF" w:rsidRPr="00916EC9" w:rsidRDefault="000458EF" w:rsidP="000458EF">
      <w:pPr>
        <w:pStyle w:val="NormalHanging12a"/>
      </w:pPr>
      <w:r>
        <w:t>B.</w:t>
      </w:r>
      <w:r>
        <w:tab/>
        <w:t>mając na uwadze, że utrzymanie praworządności oraz poszanowanie demokracji, praw człowieka, podstawowych wolności, wartości i zasad zapisanych w traktatach UE i międzynarodowych instrumentach w zakresie praw człowieka należą do obowiązków Unii i jej państw członkowskich oraz że należy ich przestrzegać; mając na uwadze, że zgodnie z art. 2, art. 3 ust. 1 i art. 7 TUE Unia ma możliwość podjęcia działań w celu ochrony wspólnych wartości, na których została zbudowana, oraz mając na uwadze, że mechanizm praworządności powinien być stosowany w takim samym stopniu we wszystkich państwach członkowskich;</w:t>
      </w:r>
    </w:p>
    <w:p w14:paraId="7D6196E2" w14:textId="6EF261ED" w:rsidR="000458EF" w:rsidRPr="00916EC9" w:rsidRDefault="000458EF" w:rsidP="000458EF">
      <w:pPr>
        <w:pStyle w:val="NormalHanging12a"/>
        <w:rPr>
          <w:szCs w:val="24"/>
        </w:rPr>
      </w:pPr>
      <w:r>
        <w:t>C.</w:t>
      </w:r>
      <w:r>
        <w:tab/>
        <w:t>mając na uwadze, że Karta praw podstawowych Unii Europejskiej stanowi część prawa pierwotnego UE; mając na uwadze, że wolność wypowiedzi i wolność oraz pluralizm mediów to prawa zapisane w art. 11 Karty praw podstawowych i w art. 10 europejskiej konwencji praw człowieka (EKPC);</w:t>
      </w:r>
    </w:p>
    <w:p w14:paraId="23E65590" w14:textId="1B4163E6" w:rsidR="000458EF" w:rsidRPr="00916EC9" w:rsidRDefault="000458EF" w:rsidP="000458EF">
      <w:pPr>
        <w:pStyle w:val="NormalHanging12a"/>
        <w:rPr>
          <w:szCs w:val="24"/>
        </w:rPr>
      </w:pPr>
      <w:r>
        <w:t>D.</w:t>
      </w:r>
      <w:r>
        <w:tab/>
        <w:t xml:space="preserve">mając na uwadze, że niezawisłość sądownictwa, zapisana w art. 19 ust. 1 TFUE, art. 47 Karty praw podstawowych i art. 6 EKPC, jest niezbędnym wymogiem demokratycznej </w:t>
      </w:r>
      <w:r>
        <w:lastRenderedPageBreak/>
        <w:t>zasady podziału władzy;</w:t>
      </w:r>
    </w:p>
    <w:p w14:paraId="566D39B9" w14:textId="77777777" w:rsidR="000458EF" w:rsidRPr="00916EC9" w:rsidRDefault="000458EF" w:rsidP="000458EF">
      <w:pPr>
        <w:pStyle w:val="NormalHanging12a"/>
      </w:pPr>
      <w:r>
        <w:t>E.</w:t>
      </w:r>
      <w:r>
        <w:tab/>
        <w:t>mając na uwadze, że systematyczne odmawianie przez jedno państwo członkowskie przestrzegania podstawowych wartości Unii Europejskiej i traktatów, do których dobrowolnie przystąpiło, ma wpływ na całą UE;</w:t>
      </w:r>
    </w:p>
    <w:p w14:paraId="374C41D4" w14:textId="77777777" w:rsidR="000458EF" w:rsidRPr="00916EC9" w:rsidRDefault="000458EF" w:rsidP="000458EF">
      <w:pPr>
        <w:pStyle w:val="NormalHanging12a"/>
        <w:rPr>
          <w:b/>
          <w:i/>
        </w:rPr>
      </w:pPr>
      <w:r>
        <w:rPr>
          <w:b/>
          <w:i/>
        </w:rPr>
        <w:t>Dochodzenia</w:t>
      </w:r>
    </w:p>
    <w:p w14:paraId="038630C5" w14:textId="77777777" w:rsidR="000458EF" w:rsidRPr="00916EC9" w:rsidRDefault="000458EF" w:rsidP="000458EF">
      <w:pPr>
        <w:pStyle w:val="NormalHanging12a"/>
        <w:rPr>
          <w:szCs w:val="24"/>
        </w:rPr>
      </w:pPr>
      <w:r>
        <w:t>F.</w:t>
      </w:r>
      <w:r>
        <w:tab/>
        <w:t>mając na uwadze, że badająca korupcję maltańska dziennikarka śledcza i blogerka Daphne Caruana Galizia zginęła wskutek wybuchu samochodu-pułapki w dniu 16 października 2017 r.;</w:t>
      </w:r>
    </w:p>
    <w:p w14:paraId="4E09A55F" w14:textId="77777777" w:rsidR="000458EF" w:rsidRPr="00916EC9" w:rsidRDefault="000458EF" w:rsidP="000458EF">
      <w:pPr>
        <w:pStyle w:val="NormalHanging12a"/>
        <w:rPr>
          <w:szCs w:val="24"/>
        </w:rPr>
      </w:pPr>
      <w:r>
        <w:t>G.</w:t>
      </w:r>
      <w:r>
        <w:tab/>
        <w:t>mając na uwadze, że dochodzenie w sprawie zabójstwa, prowadzone przez władze maltańskie przy wsparciu Europolu, doprowadziło dotychczas do identyfikacji szeregu podejrzanych i jednego potencjalnego organizatora tego przestępstwa, właściciela przedsiębiorstwa 17 Black Ltd. z siedzibą w Dubaju, który został aresztowany 20 listopada 2019 r. w trakcie próby ucieczki jachtem z Malty;</w:t>
      </w:r>
    </w:p>
    <w:p w14:paraId="631A0301" w14:textId="48E6519F" w:rsidR="000458EF" w:rsidRPr="00916EC9" w:rsidRDefault="000458EF" w:rsidP="000458EF">
      <w:pPr>
        <w:pStyle w:val="NormalHanging12a"/>
        <w:rPr>
          <w:szCs w:val="24"/>
        </w:rPr>
      </w:pPr>
      <w:r>
        <w:t>H.</w:t>
      </w:r>
      <w:r>
        <w:tab/>
        <w:t>mając na uwadze, że jeden z domniemanych wspólników oraz domniemany organizator przestępstwa zeznali, że w planowanie i finansowanie tego morderstwa zamieszany jest były szef kancelarii premiera;</w:t>
      </w:r>
    </w:p>
    <w:p w14:paraId="77F220DD" w14:textId="05125876" w:rsidR="000458EF" w:rsidRPr="00916EC9" w:rsidRDefault="000458EF" w:rsidP="000458EF">
      <w:pPr>
        <w:pStyle w:val="NormalHanging12a"/>
        <w:rPr>
          <w:szCs w:val="24"/>
        </w:rPr>
      </w:pPr>
      <w:r>
        <w:t>I.</w:t>
      </w:r>
      <w:r>
        <w:tab/>
        <w:t>mając na uwadze, że te rewelacje doprowadziły do szeregu ogromnych demonstracji i protestów społecznych na Malcie, w których domagano się sprawiedliwości, pociągnięcia do odpowiedzialności i poszanowania praworządności;</w:t>
      </w:r>
    </w:p>
    <w:p w14:paraId="1EE3C6E2" w14:textId="1D998533" w:rsidR="000458EF" w:rsidRPr="00916EC9" w:rsidRDefault="000458EF" w:rsidP="000458EF">
      <w:pPr>
        <w:pStyle w:val="NormalHanging12a"/>
        <w:rPr>
          <w:szCs w:val="24"/>
        </w:rPr>
      </w:pPr>
      <w:r>
        <w:t>J.</w:t>
      </w:r>
      <w:r>
        <w:tab/>
        <w:t>mając na uwadze, że szef kancelarii premiera miał wgląd w informacje na temat bezpieczeństwa przekazywane przez policję i maltańską służbę bezpieczeństwa; mając na uwadze, że 26 listopada 2019 r. złożył on rezygnację po przesłuchaniu przez policję w sprawie Daphne Caruany Galizii; mając na uwadze, że od tego czasu był kilkakrotnie aresztowany, przesłuchiwany przez policję i zwalniany bez postawienia zarzutów;</w:t>
      </w:r>
    </w:p>
    <w:p w14:paraId="235184AD" w14:textId="57A75EE1" w:rsidR="000458EF" w:rsidRPr="00916EC9" w:rsidRDefault="000458EF" w:rsidP="000458EF">
      <w:pPr>
        <w:pStyle w:val="NormalHanging12a"/>
        <w:rPr>
          <w:szCs w:val="24"/>
        </w:rPr>
      </w:pPr>
      <w:r>
        <w:t>K.</w:t>
      </w:r>
      <w:r>
        <w:tab/>
        <w:t>mając na uwadze, że minister turystyki złożył również rezygnację 26 listopada 2019 r.; mając na uwadze, że tego samego dnia minister gospodarki zrezygnował z pełnienia obowiązków ministerialnych, ale 1 grudnia 2019 r. został przywrócony na stanowisko;</w:t>
      </w:r>
    </w:p>
    <w:p w14:paraId="095B99A6" w14:textId="194F1946" w:rsidR="000458EF" w:rsidRPr="00916EC9" w:rsidRDefault="000458EF" w:rsidP="000458EF">
      <w:pPr>
        <w:pStyle w:val="NormalHanging12a"/>
        <w:rPr>
          <w:szCs w:val="24"/>
        </w:rPr>
      </w:pPr>
      <w:r>
        <w:t>L.</w:t>
      </w:r>
      <w:r>
        <w:tab/>
        <w:t>mając na uwadze, że premier Malty ogłosił, że zrezygnuje ze stanowiska po wyborach na przywódcę partii, które odbędą się 12 stycznia 2020 r., w obliczu narastających niepokojów politycznych wokół śledztwa w sprawie morderstwa;</w:t>
      </w:r>
    </w:p>
    <w:p w14:paraId="1A221CA5" w14:textId="29D63C66" w:rsidR="000458EF" w:rsidRPr="00916EC9" w:rsidRDefault="000458EF" w:rsidP="000458EF">
      <w:pPr>
        <w:pStyle w:val="NormalHanging12a"/>
        <w:rPr>
          <w:szCs w:val="24"/>
        </w:rPr>
      </w:pPr>
      <w:r>
        <w:t>M.</w:t>
      </w:r>
      <w:r>
        <w:tab/>
        <w:t>mając na uwadze, że 20 września 2019 r. rząd maltański ogłosił wszczęcie „publicznego niezależnego dochodzenia w sprawie morderstwa Daphne Caruany Galizii”; mając na uwadze, że w związku z poważną krytyką ze strony rodziny Caruany Galizii i obserwatorów międzynarodowych premier mianował dwóch nowych członków komisji śledczej i znacznie zmienił zakres dochodzenia, który obecnie zadowala wszystkie strony;</w:t>
      </w:r>
    </w:p>
    <w:p w14:paraId="29B1A748" w14:textId="694AD4FB" w:rsidR="000458EF" w:rsidRPr="00916EC9" w:rsidRDefault="000458EF" w:rsidP="000458EF">
      <w:pPr>
        <w:pStyle w:val="NormalHanging12a"/>
      </w:pPr>
      <w:r>
        <w:t>N.</w:t>
      </w:r>
      <w:r>
        <w:tab/>
        <w:t xml:space="preserve">mając na uwadze, że podejrzany, który wedle przypuszczeń był pośrednikiem w morderstwie, został ułaskawiony przez prezydenta 25 listopada 2019 r. w zamian za </w:t>
      </w:r>
      <w:r>
        <w:lastRenderedPageBreak/>
        <w:t>przekazanie informacji, które doprowadzą do głównego organizatora przestępstwa, pod warunkiem, że wszystkie informacje zostaną potwierdzone przez dowody; mając na uwadze, że osoba podejrzana o zorganizowanie przestępstwa, której adwokat publicznie oświadczył, że może udzielić informacji na temat kulis morderstwa oraz korupcji z udziałem osób z bliskiego otoczenia premiera, w tym byłego szefa kancelarii oraz byłego ministra turystyki, wystąpiła z wnioskiem o ułaskawienie, który został odrzucony raz samodzielnie przez premiera i drugi raz przez rząd po zasięgnięciu opinii komisarza policji i prokuratora generalnego;</w:t>
      </w:r>
    </w:p>
    <w:p w14:paraId="1F6B379F" w14:textId="14B83429" w:rsidR="000458EF" w:rsidRPr="00916EC9" w:rsidRDefault="000458EF" w:rsidP="000458EF">
      <w:pPr>
        <w:pStyle w:val="NormalHanging12a"/>
      </w:pPr>
      <w:r>
        <w:t>O.</w:t>
      </w:r>
      <w:r>
        <w:tab/>
        <w:t>mając na uwadze, że dziesiątki organizacji społeczeństwa obywatelskiego, agencje medialne, organizacje studenckie, a także związki i stowarzyszenia zawodowe, takie jak Maltański Związek Pracodawców, Izba Przemysłowo-Handlowa i Izba Adwokacka, zaapelowały publicznie do premiera o rezygnację ze skutkiem natychmiastowym;</w:t>
      </w:r>
    </w:p>
    <w:p w14:paraId="6F4186A8" w14:textId="4B5BE1F1" w:rsidR="000458EF" w:rsidRPr="00916EC9" w:rsidRDefault="000458EF" w:rsidP="000458EF">
      <w:pPr>
        <w:pStyle w:val="NormalHanging12a"/>
        <w:rPr>
          <w:szCs w:val="24"/>
        </w:rPr>
      </w:pPr>
      <w:r>
        <w:t>P.</w:t>
      </w:r>
      <w:r>
        <w:tab/>
        <w:t>mając na uwadze, że nadal istnieją poważne obawy dotyczące walki z korupcją i przestępczością zorganizowaną na Malcie; mając na uwadze, że grozi to osłabieniem zaufania obywateli do instytucji publicznych, co może prowadzić do powstania niebezpiecznych powiązań między grupami przestępczymi a organami publicznymi;</w:t>
      </w:r>
    </w:p>
    <w:p w14:paraId="3FD7C834" w14:textId="77777777" w:rsidR="000458EF" w:rsidRPr="00916EC9" w:rsidRDefault="000458EF" w:rsidP="000458EF">
      <w:pPr>
        <w:pStyle w:val="NormalHanging12a"/>
      </w:pPr>
      <w:r>
        <w:t>Q.</w:t>
      </w:r>
      <w:r>
        <w:tab/>
        <w:t>mając na uwadze, że pomimo wielokrotnych apeli ze strony Parlamentu Europejskiego i innych instytucji międzynarodowych nie znaleziono rozwiązania kwestii prowizorycznego pomnika w Valletcie, ponieważ przepisy i podejście rządu pozostają niezmienione, a pamiątki są usuwane niemal codziennie przez pracowników administracji publicznej;</w:t>
      </w:r>
    </w:p>
    <w:p w14:paraId="54283F64" w14:textId="77777777" w:rsidR="000458EF" w:rsidRPr="00916EC9" w:rsidRDefault="000458EF" w:rsidP="000458EF">
      <w:pPr>
        <w:pStyle w:val="NormalHanging12a"/>
        <w:rPr>
          <w:b/>
          <w:i/>
        </w:rPr>
      </w:pPr>
      <w:r>
        <w:rPr>
          <w:b/>
          <w:i/>
        </w:rPr>
        <w:t>Wolność mediów</w:t>
      </w:r>
    </w:p>
    <w:p w14:paraId="2714CAA1" w14:textId="77DFF658" w:rsidR="000458EF" w:rsidRPr="00916EC9" w:rsidRDefault="000458EF" w:rsidP="000458EF">
      <w:pPr>
        <w:pStyle w:val="NormalHanging12a"/>
      </w:pPr>
      <w:r>
        <w:t>R.</w:t>
      </w:r>
      <w:r>
        <w:tab/>
        <w:t>mając na uwadze, że rodzina Daphne Caruany Galizii nadal jest obiektem kampanii nienawiści i licznych pozwów o zniesławienie, w tym ze strony członków rządu maltańskiego, oraz mając na uwadze, że kilku przedstawicieli rządu, w tym premier, stwierdziło, że nie widzą powodów, dla których należałoby wycofać te pozwy;</w:t>
      </w:r>
    </w:p>
    <w:p w14:paraId="63AE3A28" w14:textId="22541508" w:rsidR="000458EF" w:rsidRPr="00916EC9" w:rsidRDefault="000458EF" w:rsidP="000458EF">
      <w:pPr>
        <w:pStyle w:val="NormalHanging12a"/>
      </w:pPr>
      <w:r>
        <w:t>S.</w:t>
      </w:r>
      <w:r>
        <w:tab/>
        <w:t>mając na uwadze, że w światowym rankingu wolności prasy, opracowywanym przez „Reporterów bez Granic”, w 2019 r. Malta spadła na 77. pozycję (w 2018 r. zajęła 65. miejsce, a w 2017 r. 47. miejsce)</w:t>
      </w:r>
      <w:r w:rsidRPr="00293E38">
        <w:rPr>
          <w:rStyle w:val="FootnoteReference"/>
        </w:rPr>
        <w:footnoteReference w:id="7"/>
      </w:r>
      <w:r>
        <w:t>;</w:t>
      </w:r>
    </w:p>
    <w:p w14:paraId="2DFA0F29" w14:textId="43D046E3" w:rsidR="000458EF" w:rsidRPr="00293E38" w:rsidRDefault="000458EF" w:rsidP="000458EF">
      <w:pPr>
        <w:pStyle w:val="NormalHanging12a"/>
      </w:pPr>
      <w:r>
        <w:t>T.</w:t>
      </w:r>
      <w:r>
        <w:tab/>
        <w:t>mając na uwadze, że w analizie organizacji CIVICUS za 2019 r. rating Malty w zakresie przestrzeni obywatelskiej zmienił się z „otwartego” na „ograniczony”; mając na uwadze, że CIVICUS określa środowisko dla dziennikarzy jako „coraz bardziej wrogie, w szczególności względem osób zgłaszających przypadki korupcji”, oraz stwierdza, że „bezkarność po zabójstwie [...] Daphne Caruany Galizii stworzyła państwu przestrzeń do zastraszania i nękania działaczy i osób domagających się sprawiedliwości”</w:t>
      </w:r>
      <w:r w:rsidRPr="00293E38">
        <w:rPr>
          <w:rStyle w:val="FootnoteReference"/>
        </w:rPr>
        <w:footnoteReference w:id="8"/>
      </w:r>
      <w:r>
        <w:t>;</w:t>
      </w:r>
    </w:p>
    <w:p w14:paraId="6D2470AF" w14:textId="2AD3471E" w:rsidR="000458EF" w:rsidRPr="00916EC9" w:rsidRDefault="000458EF" w:rsidP="000458EF">
      <w:pPr>
        <w:pStyle w:val="NormalHanging12a"/>
      </w:pPr>
      <w:r>
        <w:t>U.</w:t>
      </w:r>
      <w:r>
        <w:tab/>
        <w:t xml:space="preserve">mając na uwadze, że dziennikarze, a w szczególności (choć nie tylko) dziennikarze śledczy, coraz częściej stają w obliczu wytaczanych im tzw. strategicznych powództw </w:t>
      </w:r>
      <w:r>
        <w:lastRenderedPageBreak/>
        <w:t>przeciw udziałowi w życiu publicznym, których celem jest wyłącznie utrudnianie im pracy;</w:t>
      </w:r>
    </w:p>
    <w:p w14:paraId="2A03CCC8" w14:textId="13CBE9C3" w:rsidR="000458EF" w:rsidRPr="00916EC9" w:rsidRDefault="000458EF" w:rsidP="000458EF">
      <w:pPr>
        <w:pStyle w:val="NormalHanging12a"/>
      </w:pPr>
      <w:r>
        <w:t>V.</w:t>
      </w:r>
      <w:r>
        <w:tab/>
        <w:t>mając na uwadze, że po konferencji prasowej w kancelarii premiera w dniu 29 listopada 2019 r. tymczasowo zakazano dziennikarzom opuszczania sali i budynku; mając na uwadze, że brak bezpieczeństwa dziennikarzy i zawężanie przestrzeni społeczeństwa obywatelskiego w wyniku nękania i zastraszania osłabiają nadzór nad władzą wykonawczą i niszczą aktywność obywatelską;</w:t>
      </w:r>
    </w:p>
    <w:p w14:paraId="6ED3DB03" w14:textId="0E7A5E1B" w:rsidR="000458EF" w:rsidRPr="00916EC9" w:rsidRDefault="000458EF" w:rsidP="000458EF">
      <w:pPr>
        <w:pStyle w:val="NormalHanging12a"/>
        <w:rPr>
          <w:b/>
          <w:i/>
        </w:rPr>
      </w:pPr>
      <w:r>
        <w:rPr>
          <w:b/>
          <w:i/>
        </w:rPr>
        <w:t>Pranie pieniędzy/korupcja</w:t>
      </w:r>
    </w:p>
    <w:p w14:paraId="5085F16F" w14:textId="20F7414A" w:rsidR="000458EF" w:rsidRPr="00916EC9" w:rsidRDefault="000458EF" w:rsidP="000458EF">
      <w:pPr>
        <w:pStyle w:val="NormalHanging12a"/>
      </w:pPr>
      <w:r>
        <w:t>W.</w:t>
      </w:r>
      <w:r>
        <w:tab/>
        <w:t>mając na uwadze, że sprawozdanie dotyczące dochodzenia w sprawie „Egrant” nie jest publicznie dostępne; mając na uwadze, że dostępne wnioski nie potwierdzają doniesień o powiązaniach własnościowych firmy Egrant Inc. z premierem Malty i jego żoną; mając na uwadze, że jedynie premier, minister sprawiedliwości, szef kancelarii premiera i urzędnik ds. komunikacji premiera mają dostęp do pełnego niezredagowanego sprawozdania z dochodzenia; mając na uwadze, że nie wszczęto dochodzenia w celu wykrycia rzeczywistego właściciela firmy Egrant, która to kwestia nadal pozostaje do wyjaśnienia;</w:t>
      </w:r>
    </w:p>
    <w:p w14:paraId="3D8C062B" w14:textId="62046BD8" w:rsidR="000458EF" w:rsidRPr="00916EC9" w:rsidRDefault="000458EF" w:rsidP="000458EF">
      <w:pPr>
        <w:pStyle w:val="NormalHanging12a"/>
        <w:rPr>
          <w:szCs w:val="24"/>
        </w:rPr>
      </w:pPr>
      <w:r>
        <w:t>X.</w:t>
      </w:r>
      <w:r>
        <w:tab/>
        <w:t>mając na uwadze, że toczy się pięć dochodzeń sędziowskich w sprawie zarzutów korupcji, mianowicie dochodzenie w sprawie Pilatus Bank, dochodzenie w sprawie kwoty pieniędzy, która została przekazana między byłym szefem kancelarii premiera a biegłym rewidentem Nexia BT, dochodzenie w sprawie łapówek między byłym szefem kancelarii premiera a Adrianem Hillmanem z  gazety „Times of Malta”, dochodzenie w sprawie 17 Black Ltd i dwóch innych przedsiębiorstw, Tillgate oraz Hearnville, a także dochodzenie w sprawie Vitals;</w:t>
      </w:r>
    </w:p>
    <w:p w14:paraId="3FD5671A" w14:textId="044BB047" w:rsidR="000458EF" w:rsidRPr="00916EC9" w:rsidRDefault="000458EF" w:rsidP="000458EF">
      <w:pPr>
        <w:pStyle w:val="NormalHanging12a"/>
      </w:pPr>
      <w:r>
        <w:t>Y.</w:t>
      </w:r>
      <w:r>
        <w:tab/>
        <w:t>mając na uwadze, że w okresie od maja 2016 r. do listopada 2019 r. szef kancelarii premiera, obecny minister turystyki i były minister energii byli jedynymi pełniącymi obowiązki urzędnikami państwowymi wysokiej rangi wśród wszystkich państw członkowskich UE, co do których stwierdzono, że są rzeczywistymi właścicielami jednej z firm ujawnionymi w dokumentach panamskich;</w:t>
      </w:r>
    </w:p>
    <w:p w14:paraId="78E13539" w14:textId="74060D5A" w:rsidR="000458EF" w:rsidRPr="00916EC9" w:rsidRDefault="000458EF" w:rsidP="000458EF">
      <w:pPr>
        <w:pStyle w:val="NormalHanging12a"/>
      </w:pPr>
      <w:r>
        <w:t>Z.</w:t>
      </w:r>
      <w:r>
        <w:tab/>
        <w:t>mając na uwadze, że jedną z osób podejrzanych o organizację morderstwa jest właściciel firmy 17 Black Ltd. z siedzibą w Dubaju oraz były członek zarządu przedsiębiorstwa Electrogas Malta Ltd., zaangażowany w realizację długoterminowej umowy o dostawy gazu z Azerbejdżanu na Maltę;</w:t>
      </w:r>
    </w:p>
    <w:p w14:paraId="72C3B14F" w14:textId="782F86E0" w:rsidR="000458EF" w:rsidRPr="00916EC9" w:rsidRDefault="000458EF" w:rsidP="000458EF">
      <w:pPr>
        <w:pStyle w:val="NormalHanging12a"/>
        <w:rPr>
          <w:szCs w:val="23"/>
          <w:shd w:val="clear" w:color="auto" w:fill="FFFFFF"/>
        </w:rPr>
      </w:pPr>
      <w:r>
        <w:t>AA.</w:t>
      </w:r>
      <w:r>
        <w:tab/>
        <w:t>mając na uwadze, że w swoim sprawozdaniu z dnia 12 września 2019 r. MONEYVAL, organ Rady Europy ds. przeciwdziałania praniu pieniędzy, wezwał władze maltańskie do wzmocnienia praktycznego stosowania środków do walki z praniem pieniędzy i finansowaniem terroryzmu, postanowił zastosować procedurę wzmocnionego nadzoru i wezwał Maltę do przedstawienia raportu w grudniu 2020 r.;</w:t>
      </w:r>
      <w:r>
        <w:rPr>
          <w:szCs w:val="23"/>
          <w:shd w:val="clear" w:color="auto" w:fill="FFFFFF"/>
        </w:rPr>
        <w:t xml:space="preserve"> mając na uwadze, że według tego sprawozdania organy ścigania nie są obecnie w stanie skutecznie i terminowo prowadzić złożonych i poważnych spraw dotyczących prania pieniędzy </w:t>
      </w:r>
      <w:r>
        <w:rPr>
          <w:szCs w:val="23"/>
          <w:shd w:val="clear" w:color="auto" w:fill="FFFFFF"/>
        </w:rPr>
        <w:lastRenderedPageBreak/>
        <w:t>związanych z przestępstwami finansowymi, przekupstwem i korupcją</w:t>
      </w:r>
      <w:r w:rsidRPr="00293E38">
        <w:rPr>
          <w:rStyle w:val="FootnoteReference"/>
          <w:szCs w:val="23"/>
          <w:shd w:val="clear" w:color="auto" w:fill="FFFFFF"/>
        </w:rPr>
        <w:footnoteReference w:id="9"/>
      </w:r>
      <w:r>
        <w:rPr>
          <w:szCs w:val="23"/>
          <w:shd w:val="clear" w:color="auto" w:fill="FFFFFF"/>
        </w:rPr>
        <w:t>;</w:t>
      </w:r>
    </w:p>
    <w:p w14:paraId="5876093A" w14:textId="512B2A03" w:rsidR="000458EF" w:rsidRPr="00916EC9" w:rsidRDefault="000458EF" w:rsidP="000458EF">
      <w:pPr>
        <w:pStyle w:val="NormalHanging12a"/>
        <w:rPr>
          <w:szCs w:val="23"/>
          <w:shd w:val="clear" w:color="auto" w:fill="FFFFFF"/>
        </w:rPr>
      </w:pPr>
      <w:r>
        <w:t>AB.</w:t>
      </w:r>
      <w:r>
        <w:rPr>
          <w:szCs w:val="23"/>
          <w:shd w:val="clear" w:color="auto" w:fill="FFFFFF"/>
        </w:rPr>
        <w:tab/>
        <w:t>mając na uwadze, że organ antykorupcyjny Rady Europy, GRECO, stwierdził w swoim sprawozdaniu z dnia 22 marca 2019 r., że skuteczność instytucji publicznych zaangażowanych w mechanizmy kontroli i równowagi jest kwestionowana, ponieważ w ostatnich latach kraj ten stanął w obliczu bezprecedensowej fali kontrowersji dotyczących uczciwości wysokich urzędników państwowych, aż po najwyższe stanowiska</w:t>
      </w:r>
      <w:r w:rsidRPr="00293E38">
        <w:rPr>
          <w:rStyle w:val="FootnoteReference"/>
          <w:szCs w:val="23"/>
          <w:shd w:val="clear" w:color="auto" w:fill="FFFFFF"/>
        </w:rPr>
        <w:footnoteReference w:id="10"/>
      </w:r>
      <w:r>
        <w:rPr>
          <w:szCs w:val="23"/>
          <w:shd w:val="clear" w:color="auto" w:fill="FFFFFF"/>
        </w:rPr>
        <w:t>;</w:t>
      </w:r>
    </w:p>
    <w:p w14:paraId="434CD4B4" w14:textId="6FC9389A" w:rsidR="000458EF" w:rsidRPr="00916EC9" w:rsidRDefault="000458EF" w:rsidP="000458EF">
      <w:pPr>
        <w:pStyle w:val="NormalHanging12a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AC.</w:t>
      </w:r>
      <w:r>
        <w:rPr>
          <w:szCs w:val="23"/>
          <w:shd w:val="clear" w:color="auto" w:fill="FFFFFF"/>
        </w:rPr>
        <w:tab/>
        <w:t>mając na uwadze, że Komisja wspomniała w sprawozdaniu dotyczącym europejskiego semestru 2019 w sprawie Malty (SWD(2019)1017), że antykorupcyjne ramy instytucjonalne mają niedociągnięcia i że istnieje ryzyko konfliktu interesów na różnych szczeblach władzy;</w:t>
      </w:r>
    </w:p>
    <w:p w14:paraId="7588E709" w14:textId="158D597E" w:rsidR="000458EF" w:rsidRPr="00916EC9" w:rsidRDefault="000458EF" w:rsidP="000458EF">
      <w:pPr>
        <w:pStyle w:val="NormalHanging12a"/>
      </w:pPr>
      <w:r>
        <w:t>AD.</w:t>
      </w:r>
      <w:r>
        <w:tab/>
        <w:t>mając na uwadze, że sprawozdanie Komisji z września 2019 r. wykazuje, że Malta ma najwyższy w Europie wskaźnik uchylania się od opodatkowania i pokazuje, że obywatele maltańscy posiadają znaczny majątek w rajach podatkowych i przechowują swoje aktywa za granicą</w:t>
      </w:r>
      <w:r w:rsidRPr="00293E38">
        <w:rPr>
          <w:rStyle w:val="FootnoteReference"/>
        </w:rPr>
        <w:footnoteReference w:id="11"/>
      </w:r>
      <w:r>
        <w:t>,</w:t>
      </w:r>
    </w:p>
    <w:p w14:paraId="201448D2" w14:textId="77777777" w:rsidR="000458EF" w:rsidRPr="00916EC9" w:rsidRDefault="000458EF" w:rsidP="000458EF">
      <w:pPr>
        <w:pStyle w:val="NormalHanging12a"/>
      </w:pPr>
      <w:r>
        <w:t>AE.</w:t>
      </w:r>
      <w:r>
        <w:tab/>
        <w:t>mając na uwadze, że sprawozdanie Europejskiego Banku Centralnego opublikowane latem 2019 r. podobno ujawniło poważne niedociągnięcia, które mogły umożliwić długoletnie pranie pieniędzy lub inną działalność przestępczą w Bank of Valletta pomimo powtarzających się ostrzeżeń;</w:t>
      </w:r>
    </w:p>
    <w:p w14:paraId="453A6034" w14:textId="5980579F" w:rsidR="000458EF" w:rsidRPr="00916EC9" w:rsidRDefault="000458EF" w:rsidP="000458EF">
      <w:pPr>
        <w:pStyle w:val="NormalHanging12a"/>
        <w:rPr>
          <w:shd w:val="clear" w:color="auto" w:fill="FFFFFF"/>
        </w:rPr>
      </w:pPr>
      <w:r>
        <w:rPr>
          <w:shd w:val="clear" w:color="auto" w:fill="FFFFFF"/>
        </w:rPr>
        <w:t>AF.</w:t>
      </w:r>
      <w:r>
        <w:tab/>
      </w:r>
      <w:r>
        <w:rPr>
          <w:shd w:val="clear" w:color="auto" w:fill="FFFFFF"/>
        </w:rPr>
        <w:t>mając na uwadze, że GRECO stwierdził również, że Stała Komisja ds. Walki z Korupcją nie może być postrzegana jako wyspecjalizowany organ mający na celu ułatwienie prowadzenia dochodzeń w sprawie korupcji oraz że jego wkład w działania antykorupcyjne Malty był znikomy</w:t>
      </w:r>
      <w:r w:rsidRPr="00293E38">
        <w:rPr>
          <w:rStyle w:val="FootnoteReference"/>
          <w:shd w:val="clear" w:color="auto" w:fill="FFFFFF"/>
        </w:rPr>
        <w:footnoteReference w:id="12"/>
      </w:r>
      <w:r>
        <w:rPr>
          <w:shd w:val="clear" w:color="auto" w:fill="FFFFFF"/>
        </w:rPr>
        <w:t>;</w:t>
      </w:r>
    </w:p>
    <w:p w14:paraId="6B898268" w14:textId="77777777" w:rsidR="000458EF" w:rsidRPr="00916EC9" w:rsidRDefault="000458EF" w:rsidP="000458EF">
      <w:pPr>
        <w:pStyle w:val="NormalHanging12a"/>
        <w:rPr>
          <w:b/>
          <w:i/>
        </w:rPr>
      </w:pPr>
      <w:r>
        <w:rPr>
          <w:b/>
          <w:i/>
        </w:rPr>
        <w:t>Program obywatelstwa i ułatwień pobytowych dla inwestorów</w:t>
      </w:r>
    </w:p>
    <w:p w14:paraId="155CAF9E" w14:textId="3375F35D" w:rsidR="000458EF" w:rsidRPr="00916EC9" w:rsidRDefault="000458EF" w:rsidP="00D64808">
      <w:pPr>
        <w:pStyle w:val="NormalHanging12a"/>
      </w:pPr>
      <w:r>
        <w:t>AG.</w:t>
      </w:r>
      <w:r>
        <w:tab/>
        <w:t>mając na uwadze, że w 2019 r. zgłoszono co najmniej pięć przypadków, w których osoby uczestniczące w maltańskim „programie obywatelstwa i ułatwień pobytowych dla inwestorów” były oskarżane o poważne przestępstwa finansowe;</w:t>
      </w:r>
    </w:p>
    <w:p w14:paraId="1FCA002A" w14:textId="7DA8D944" w:rsidR="000458EF" w:rsidRPr="00916EC9" w:rsidRDefault="000458EF" w:rsidP="000458EF">
      <w:pPr>
        <w:pStyle w:val="NormalHanging12a"/>
      </w:pPr>
      <w:r>
        <w:t>AH.</w:t>
      </w:r>
      <w:r>
        <w:tab/>
        <w:t xml:space="preserve">mając na uwadze, że przedstawiciel pośrednika paszportowego Chetcuti Cauchi Advisors Ltd. zasugerował w rozmowie nagrywanej ukrytą kamerą na potrzeby francuskiego programu telewizyjnego „Enquete exclusive”, że jego osobiste kontakty z premierem, ministrem sprawiedliwości i sekretarz parlamentarną ds. reform, obywatelstwa i uproszczenia procedur administracyjnych mogą mieć korzystny wpływ </w:t>
      </w:r>
      <w:r>
        <w:lastRenderedPageBreak/>
        <w:t>na proces składania wniosków, również w odniesieniu do klientów, którzy byli już wcześniej karani; mając na uwadze, że te doniesienia budzą poważne wątpliwości co do wiarygodności i kontroli maltańskich programów obywatelstwa i ułatwień pobytowych;</w:t>
      </w:r>
    </w:p>
    <w:p w14:paraId="237514D7" w14:textId="5206746C" w:rsidR="000458EF" w:rsidRPr="00916EC9" w:rsidRDefault="000458EF" w:rsidP="000458EF">
      <w:pPr>
        <w:pStyle w:val="NormalHanging12a"/>
      </w:pPr>
      <w:r>
        <w:t>AI.</w:t>
      </w:r>
      <w:r>
        <w:tab/>
        <w:t>mając na uwadze, że w dniu 8 listopada 2019 r. rząd maltański opublikował sprawozdanie Urzędu ds. Regulacji Programu dla Inwestorów Indywidualnych (IIP) dotyczące dochodzenia w sprawie Chetcuti Cauchi Advocates występujących w charakterze pośrednika IIP; mając na uwadze, że w streszczeniu tego sprawozdania stwierdzono, że analiza „nie zidentyfikowała żadnych sygnałów ostrzegawczych, które w całości lub w części popierają domniemane zarzuty”</w:t>
      </w:r>
      <w:r w:rsidRPr="00293E38">
        <w:rPr>
          <w:rStyle w:val="FootnoteReference"/>
        </w:rPr>
        <w:footnoteReference w:id="13"/>
      </w:r>
      <w:r>
        <w:t>;</w:t>
      </w:r>
    </w:p>
    <w:p w14:paraId="5DAD3DD1" w14:textId="6B1D15A2" w:rsidR="000458EF" w:rsidRPr="00916EC9" w:rsidRDefault="000458EF" w:rsidP="000458EF">
      <w:pPr>
        <w:pStyle w:val="NormalHanging12a"/>
      </w:pPr>
      <w:r>
        <w:t>AJ.</w:t>
      </w:r>
      <w:r>
        <w:tab/>
        <w:t>mając na uwadze, że Chetcuti Cauchi Advisors Ltd. złożyła pierwszy pomyślnie rozpatrzony wniosek w ramach nowo ustanowionego programu dla inwestorów indywidualnych na Malcie i otrzymała uprzywilejowany status „autoryzowanego pośrednika” w 2016 r. „po spełnieniu wymogów dotyczących jakości, wiarygodności i ilości, ustanowionych przez organ Identity Malta”; mając na uwadze, że promocyjny materiał filmowy dla tej firmy został nakręcony w siedzibie premiera Auberge de Castille z udziałem sekretarz parlamentarnej ds. obywatelstwa; mając na uwadze, że w dniu 23 września 2019 r. rząd zawiesił licencje pośrednika ds. obywatelstwa nr IIP 001 i nr IIP 124 na tej podstawie, że firma rozpowszechniała „informacje wprowadzające w błąd”;</w:t>
      </w:r>
    </w:p>
    <w:p w14:paraId="5A29603A" w14:textId="6C02FEE7" w:rsidR="000458EF" w:rsidRPr="00916EC9" w:rsidRDefault="000458EF" w:rsidP="000458EF">
      <w:pPr>
        <w:pStyle w:val="NormalHanging12a"/>
      </w:pPr>
      <w:r>
        <w:t>AK.</w:t>
      </w:r>
      <w:r>
        <w:tab/>
        <w:t>mając na uwadze, że stosowanie przez państwa członkowskie UE programów obywatelstwa i ułatwień pobytowych dla inwestorów stwarza poważne zagrożenie w kontekście zwalczania prania pieniędzy, podważa wzajemne zaufanie i integralność strefy Schengen, umożliwia przyjmowanie obywateli państw trzecich jedynie na podstawie zgromadzonego majątku, a nie użytecznej wiedzy, umiejętności czy względów humanitarnych i tak naprawdę prowadzi do sprzedaży obywatelstwa UE; mając na uwadze, że Komisja wyraźnie stwierdziła, że nie popiera maltańskich programów obywatelstwa i ułatwień pobytowych dla inwestorów;</w:t>
      </w:r>
    </w:p>
    <w:p w14:paraId="005D8118" w14:textId="77777777" w:rsidR="000458EF" w:rsidRPr="00916EC9" w:rsidRDefault="000458EF" w:rsidP="000458EF">
      <w:pPr>
        <w:pStyle w:val="NormalHanging12a"/>
        <w:rPr>
          <w:b/>
          <w:i/>
        </w:rPr>
      </w:pPr>
      <w:r>
        <w:rPr>
          <w:b/>
          <w:i/>
        </w:rPr>
        <w:t>Reforma konstytucyjna</w:t>
      </w:r>
    </w:p>
    <w:p w14:paraId="1E2E180A" w14:textId="4E9F0942" w:rsidR="000458EF" w:rsidRPr="00916EC9" w:rsidRDefault="000458EF" w:rsidP="000458EF">
      <w:pPr>
        <w:pStyle w:val="NormalHanging12a"/>
      </w:pPr>
      <w:r>
        <w:t>AL.</w:t>
      </w:r>
      <w:r>
        <w:tab/>
        <w:t>mając na uwadze, że Komisja Wenecka w opinii w sprawie Malty przyjętej na 117. sesji plenarnej w dniach 14–15 grudnia 2018 r.</w:t>
      </w:r>
      <w:r w:rsidRPr="00293E38">
        <w:rPr>
          <w:rStyle w:val="FootnoteReference"/>
        </w:rPr>
        <w:footnoteReference w:id="14"/>
      </w:r>
      <w:r>
        <w:t xml:space="preserve"> przedstawiła szereg propozycji reform konstytucyjnych;</w:t>
      </w:r>
    </w:p>
    <w:p w14:paraId="695CF273" w14:textId="77777777" w:rsidR="000458EF" w:rsidRPr="00916EC9" w:rsidRDefault="000458EF" w:rsidP="000458EF">
      <w:pPr>
        <w:pStyle w:val="NormalHanging12a"/>
      </w:pPr>
      <w:r>
        <w:t>AM.</w:t>
      </w:r>
      <w:r>
        <w:tab/>
        <w:t>mając na uwadze, że Malta rozpoczęła dyskusje na temat procesu reform konstytucyjnych pod nadzorem prezydenta, w którym uczestniczą różne siły polityczne i społeczeństwo obywatelskie, a wdrożenie większości reform będzie wymagało większości dwóch trzecich w Parlamencie; mając na uwadze, że zainicjowany został proces reform, który dotyczy kontrowersyjnej konstytucyjnej roli prokuratora generalnego i obecnego systemu mianowania sędziów;</w:t>
      </w:r>
    </w:p>
    <w:p w14:paraId="2DCE248F" w14:textId="77777777" w:rsidR="000458EF" w:rsidRPr="00916EC9" w:rsidRDefault="000458EF" w:rsidP="000458EF">
      <w:pPr>
        <w:pStyle w:val="NormalHanging12a"/>
      </w:pPr>
      <w:r>
        <w:lastRenderedPageBreak/>
        <w:t>AN.</w:t>
      </w:r>
      <w:r>
        <w:tab/>
        <w:t>mając na uwadze, że Parlament Europejski i kilka innych instytucji międzynarodowych wielokrotnie wyrażało obawy dotyczące bezstronności egzekwowania prawa, podziału władzy i niezawisłości sądownictwa na Malcie, zwłaszcza w odniesieniu do upolitycznienia oraz braku przejrzystości w procedurach wyboru i mianowania, np. na stanowisko komendanta głównego policji;</w:t>
      </w:r>
    </w:p>
    <w:p w14:paraId="585D4250" w14:textId="0094B655" w:rsidR="000458EF" w:rsidRPr="00916EC9" w:rsidRDefault="000458EF" w:rsidP="000458EF">
      <w:pPr>
        <w:pStyle w:val="NormalHanging12a"/>
      </w:pPr>
      <w:r>
        <w:t>AO.</w:t>
      </w:r>
      <w:bookmarkStart w:id="2" w:name="ref_1_24"/>
      <w:r>
        <w:tab/>
      </w:r>
      <w:bookmarkEnd w:id="2"/>
      <w:r>
        <w:t>mając na uwadze, że w dniu 17 lipca 2019 r. Komisja opublikowała komunikat pt. „Umocnienie praworządności w Unii – Plan działania” (COM(2019)0343) w następstwie kilku szeroko popieranych rezolucji Parlamentu Europejskiego</w:t>
      </w:r>
      <w:r w:rsidRPr="00293E38">
        <w:rPr>
          <w:vertAlign w:val="superscript"/>
        </w:rPr>
        <w:footnoteReference w:id="15"/>
      </w:r>
      <w:r>
        <w:t>, w których zaproponowano kompleksowy i niezależny mechanizm corocznego monitorowania sytuacji w zakresie demokracji, praworządności i praw podstawowych (DRF) we wszystkich państwach członkowskich;</w:t>
      </w:r>
    </w:p>
    <w:p w14:paraId="0CC5D207" w14:textId="42EDECAC" w:rsidR="000458EF" w:rsidRPr="00916EC9" w:rsidRDefault="000458EF" w:rsidP="000458EF">
      <w:pPr>
        <w:pStyle w:val="NormalHanging12a"/>
      </w:pPr>
      <w:r>
        <w:t>1.</w:t>
      </w:r>
      <w:r>
        <w:tab/>
        <w:t>wyraża głębokie zaniepokojenie co do uczciwości i wiarygodności dochodzeń w sprawie zabójstwa Daphne Caruany Galizii; odnotowuje powszechne negatywne postrzeganie działań rządu w tym zakresie, a także malejące zaufanie do instytucji i ich coraz mniejszą wiarygodność;. podkreśla, że niekwestionowane zaufanie do postępowania dochodzeniowego, zarówno ze strony obywateli Malty, jak i społeczności europejskiej, ma ogromne znaczenie; uznaje postępy w śledztwie w sprawie zabójstwa Daphne Caruany Galizii; podkreśla jednak, że sprawa jest nadal otwarta, ponieważ śledztwo jest w toku;</w:t>
      </w:r>
    </w:p>
    <w:p w14:paraId="1C171DA7" w14:textId="57F1DF45" w:rsidR="000458EF" w:rsidRPr="00916EC9" w:rsidRDefault="000458EF" w:rsidP="000458EF">
      <w:pPr>
        <w:pStyle w:val="NormalHanging12a"/>
        <w:rPr>
          <w:szCs w:val="24"/>
        </w:rPr>
      </w:pPr>
      <w:r>
        <w:t>2.</w:t>
      </w:r>
      <w:r>
        <w:tab/>
        <w:t>podkreśla, że jakiekolwiek ryzyko zagrażające śledztwu, zarówno domniemane, jak i rzeczywiste, musi być wykluczone za pomocą wszelkich środków; podkreśla ponadto, że ryzyko to utrzyma się tak długo, jak długo premier będzie sprawował urząd;</w:t>
      </w:r>
    </w:p>
    <w:p w14:paraId="3DD9519B" w14:textId="750F31E1" w:rsidR="000458EF" w:rsidRPr="00916EC9" w:rsidRDefault="000458EF" w:rsidP="000458EF">
      <w:pPr>
        <w:pStyle w:val="NormalHanging12a"/>
        <w:rPr>
          <w:szCs w:val="24"/>
        </w:rPr>
      </w:pPr>
      <w:r>
        <w:t>3.</w:t>
      </w:r>
      <w:r>
        <w:tab/>
        <w:t>jest bardzo zaniepokojony faktem, że liczne inne dochodzenia w powiązanych sprawach dotyczących prania pieniędzy i korupcji nie posunęły się naprzód lub nawet nie zostały wszczęte, zwłaszcza w odniesieniu do byłego szefa kancelarii premiera i byłego ministra turystyki; wzywa władze maltańskie do wszczęcia i przyspieszenia takich dochodzeń;</w:t>
      </w:r>
    </w:p>
    <w:p w14:paraId="551C7B27" w14:textId="7B56348C" w:rsidR="000458EF" w:rsidRPr="00916EC9" w:rsidRDefault="000458EF" w:rsidP="000458EF">
      <w:pPr>
        <w:pStyle w:val="NormalHanging12a"/>
        <w:rPr>
          <w:szCs w:val="24"/>
        </w:rPr>
      </w:pPr>
      <w:r>
        <w:t>4.</w:t>
      </w:r>
      <w:r>
        <w:tab/>
        <w:t>ponawia swój apel o pełne i stałe zaangażowanie Europolu we wszystkie aspekty śledztwa w sprawie zabójstwa i wszystkich powiązanych z nim dochodzeń; wzywa do większego zaangażowania Europolu, ponieważ przynosi ono rezultaty;</w:t>
      </w:r>
    </w:p>
    <w:p w14:paraId="40AD6AD3" w14:textId="18C16B0F" w:rsidR="000458EF" w:rsidRPr="00916EC9" w:rsidRDefault="000458EF" w:rsidP="000458EF">
      <w:pPr>
        <w:pStyle w:val="NormalHanging12a"/>
        <w:rPr>
          <w:szCs w:val="24"/>
        </w:rPr>
      </w:pPr>
      <w:r>
        <w:t>5.</w:t>
      </w:r>
      <w:r>
        <w:tab/>
        <w:t>wyraża głębokie ubolewanie, że wydarzenia na Malcie w ostatnich latach doprowadziły do poważnych i trwałych zagrożeń dla praworządności, demokracji i praw podstawowych, w tym wolności mediów, niezależności policji i wymiaru sprawiedliwości oraz wolności pokojowego zgromadzania się; ubolewa nad brakiem odpowiednich gwarancji konstytucyjnych w odniesieniu do podziału władzy;</w:t>
      </w:r>
    </w:p>
    <w:p w14:paraId="57E7EA75" w14:textId="76C0A483" w:rsidR="000458EF" w:rsidRPr="00916EC9" w:rsidRDefault="000458EF" w:rsidP="000458EF">
      <w:pPr>
        <w:pStyle w:val="NormalHanging12a"/>
        <w:rPr>
          <w:szCs w:val="24"/>
        </w:rPr>
      </w:pPr>
      <w:r>
        <w:t>6.</w:t>
      </w:r>
      <w:r>
        <w:tab/>
        <w:t xml:space="preserve">ubolewa, że pomimo wielokrotnych wezwań ze strony Parlamentu Europejskiego Komisja w ostatnich latach nie podjęła żadnych konkretnych działań przeciwko rządowi </w:t>
      </w:r>
      <w:r>
        <w:lastRenderedPageBreak/>
        <w:t>maltańskiemu; wzywa nową Komisję do podjęcia bez dalszej zbędnej zwłoki dialogu z rządem maltańskim w kontekście ram na rzecz praworządności;</w:t>
      </w:r>
    </w:p>
    <w:p w14:paraId="771A611E" w14:textId="57742D19" w:rsidR="000458EF" w:rsidRPr="00916EC9" w:rsidRDefault="000458EF" w:rsidP="000458EF">
      <w:pPr>
        <w:pStyle w:val="NormalHanging12a"/>
        <w:rPr>
          <w:szCs w:val="24"/>
        </w:rPr>
      </w:pPr>
      <w:r>
        <w:t>7.</w:t>
      </w:r>
      <w:r>
        <w:tab/>
        <w:t>zauważa, że proces reform dotyczący kontrowersyjnej konstytucyjnej roli prokuratora generalnego oraz obecnego systemu mianowania sędziów i rozwoju kariery, zaproponowany przez Komisję Wenecką, znajduje się w fazie końcowej; wzywa parlament i rząd Malty do pełnego wdrożenia w odpowiednim czasie wszystkich pozostałych zaleceń Komisji Weneckiej i GRECO;</w:t>
      </w:r>
    </w:p>
    <w:p w14:paraId="4A0CBB34" w14:textId="17C2349A" w:rsidR="000458EF" w:rsidRPr="00916EC9" w:rsidRDefault="000458EF" w:rsidP="000458EF">
      <w:pPr>
        <w:pStyle w:val="NormalHanging12a"/>
      </w:pPr>
      <w:r>
        <w:t>8.</w:t>
      </w:r>
      <w:r>
        <w:tab/>
        <w:t>przyjmuje do wiadomości uwagi wiceprzewodniczącej Komisji Věry Jourovej, w których stwierdziła, że niewdrożenie przez Maltę reform sądownictwa mogłoby stanowić podstawę do wszczęcia procedury przewidzianej w art. 7;</w:t>
      </w:r>
    </w:p>
    <w:p w14:paraId="657684BE" w14:textId="1905E8A4" w:rsidR="000458EF" w:rsidRPr="00916EC9" w:rsidRDefault="000458EF" w:rsidP="000458EF">
      <w:pPr>
        <w:pStyle w:val="NormalHanging12a"/>
        <w:rPr>
          <w:szCs w:val="24"/>
        </w:rPr>
      </w:pPr>
      <w:r>
        <w:t>9.</w:t>
      </w:r>
      <w:r>
        <w:tab/>
        <w:t>zauważa, że ochrona dziennikarzy śledczych i sygnalistów leży w żywotnym interesie społeczeństwa; wzywa władze maltańskie do zapewnienia, zawsze i za wszelką cenę, ochrony bezpieczeństwa osobistego i źródeł utrzymania dziennikarzy i sygnalistów, a tym samym ich niezależności;</w:t>
      </w:r>
    </w:p>
    <w:p w14:paraId="0ECF5879" w14:textId="1F7BF2F0" w:rsidR="000458EF" w:rsidRPr="00916EC9" w:rsidRDefault="000458EF" w:rsidP="000458EF">
      <w:pPr>
        <w:pStyle w:val="NormalHanging12a"/>
      </w:pPr>
      <w:r>
        <w:t>10.</w:t>
      </w:r>
      <w:r>
        <w:tab/>
        <w:t>wzywa Zjednoczone Emiraty Arabskie (ZEA) do współpracy z władzami maltańskimi i europejskimi oraz do dopilnowania, by fundusze zamrożone na rachunkach bankowych 17 Black pozostały zamrożone do czasu przeprowadzenia szczegółowego dochodzenia; wzywa Komisję i władze maltańskie do wykorzystania wszystkich dostępnych im narzędzi w celu zapewnienia współpracy władz ZEA i odpowiedniej pomocy prawnej we wszystkich dochodzeniach;</w:t>
      </w:r>
    </w:p>
    <w:p w14:paraId="4381DF91" w14:textId="3E46C723" w:rsidR="000458EF" w:rsidRPr="00916EC9" w:rsidRDefault="000458EF" w:rsidP="000458EF">
      <w:pPr>
        <w:pStyle w:val="NormalHanging12a"/>
      </w:pPr>
      <w:r>
        <w:t>11.</w:t>
      </w:r>
      <w:r>
        <w:tab/>
        <w:t>ponownie podkreśla pilną potrzebę wprowadzenia unijnego mechanizmu na rzecz demokracji, praworządności i praw podstawowych (DRF), zaproponowanego przez Parlament w formie międzyinstytucjonalnego paktu na rzecz DRF, składającego się z corocznego niezależnego, opartego na dowodach i niedyskryminacyjnego przeglądu oceniającego na równych prawach przestrzeganie przez wszystkie państwa członkowskie UE wartości określonych w art. 2 TUE, wraz z zaleceniami dla poszczególnych krajów (europejskie sprawozdanie w sprawie DRF), po którym ma nastąpić debata międzyparlamentarna, oraz stałego cyklu politycznego DRF w ramach instytucji UE</w:t>
      </w:r>
      <w:r w:rsidRPr="00293E38">
        <w:rPr>
          <w:vertAlign w:val="superscript"/>
        </w:rPr>
        <w:footnoteReference w:id="16"/>
      </w:r>
      <w:r>
        <w:t>; ponawia swój apel do Komisji o przedstawienie wniosków mających na celu zapobieganie tzw. strategicznym powództwom przeciw udziałowi w życiu publicznym (SLAPP);</w:t>
      </w:r>
    </w:p>
    <w:p w14:paraId="686A8DB2" w14:textId="76DD9437" w:rsidR="000458EF" w:rsidRPr="00916EC9" w:rsidRDefault="000458EF" w:rsidP="000458EF">
      <w:pPr>
        <w:pStyle w:val="NormalHanging12a"/>
        <w:rPr>
          <w:szCs w:val="24"/>
        </w:rPr>
      </w:pPr>
      <w:r>
        <w:t>12.</w:t>
      </w:r>
      <w:r>
        <w:tab/>
        <w:t xml:space="preserve">ponownie wzywa rząd Malty do zakończenia programów obywatelstwa i ułatwień pobytowych dla inwestorów oraz do zlecenia przeprowadzenia niezależnego i międzynarodowego dochodzenia w sprawie wpływu tej sprzedaży obywatelstwa i ułatwień pobytowych na możliwości Malty w zakresie przeciwdziałania praniu pieniędzy, na dalszą przestępczość transgraniczną i na integralność strefy Schengen; wzywa Komisję do dalszego monitorowania i oceny wszystkich istniejących programów obywatelstwa i ułatwień pobytowych dla inwestorów oraz do podjęcia </w:t>
      </w:r>
      <w:r>
        <w:lastRenderedPageBreak/>
        <w:t>odpowiednich kroków, jak zaproponowano we wcześniejszych rezolucjach; wzywa Radę do omówienia tej kwestii</w:t>
      </w:r>
      <w:r w:rsidRPr="00293E38">
        <w:rPr>
          <w:rStyle w:val="FootnoteReference"/>
          <w:szCs w:val="24"/>
        </w:rPr>
        <w:footnoteReference w:id="17"/>
      </w:r>
      <w:r>
        <w:t>;</w:t>
      </w:r>
    </w:p>
    <w:p w14:paraId="5ACAE591" w14:textId="47724B05" w:rsidR="000458EF" w:rsidRPr="00916EC9" w:rsidRDefault="000458EF" w:rsidP="000458EF">
      <w:pPr>
        <w:pStyle w:val="NormalHanging12a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13.</w:t>
      </w:r>
      <w:r>
        <w:tab/>
      </w:r>
      <w:r>
        <w:rPr>
          <w:szCs w:val="24"/>
          <w:shd w:val="clear" w:color="auto" w:fill="FFFFFF"/>
        </w:rPr>
        <w:t>wzywa Komisję do wykorzystania wszystkich dostępnych narzędzi i procedur w celu zapewnienia pełnej zgodności z prawem UE w zakresie zwalczania prania pieniędzy (zwłaszcza w dziedzinie dochodzeń i egzekwowania przepisów dotyczących przeciwdziałania praniu pieniędzy oraz niezależności właściwych organów), nadzoru bankowego, niezawisłości sądów, zamówień publicznych oraz planowania przestrzennego i rozwoju miast; wzywa władze maltańskie do zastosowania się do zaleceń wydanych przez MONEYVAL;</w:t>
      </w:r>
    </w:p>
    <w:p w14:paraId="34D5C7D7" w14:textId="57B9B568" w:rsidR="000458EF" w:rsidRPr="00916EC9" w:rsidRDefault="000458EF" w:rsidP="000458EF">
      <w:pPr>
        <w:pStyle w:val="NormalHanging12a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14.</w:t>
      </w:r>
      <w:r>
        <w:rPr>
          <w:szCs w:val="24"/>
          <w:shd w:val="clear" w:color="auto" w:fill="FFFFFF"/>
        </w:rPr>
        <w:tab/>
        <w:t>ubolewa, że pomimo ponawianych apeli rząd nie poczynił żadnych postępów w znalezieniu rozwiązania w kwestii prowizorycznego pomnika z apelem o wymierzenie sprawiedliwości w sprawie Daphne Caruany Galizii; wzywa premiera do natychmiastowego powstrzymania niemal codziennego niszczenia tego prowizorycznego pomnika w Valletcie;</w:t>
      </w:r>
    </w:p>
    <w:p w14:paraId="0860469F" w14:textId="11017CF9" w:rsidR="000458EF" w:rsidRPr="00916EC9" w:rsidRDefault="000458EF" w:rsidP="000458EF">
      <w:pPr>
        <w:pStyle w:val="NormalHanging12a"/>
        <w:rPr>
          <w:szCs w:val="24"/>
        </w:rPr>
      </w:pPr>
      <w:r>
        <w:t>15.</w:t>
      </w:r>
      <w:r>
        <w:rPr>
          <w:szCs w:val="24"/>
          <w:shd w:val="clear" w:color="auto" w:fill="FFFFFF"/>
        </w:rPr>
        <w:tab/>
      </w:r>
      <w:r>
        <w:t>ponownie przypomina przewodniczącemu, że wciąż jeszcze nie podjęto działań w związku z jego apelem o ustanowienie europejskiej nagrody im. Daphne Caruany Galizii w dziedzinie dziennikarstwa śledczego, która byłaby przyznawana co roku w uznaniu wybitnych osiągnięć w dziedzinie dziennikarstwa śledczego w Europie;</w:t>
      </w:r>
    </w:p>
    <w:p w14:paraId="7081E81F" w14:textId="377C463B" w:rsidR="00866D70" w:rsidRPr="00916EC9" w:rsidRDefault="000458EF" w:rsidP="000458EF">
      <w:pPr>
        <w:ind w:left="567" w:hanging="567"/>
      </w:pPr>
      <w:r>
        <w:t>16.</w:t>
      </w:r>
      <w:r>
        <w:tab/>
        <w:t>zobowiązuje swego przewodniczącego do przekazania niniejszej rezolucji Komisji, Radzie, rządom i parlamentom państw członkowskich, Radzie Europy oraz prezydentowi Republiki Malty.</w:t>
      </w:r>
    </w:p>
    <w:sectPr w:rsidR="00866D70" w:rsidRPr="00916EC9" w:rsidSect="00937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2B99" w14:textId="77777777" w:rsidR="0089302B" w:rsidRPr="00293E38" w:rsidRDefault="0089302B">
      <w:r w:rsidRPr="00293E38">
        <w:separator/>
      </w:r>
    </w:p>
  </w:endnote>
  <w:endnote w:type="continuationSeparator" w:id="0">
    <w:p w14:paraId="1296E46F" w14:textId="77777777" w:rsidR="0089302B" w:rsidRPr="00293E38" w:rsidRDefault="0089302B">
      <w:r w:rsidRPr="00293E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BCAD" w14:textId="503228D5" w:rsidR="0042100A" w:rsidRPr="00726E90" w:rsidRDefault="00937563" w:rsidP="00937563">
    <w:pPr>
      <w:pStyle w:val="EPFooter"/>
      <w:rPr>
        <w:lang w:val="fr-FR"/>
      </w:rPr>
    </w:pPr>
    <w:r w:rsidRPr="00726E90">
      <w:rPr>
        <w:lang w:val="fr-FR"/>
      </w:rPr>
      <w:t>PE</w:t>
    </w:r>
    <w:r w:rsidRPr="00726E90">
      <w:rPr>
        <w:rStyle w:val="HideTWBExt"/>
        <w:noProof w:val="0"/>
        <w:lang w:val="fr-FR"/>
      </w:rPr>
      <w:t>&lt;NoPE&gt;</w:t>
    </w:r>
    <w:r w:rsidRPr="00726E90">
      <w:rPr>
        <w:lang w:val="fr-FR"/>
      </w:rPr>
      <w:t>643.413</w:t>
    </w:r>
    <w:r w:rsidRPr="00726E90">
      <w:rPr>
        <w:rStyle w:val="HideTWBExt"/>
        <w:noProof w:val="0"/>
        <w:lang w:val="fr-FR"/>
      </w:rPr>
      <w:t>&lt;/NoPE&gt;&lt;Version&gt;</w:t>
    </w:r>
    <w:r w:rsidRPr="00726E90">
      <w:rPr>
        <w:lang w:val="fr-FR"/>
      </w:rPr>
      <w:t>v01-00</w:t>
    </w:r>
    <w:r w:rsidRPr="00726E90">
      <w:rPr>
        <w:rStyle w:val="HideTWBExt"/>
        <w:noProof w:val="0"/>
        <w:lang w:val="fr-FR"/>
      </w:rPr>
      <w:t>&lt;/Version&gt;</w:t>
    </w:r>
    <w:r w:rsidRPr="00726E90">
      <w:rPr>
        <w:lang w:val="fr-FR"/>
      </w:rPr>
      <w:tab/>
    </w:r>
    <w:r w:rsidRPr="00293E38">
      <w:fldChar w:fldCharType="begin"/>
    </w:r>
    <w:r w:rsidRPr="00726E90">
      <w:rPr>
        <w:lang w:val="fr-FR"/>
      </w:rPr>
      <w:instrText xml:space="preserve"> PAGE  \* MERGEFORMAT </w:instrText>
    </w:r>
    <w:r w:rsidRPr="00293E38">
      <w:fldChar w:fldCharType="separate"/>
    </w:r>
    <w:r w:rsidR="00726E90">
      <w:rPr>
        <w:noProof/>
        <w:lang w:val="fr-FR"/>
      </w:rPr>
      <w:t>2</w:t>
    </w:r>
    <w:r w:rsidRPr="00293E38">
      <w:fldChar w:fldCharType="end"/>
    </w:r>
    <w:r w:rsidRPr="00726E90">
      <w:rPr>
        <w:lang w:val="fr-FR"/>
      </w:rPr>
      <w:t>/</w:t>
    </w:r>
    <w:r w:rsidR="00FF19EA">
      <w:fldChar w:fldCharType="begin"/>
    </w:r>
    <w:r w:rsidR="00FF19EA" w:rsidRPr="00726E90">
      <w:rPr>
        <w:lang w:val="fr-FR"/>
      </w:rPr>
      <w:instrText xml:space="preserve"> NUMPAGES  \* MERGEFORMAT </w:instrText>
    </w:r>
    <w:r w:rsidR="00FF19EA">
      <w:fldChar w:fldCharType="separate"/>
    </w:r>
    <w:r w:rsidR="00726E90">
      <w:rPr>
        <w:noProof/>
        <w:lang w:val="fr-FR"/>
      </w:rPr>
      <w:t>12</w:t>
    </w:r>
    <w:r w:rsidR="00FF19EA">
      <w:rPr>
        <w:noProof/>
      </w:rPr>
      <w:fldChar w:fldCharType="end"/>
    </w:r>
    <w:r w:rsidRPr="00726E90">
      <w:rPr>
        <w:lang w:val="fr-FR"/>
      </w:rPr>
      <w:tab/>
    </w:r>
    <w:r w:rsidRPr="00726E90">
      <w:rPr>
        <w:rStyle w:val="HideTWBExt"/>
        <w:noProof w:val="0"/>
        <w:lang w:val="fr-FR"/>
      </w:rPr>
      <w:t>&lt;PathFdR&gt;</w:t>
    </w:r>
    <w:r w:rsidRPr="00726E90">
      <w:rPr>
        <w:lang w:val="fr-FR"/>
      </w:rPr>
      <w:t>RE\1195283PL.docx</w:t>
    </w:r>
    <w:r w:rsidRPr="00726E90">
      <w:rPr>
        <w:rStyle w:val="HideTWBExt"/>
        <w:noProof w:val="0"/>
        <w:lang w:val="fr-FR"/>
      </w:rPr>
      <w:t>&lt;/PathFdR&gt;</w:t>
    </w:r>
  </w:p>
  <w:p w14:paraId="58F01454" w14:textId="5C1BC689" w:rsidR="0089302B" w:rsidRPr="00293E38" w:rsidRDefault="0042100A" w:rsidP="0042100A">
    <w:pPr>
      <w:pStyle w:val="EPFooter2"/>
    </w:pPr>
    <w:r w:rsidRPr="00293E38">
      <w:t>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A82A" w14:textId="03A9F3AB" w:rsidR="00937563" w:rsidRPr="00726E90" w:rsidRDefault="00937563" w:rsidP="00937563">
    <w:pPr>
      <w:pStyle w:val="EPFooter"/>
      <w:rPr>
        <w:lang w:val="fr-FR"/>
      </w:rPr>
    </w:pPr>
    <w:r w:rsidRPr="00726E90">
      <w:rPr>
        <w:rStyle w:val="HideTWBExt"/>
        <w:noProof w:val="0"/>
        <w:lang w:val="fr-FR"/>
      </w:rPr>
      <w:t>&lt;PathFdR&gt;</w:t>
    </w:r>
    <w:r w:rsidRPr="00726E90">
      <w:rPr>
        <w:lang w:val="fr-FR"/>
      </w:rPr>
      <w:t>RE\1195283PL.docx</w:t>
    </w:r>
    <w:r w:rsidRPr="00726E90">
      <w:rPr>
        <w:rStyle w:val="HideTWBExt"/>
        <w:noProof w:val="0"/>
        <w:lang w:val="fr-FR"/>
      </w:rPr>
      <w:t>&lt;/PathFdR&gt;</w:t>
    </w:r>
    <w:r w:rsidRPr="00726E90">
      <w:rPr>
        <w:lang w:val="fr-FR"/>
      </w:rPr>
      <w:tab/>
    </w:r>
    <w:r w:rsidRPr="00293E38">
      <w:fldChar w:fldCharType="begin"/>
    </w:r>
    <w:r w:rsidRPr="00726E90">
      <w:rPr>
        <w:lang w:val="fr-FR"/>
      </w:rPr>
      <w:instrText xml:space="preserve"> PAGE  \* MERGEFORMAT </w:instrText>
    </w:r>
    <w:r w:rsidRPr="00293E38">
      <w:fldChar w:fldCharType="separate"/>
    </w:r>
    <w:r w:rsidR="00726E90">
      <w:rPr>
        <w:noProof/>
        <w:lang w:val="fr-FR"/>
      </w:rPr>
      <w:t>12</w:t>
    </w:r>
    <w:r w:rsidRPr="00293E38">
      <w:fldChar w:fldCharType="end"/>
    </w:r>
    <w:r w:rsidRPr="00726E90">
      <w:rPr>
        <w:lang w:val="fr-FR"/>
      </w:rPr>
      <w:t>/</w:t>
    </w:r>
    <w:r w:rsidR="00FF19EA">
      <w:fldChar w:fldCharType="begin"/>
    </w:r>
    <w:r w:rsidR="00FF19EA" w:rsidRPr="00726E90">
      <w:rPr>
        <w:lang w:val="fr-FR"/>
      </w:rPr>
      <w:instrText xml:space="preserve"> NUMPAGES  \* MERGEFORMAT </w:instrText>
    </w:r>
    <w:r w:rsidR="00FF19EA">
      <w:fldChar w:fldCharType="separate"/>
    </w:r>
    <w:r w:rsidR="00726E90">
      <w:rPr>
        <w:noProof/>
        <w:lang w:val="fr-FR"/>
      </w:rPr>
      <w:t>12</w:t>
    </w:r>
    <w:r w:rsidR="00FF19EA">
      <w:rPr>
        <w:noProof/>
      </w:rPr>
      <w:fldChar w:fldCharType="end"/>
    </w:r>
    <w:r w:rsidRPr="00726E90">
      <w:rPr>
        <w:lang w:val="fr-FR"/>
      </w:rPr>
      <w:tab/>
      <w:t>PE</w:t>
    </w:r>
    <w:r w:rsidRPr="00726E90">
      <w:rPr>
        <w:rStyle w:val="HideTWBExt"/>
        <w:noProof w:val="0"/>
        <w:lang w:val="fr-FR"/>
      </w:rPr>
      <w:t>&lt;NoPE&gt;</w:t>
    </w:r>
    <w:r w:rsidRPr="00726E90">
      <w:rPr>
        <w:lang w:val="fr-FR"/>
      </w:rPr>
      <w:t>643.413</w:t>
    </w:r>
    <w:r w:rsidRPr="00726E90">
      <w:rPr>
        <w:rStyle w:val="HideTWBExt"/>
        <w:noProof w:val="0"/>
        <w:lang w:val="fr-FR"/>
      </w:rPr>
      <w:t>&lt;/NoPE&gt;&lt;Version&gt;</w:t>
    </w:r>
    <w:r w:rsidRPr="00726E90">
      <w:rPr>
        <w:lang w:val="fr-FR"/>
      </w:rPr>
      <w:t>v01-00</w:t>
    </w:r>
    <w:r w:rsidRPr="00726E90">
      <w:rPr>
        <w:rStyle w:val="HideTWBExt"/>
        <w:noProof w:val="0"/>
        <w:lang w:val="fr-FR"/>
      </w:rPr>
      <w:t>&lt;/Version&gt;</w:t>
    </w:r>
  </w:p>
  <w:p w14:paraId="75686C49" w14:textId="6166B757" w:rsidR="0089302B" w:rsidRPr="00293E38" w:rsidRDefault="00937563" w:rsidP="00937563">
    <w:pPr>
      <w:pStyle w:val="EPFooter2"/>
    </w:pPr>
    <w:r w:rsidRPr="00726E90">
      <w:rPr>
        <w:lang w:val="fr-FR"/>
      </w:rPr>
      <w:tab/>
    </w:r>
    <w:r w:rsidRPr="00726E90">
      <w:rPr>
        <w:lang w:val="fr-FR"/>
      </w:rPr>
      <w:tab/>
    </w:r>
    <w:r w:rsidRPr="00293E38"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809B" w14:textId="77777777" w:rsidR="00937563" w:rsidRPr="00726E90" w:rsidRDefault="00937563" w:rsidP="00937563">
    <w:pPr>
      <w:pStyle w:val="EPFooter"/>
      <w:rPr>
        <w:lang w:val="fr-FR"/>
      </w:rPr>
    </w:pPr>
    <w:r w:rsidRPr="00726E90">
      <w:rPr>
        <w:rStyle w:val="HideTWBExt"/>
        <w:noProof w:val="0"/>
        <w:lang w:val="fr-FR"/>
      </w:rPr>
      <w:t>&lt;PathFdR&gt;</w:t>
    </w:r>
    <w:r w:rsidRPr="00726E90">
      <w:rPr>
        <w:lang w:val="fr-FR"/>
      </w:rPr>
      <w:t>RE\1195283PL.docx</w:t>
    </w:r>
    <w:r w:rsidRPr="00726E90">
      <w:rPr>
        <w:rStyle w:val="HideTWBExt"/>
        <w:noProof w:val="0"/>
        <w:lang w:val="fr-FR"/>
      </w:rPr>
      <w:t>&lt;/PathFdR&gt;</w:t>
    </w:r>
    <w:r w:rsidRPr="00726E90">
      <w:rPr>
        <w:lang w:val="fr-FR"/>
      </w:rPr>
      <w:tab/>
    </w:r>
    <w:r w:rsidRPr="00726E90">
      <w:rPr>
        <w:lang w:val="fr-FR"/>
      </w:rPr>
      <w:tab/>
      <w:t>PE</w:t>
    </w:r>
    <w:r w:rsidRPr="00726E90">
      <w:rPr>
        <w:rStyle w:val="HideTWBExt"/>
        <w:noProof w:val="0"/>
        <w:lang w:val="fr-FR"/>
      </w:rPr>
      <w:t>&lt;NoPE&gt;</w:t>
    </w:r>
    <w:r w:rsidRPr="00726E90">
      <w:rPr>
        <w:lang w:val="fr-FR"/>
      </w:rPr>
      <w:t>643.413</w:t>
    </w:r>
    <w:r w:rsidRPr="00726E90">
      <w:rPr>
        <w:rStyle w:val="HideTWBExt"/>
        <w:noProof w:val="0"/>
        <w:lang w:val="fr-FR"/>
      </w:rPr>
      <w:t>&lt;/NoPE&gt;&lt;Version&gt;</w:t>
    </w:r>
    <w:r w:rsidRPr="00726E90">
      <w:rPr>
        <w:lang w:val="fr-FR"/>
      </w:rPr>
      <w:t>v01-00</w:t>
    </w:r>
    <w:r w:rsidRPr="00726E90">
      <w:rPr>
        <w:rStyle w:val="HideTWBExt"/>
        <w:noProof w:val="0"/>
        <w:lang w:val="fr-FR"/>
      </w:rPr>
      <w:t>&lt;/Version&gt;</w:t>
    </w:r>
  </w:p>
  <w:p w14:paraId="1CA24A96" w14:textId="254E7CE0" w:rsidR="0089302B" w:rsidRPr="00293E38" w:rsidRDefault="00937563" w:rsidP="00937563">
    <w:pPr>
      <w:pStyle w:val="EPFooter2"/>
    </w:pPr>
    <w:r w:rsidRPr="00293E38">
      <w:t>PL</w:t>
    </w:r>
    <w:r w:rsidRPr="00293E38">
      <w:tab/>
    </w:r>
    <w:r w:rsidRPr="00293E38">
      <w:rPr>
        <w:b w:val="0"/>
        <w:i/>
        <w:color w:val="C0C0C0"/>
        <w:sz w:val="22"/>
      </w:rPr>
      <w:t>Zjednoczona w różnorodności</w:t>
    </w:r>
    <w:r w:rsidRPr="00293E38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C734" w14:textId="77777777" w:rsidR="0089302B" w:rsidRPr="00293E38" w:rsidRDefault="0089302B">
      <w:r w:rsidRPr="00293E38">
        <w:separator/>
      </w:r>
    </w:p>
  </w:footnote>
  <w:footnote w:type="continuationSeparator" w:id="0">
    <w:p w14:paraId="22F7FA71" w14:textId="77777777" w:rsidR="0089302B" w:rsidRPr="00293E38" w:rsidRDefault="0089302B">
      <w:r w:rsidRPr="00293E38">
        <w:continuationSeparator/>
      </w:r>
    </w:p>
  </w:footnote>
  <w:footnote w:id="1">
    <w:p w14:paraId="4586C355" w14:textId="77777777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C 482 z 23.12.2016, s. 117.</w:t>
      </w:r>
    </w:p>
  </w:footnote>
  <w:footnote w:id="2">
    <w:p w14:paraId="5E007968" w14:textId="77777777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t xml:space="preserve"> Dz.U. C 215 z 19.6.2018, s. 162.</w:t>
      </w:r>
    </w:p>
  </w:footnote>
  <w:footnote w:id="3">
    <w:p w14:paraId="533E6957" w14:textId="4CBA210E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t xml:space="preserve"> Teksty przyjęte, P8_TA(2018)0456.</w:t>
      </w:r>
    </w:p>
  </w:footnote>
  <w:footnote w:id="4">
    <w:p w14:paraId="1C5C114A" w14:textId="1505541E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Dz.U. C 356 z 4.10.2018, s. 29.</w:t>
      </w:r>
    </w:p>
  </w:footnote>
  <w:footnote w:id="5">
    <w:p w14:paraId="130FFFD4" w14:textId="136789E9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Teksty przyjęte, P8_TA(2018)0204.</w:t>
      </w:r>
    </w:p>
  </w:footnote>
  <w:footnote w:id="6">
    <w:p w14:paraId="5440574F" w14:textId="26C8D792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 xml:space="preserve">Pytanie wymagające odpowiedzi ustnej O-000015/2019 do Komisji </w:t>
      </w:r>
      <w:r>
        <w:rPr>
          <w:color w:val="auto"/>
          <w:bdr w:val="none" w:sz="0" w:space="0" w:color="auto"/>
        </w:rPr>
        <w:t>– B8-0017/2019).</w:t>
      </w:r>
    </w:p>
  </w:footnote>
  <w:footnote w:id="7">
    <w:p w14:paraId="43625581" w14:textId="77777777" w:rsidR="0089302B" w:rsidRPr="00726E90" w:rsidRDefault="0089302B" w:rsidP="000458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26E90">
        <w:rPr>
          <w:rStyle w:val="FootnoteReference"/>
          <w:lang w:val="en-GB"/>
        </w:rPr>
        <w:t xml:space="preserve"> </w:t>
      </w:r>
      <w:r w:rsidRPr="00726E90">
        <w:rPr>
          <w:lang w:val="en-GB"/>
        </w:rPr>
        <w:t>https://rsf.org/en/malta</w:t>
      </w:r>
    </w:p>
  </w:footnote>
  <w:footnote w:id="8">
    <w:p w14:paraId="2E770D9B" w14:textId="6D3ABAFD" w:rsidR="0089302B" w:rsidRPr="00726E90" w:rsidRDefault="0089302B" w:rsidP="000458E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726E90">
        <w:rPr>
          <w:rStyle w:val="FootnoteReference"/>
          <w:lang w:val="en-GB"/>
        </w:rPr>
        <w:t xml:space="preserve"> </w:t>
      </w:r>
      <w:r w:rsidRPr="00726E90">
        <w:rPr>
          <w:lang w:val="en-GB"/>
        </w:rPr>
        <w:t>Civicus Monitor „People Power Under Attack” [„Atak na władzę ludu”], 2019 r.</w:t>
      </w:r>
    </w:p>
  </w:footnote>
  <w:footnote w:id="9">
    <w:p w14:paraId="2851C1AF" w14:textId="6BA5FE12" w:rsidR="0089302B" w:rsidRPr="00293E38" w:rsidRDefault="0089302B" w:rsidP="000458EF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Komitet Ekspertów ds. Oceny Środków Przeciwdziałania Praniu Pieniędzy i Finansowaniu Terroryzmu (MONEYVAL) „Środki przeciwdziałania praniu pieniędzy i finansowaniu terroryzmu – Malta – Sprawozdanie z piątej rundy wzajemnej oceny”, lipiec 2019 r.</w:t>
      </w:r>
    </w:p>
  </w:footnote>
  <w:footnote w:id="10">
    <w:p w14:paraId="63803043" w14:textId="3B7529DB" w:rsidR="0089302B" w:rsidRPr="00293E38" w:rsidRDefault="0089302B" w:rsidP="000458EF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GRECO, Piąta runda ocen – Zapobieganie korupcji i promowanie uczciwości w rządach centralnych (najwyższe funkcje wykonawcze) i organach ścigania – Sprawozdanie oceniające – Malta, 3 kwietnia 2019 r.</w:t>
      </w:r>
    </w:p>
  </w:footnote>
  <w:footnote w:id="11">
    <w:p w14:paraId="6DC1FE51" w14:textId="29FFBF9E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Komisja Europejska, Taxation Papers, Dokument roboczy nr 76 – 2019 – Oszacowanie międzynarodowego uchylania się od opodatkowania przez osoby fizyczne, wrzesień 2019 r.</w:t>
      </w:r>
    </w:p>
  </w:footnote>
  <w:footnote w:id="12">
    <w:p w14:paraId="46465D44" w14:textId="1031FA00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GRECO, Piąta runda ocen – Zapobieganie korupcji i promowanie uczciwości w rządach centralnych (najwyższe funkcje wykonawcze) i organach ścigania – Sprawozdanie oceniające – Malta, 3 kwietnia 2019 r.</w:t>
      </w:r>
    </w:p>
  </w:footnote>
  <w:footnote w:id="13">
    <w:p w14:paraId="1474CCA7" w14:textId="083741CA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Urząd ds. Regulacji Programu dla Inwestorów Indywidualnych (IIP), Analiza wniosków IIP przedstawionych przez Chetcuti Cauchi Advocates, 8 listopada 2019 r.</w:t>
      </w:r>
    </w:p>
  </w:footnote>
  <w:footnote w:id="14">
    <w:p w14:paraId="5FDBD910" w14:textId="77777777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t xml:space="preserve"> Malta – Opinia w sprawie przepisów konstytucyjnych i podziału władz przyjęta przez Komisję Wenecką na 117. sesji plenarnej (Wenecja, 14–15 grudnia 2018 r.).</w:t>
      </w:r>
    </w:p>
  </w:footnote>
  <w:footnote w:id="15">
    <w:p w14:paraId="10233613" w14:textId="4AE39BB4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Rezolucja z dnia 25 października 2016 r. zawierająca zalecenia dla Komisji w kwestii utworzenia unijnego mechanizmu dotyczącego demokracji, praworządności i praw podstawowych – Dz.U. C 215 z 19.6.2018, s. 162; rezolucja z dnia 14 listopada 2018 r. w sprawie potrzeby utworzenia kompleksowego mechanizmu UE na rzecz ochrony demokracji, praworządności i praw podstawowych – Teksty przyjęte, P8_TA(2018)0456.</w:t>
      </w:r>
    </w:p>
  </w:footnote>
  <w:footnote w:id="16">
    <w:p w14:paraId="31DE22A9" w14:textId="5CC0E614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Rezolucja z dnia 25 października 2016 r. zawierająca zalecenia dla Komisji w kwestii utworzenia unijnego mechanizmu dotyczącego demokracji, praworządności i praw podstawowych – Dz.U. C 215 z 19.6.2018, s. 162; rezolucja z dnia 14 listopada 2018 r. w sprawie potrzeby utworzenia kompleksowego mechanizmu UE na rzecz ochrony demokracji, praworządności i praw podstawowych – Teksty przyjęte, P8_TA(2018)0456.</w:t>
      </w:r>
    </w:p>
  </w:footnote>
  <w:footnote w:id="17">
    <w:p w14:paraId="31E48A3B" w14:textId="1EB0170D" w:rsidR="0089302B" w:rsidRPr="00293E38" w:rsidRDefault="0089302B" w:rsidP="000458EF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Rezolucja Parlamentu Europejskiego z dnia 26 marca 2019 r. w sprawie przestępstw finansowych, uchylania się od opodatkowania i unikania opodatkowania – Teksty przyjęte, P8_TA(2019)0240. Rezolucja Parlamentu Europejskiego z dnia 28 marca 2019 r. w sprawie stanu praworządności i zwalczania korupcji w UE, a zwłaszcza na Malcie i na Słowacji – Teksty przyjęte, P8_TA(2019)0328; Rezolucja Parlamentu Europejskiego z dnia 16 stycznia 2014 r. w sprawie stosunków UE–Turcja – Teksty przyjęte, P7_TA(2014)0038;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7B90" w14:textId="77777777" w:rsidR="0013215C" w:rsidRDefault="0013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EF6D" w14:textId="77777777" w:rsidR="0013215C" w:rsidRDefault="0013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088C" w14:textId="77777777" w:rsidR="0013215C" w:rsidRDefault="0013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1"/>
    <w:docVar w:name="strDocTypeID" w:val="RE_Statements"/>
    <w:docVar w:name="strSubDir" w:val="1195"/>
    <w:docVar w:name="TXTLANGUE" w:val="PL"/>
    <w:docVar w:name="TXTLANGUEMIN" w:val="pl"/>
    <w:docVar w:name="TXTNRB" w:val="0240/2019"/>
    <w:docVar w:name="TXTNRPE" w:val="643.413"/>
    <w:docVar w:name="TXTNRRSP" w:val="2019/2954"/>
    <w:docVar w:name="TXTPEorAP" w:val="PE"/>
    <w:docVar w:name="TXTROUTE" w:val="RE\1195283PL.docx"/>
    <w:docVar w:name="TXTTITLE" w:val="the Rule of Law in Malta, after the recent revelations around the murder of Daphne Caruana Galizia"/>
    <w:docVar w:name="TXTVERSION" w:val="01-00"/>
  </w:docVars>
  <w:rsids>
    <w:rsidRoot w:val="00661AAE"/>
    <w:rsid w:val="00037F46"/>
    <w:rsid w:val="00044D1C"/>
    <w:rsid w:val="000458EF"/>
    <w:rsid w:val="00094DDA"/>
    <w:rsid w:val="00117781"/>
    <w:rsid w:val="0013215C"/>
    <w:rsid w:val="001B36CD"/>
    <w:rsid w:val="001B49A3"/>
    <w:rsid w:val="001B7CFB"/>
    <w:rsid w:val="001C16A7"/>
    <w:rsid w:val="001C62C5"/>
    <w:rsid w:val="001E2450"/>
    <w:rsid w:val="00222BBB"/>
    <w:rsid w:val="002574AA"/>
    <w:rsid w:val="00272A5A"/>
    <w:rsid w:val="00293069"/>
    <w:rsid w:val="00293E38"/>
    <w:rsid w:val="002C7767"/>
    <w:rsid w:val="00303413"/>
    <w:rsid w:val="003772FA"/>
    <w:rsid w:val="00411D03"/>
    <w:rsid w:val="00412503"/>
    <w:rsid w:val="0042100A"/>
    <w:rsid w:val="00471D62"/>
    <w:rsid w:val="004B5166"/>
    <w:rsid w:val="00516BD3"/>
    <w:rsid w:val="0058312A"/>
    <w:rsid w:val="00591533"/>
    <w:rsid w:val="005D6861"/>
    <w:rsid w:val="00654CBD"/>
    <w:rsid w:val="00661AAE"/>
    <w:rsid w:val="006726A1"/>
    <w:rsid w:val="006A27B7"/>
    <w:rsid w:val="006F48B8"/>
    <w:rsid w:val="00706BC0"/>
    <w:rsid w:val="00723A0B"/>
    <w:rsid w:val="00726E90"/>
    <w:rsid w:val="00780A7D"/>
    <w:rsid w:val="007A25D0"/>
    <w:rsid w:val="007E1E11"/>
    <w:rsid w:val="00814BC6"/>
    <w:rsid w:val="008278C0"/>
    <w:rsid w:val="008445F0"/>
    <w:rsid w:val="00866D70"/>
    <w:rsid w:val="0089302B"/>
    <w:rsid w:val="008A4052"/>
    <w:rsid w:val="008D7B31"/>
    <w:rsid w:val="00907285"/>
    <w:rsid w:val="00910F7E"/>
    <w:rsid w:val="00916EC9"/>
    <w:rsid w:val="00937563"/>
    <w:rsid w:val="00981ED6"/>
    <w:rsid w:val="009D24DE"/>
    <w:rsid w:val="00A32337"/>
    <w:rsid w:val="00A4763A"/>
    <w:rsid w:val="00A516B8"/>
    <w:rsid w:val="00A90219"/>
    <w:rsid w:val="00A97739"/>
    <w:rsid w:val="00B34A46"/>
    <w:rsid w:val="00B87467"/>
    <w:rsid w:val="00B90331"/>
    <w:rsid w:val="00BC3002"/>
    <w:rsid w:val="00BF2C2D"/>
    <w:rsid w:val="00C23264"/>
    <w:rsid w:val="00CC09D8"/>
    <w:rsid w:val="00D1058A"/>
    <w:rsid w:val="00D12F64"/>
    <w:rsid w:val="00D44718"/>
    <w:rsid w:val="00D62D36"/>
    <w:rsid w:val="00D64808"/>
    <w:rsid w:val="00D90D37"/>
    <w:rsid w:val="00DF7943"/>
    <w:rsid w:val="00E53167"/>
    <w:rsid w:val="00EA43FB"/>
    <w:rsid w:val="00EC05E9"/>
    <w:rsid w:val="00ED22B8"/>
    <w:rsid w:val="00F02A2C"/>
    <w:rsid w:val="00F1337D"/>
    <w:rsid w:val="00F26DE8"/>
    <w:rsid w:val="00F4455A"/>
    <w:rsid w:val="00F7050A"/>
    <w:rsid w:val="00F959BA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9BF04"/>
  <w15:chartTrackingRefBased/>
  <w15:docId w15:val="{A183A193-53C5-4500-9931-FC81A6A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styleId="Footer">
    <w:name w:val="footer"/>
    <w:basedOn w:val="Normal"/>
    <w:link w:val="FooterChar"/>
    <w:semiHidden/>
    <w:rsid w:val="00044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44D1C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458E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u w:color="000000"/>
      <w:bdr w:val="nil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58EF"/>
    <w:rPr>
      <w:color w:val="000000"/>
      <w:u w:color="000000"/>
      <w:bdr w:val="nil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458EF"/>
    <w:rPr>
      <w:vertAlign w:val="superscript"/>
    </w:rPr>
  </w:style>
  <w:style w:type="character" w:styleId="Hyperlink">
    <w:name w:val="Hyperlink"/>
    <w:uiPriority w:val="99"/>
    <w:rsid w:val="000458EF"/>
    <w:rPr>
      <w:u w:val="single"/>
    </w:rPr>
  </w:style>
  <w:style w:type="character" w:styleId="CommentReference">
    <w:name w:val="annotation reference"/>
    <w:basedOn w:val="DefaultParagraphFont"/>
    <w:rsid w:val="00045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8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58EF"/>
  </w:style>
  <w:style w:type="paragraph" w:styleId="BalloonText">
    <w:name w:val="Balloon Text"/>
    <w:basedOn w:val="Normal"/>
    <w:link w:val="BalloonTextChar"/>
    <w:rsid w:val="00045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8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B87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3550</Words>
  <Characters>23310</Characters>
  <Application>Microsoft Office Word</Application>
  <DocSecurity>0</DocSecurity>
  <Lines>1059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LUTOVS Vladimirs</dc:creator>
  <cp:keywords/>
  <dc:description/>
  <cp:lastModifiedBy>WOLSZCZAK Monika</cp:lastModifiedBy>
  <cp:revision>2</cp:revision>
  <cp:lastPrinted>2019-12-17T07:59:00Z</cp:lastPrinted>
  <dcterms:created xsi:type="dcterms:W3CDTF">2019-12-17T18:17:00Z</dcterms:created>
  <dcterms:modified xsi:type="dcterms:W3CDTF">2019-12-17T18:17:00Z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1195283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\\eiciLUXpr1\pdocep$\DocEP\DOCS\General\RE\RE_Statements.dotx(15/10/2019 06:18:29)</vt:lpwstr>
  </property>
  <property fmtid="{D5CDD505-2E9C-101B-9397-08002B2CF9AE}" pid="7" name="&lt;ModelTra&gt;">
    <vt:lpwstr>\\eiciLUXpr1\pdocep$\DocEP\TRANSFIL\EN\RE_Statements.EN(25/06/2019 11:01:00)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RE\1195283PL.docx</vt:lpwstr>
  </property>
  <property fmtid="{D5CDD505-2E9C-101B-9397-08002B2CF9AE}" pid="10" name="PE number">
    <vt:lpwstr>643.413</vt:lpwstr>
  </property>
  <property fmtid="{D5CDD505-2E9C-101B-9397-08002B2CF9AE}" pid="11" name="Bookout">
    <vt:lpwstr>OK - 2019/12/17 19:17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