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055E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06BC0" w:rsidRPr="00055E77" w:rsidRDefault="00055E77" w:rsidP="00F26DE8">
            <w:pPr>
              <w:pStyle w:val="EPName"/>
            </w:pPr>
            <w:bookmarkStart w:id="0" w:name="_GoBack"/>
            <w:bookmarkEnd w:id="0"/>
            <w:r>
              <w:t>Parlamento europeo</w:t>
            </w:r>
          </w:p>
          <w:p w:rsidR="00706BC0" w:rsidRPr="00CC5F86" w:rsidRDefault="00CC5F86" w:rsidP="00CC5F86">
            <w:pPr>
              <w:pStyle w:val="EPTerm"/>
              <w:rPr>
                <w:rStyle w:val="HideTWBExt"/>
                <w:noProof w:val="0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706BC0" w:rsidRPr="00055E77" w:rsidRDefault="001E2450" w:rsidP="00F26DE8">
            <w:pPr>
              <w:pStyle w:val="EPLogo"/>
            </w:pPr>
            <w:r w:rsidRPr="00055E77">
              <w:rPr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167" w:rsidRPr="00055E77" w:rsidRDefault="00E53167" w:rsidP="00E53167">
      <w:pPr>
        <w:pStyle w:val="LineTop"/>
      </w:pPr>
    </w:p>
    <w:p w:rsidR="00E53167" w:rsidRPr="00055E77" w:rsidRDefault="00CC5F86" w:rsidP="00E53167">
      <w:pPr>
        <w:pStyle w:val="EPBody"/>
      </w:pPr>
      <w:r>
        <w:t>Documento di seduta</w:t>
      </w:r>
    </w:p>
    <w:p w:rsidR="00094DDA" w:rsidRPr="00055E77" w:rsidRDefault="00094DDA" w:rsidP="00094DDA">
      <w:pPr>
        <w:pStyle w:val="LineBottom"/>
      </w:pPr>
    </w:p>
    <w:p w:rsidR="00094DDA" w:rsidRPr="00055E77" w:rsidRDefault="00094DDA" w:rsidP="00094DDA">
      <w:pPr>
        <w:pStyle w:val="CoverReference"/>
      </w:pPr>
      <w:r>
        <w:rPr>
          <w:rStyle w:val="HideTWBExt"/>
          <w:b w:val="0"/>
          <w:noProof w:val="0"/>
        </w:rPr>
        <w:t>&lt;NoDocSe&gt;</w:t>
      </w:r>
      <w:r>
        <w:t>B9-0251/2019</w:t>
      </w:r>
      <w:r>
        <w:rPr>
          <w:rStyle w:val="HideTWBExt"/>
          <w:b w:val="0"/>
          <w:noProof w:val="0"/>
        </w:rPr>
        <w:t>&lt;/NoDocSe&gt;</w:t>
      </w:r>
    </w:p>
    <w:p w:rsidR="00094DDA" w:rsidRPr="00055E77" w:rsidRDefault="00094DDA" w:rsidP="00094DDA">
      <w:pPr>
        <w:pStyle w:val="CoverDate"/>
      </w:pPr>
      <w:r>
        <w:rPr>
          <w:rStyle w:val="HideTWBExt"/>
          <w:noProof w:val="0"/>
        </w:rPr>
        <w:t>&lt;Date&gt;</w:t>
      </w:r>
      <w:r>
        <w:rPr>
          <w:rStyle w:val="HideTWBInt"/>
          <w:noProof w:val="0"/>
        </w:rPr>
        <w:t>{16/12/2019}</w:t>
      </w:r>
      <w:r>
        <w:t>16.12.2019</w:t>
      </w:r>
      <w:r>
        <w:rPr>
          <w:rStyle w:val="HideTWBExt"/>
          <w:noProof w:val="0"/>
        </w:rPr>
        <w:t>&lt;/Date&gt;</w:t>
      </w:r>
    </w:p>
    <w:p w:rsidR="00814BC6" w:rsidRPr="00055E77" w:rsidRDefault="00814BC6">
      <w:pPr>
        <w:pStyle w:val="CoverDocType24a"/>
      </w:pPr>
      <w:r>
        <w:rPr>
          <w:rStyle w:val="HideTWBExt"/>
          <w:b w:val="0"/>
          <w:noProof w:val="0"/>
        </w:rPr>
        <w:t>&lt;TitreType&gt;</w:t>
      </w:r>
      <w:r>
        <w:t>PROPOSTA DI RISOLUZIONE</w:t>
      </w:r>
      <w:r>
        <w:rPr>
          <w:rStyle w:val="HideTWBExt"/>
          <w:b w:val="0"/>
          <w:noProof w:val="0"/>
        </w:rPr>
        <w:t>&lt;/TitreType&gt;</w:t>
      </w:r>
    </w:p>
    <w:p w:rsidR="00814BC6" w:rsidRPr="00055E77" w:rsidRDefault="00814BC6">
      <w:pPr>
        <w:pStyle w:val="CoverNormal12a"/>
      </w:pPr>
      <w:r>
        <w:rPr>
          <w:rStyle w:val="HideTWBExt"/>
          <w:noProof w:val="0"/>
        </w:rPr>
        <w:t>&lt;TitreSuite&gt;</w:t>
      </w:r>
      <w:r>
        <w:t>presentata a seguito di una dichiarazione del vicepresidente della Commissione/alto rappresentante dell</w:t>
      </w:r>
      <w:r w:rsidR="00085CCE">
        <w:t>'</w:t>
      </w:r>
      <w:r>
        <w:t>Unione per gli affari esteri e la politica di sicurezza</w:t>
      </w:r>
      <w:r>
        <w:rPr>
          <w:rStyle w:val="HideTWBExt"/>
          <w:noProof w:val="0"/>
        </w:rPr>
        <w:t>&lt;/TitreSuite&gt;</w:t>
      </w:r>
    </w:p>
    <w:p w:rsidR="00814BC6" w:rsidRPr="00055E77" w:rsidRDefault="00814BC6">
      <w:pPr>
        <w:pStyle w:val="CoverNormal12a"/>
      </w:pPr>
      <w:r>
        <w:rPr>
          <w:rStyle w:val="HideTWBExt"/>
          <w:noProof w:val="0"/>
        </w:rPr>
        <w:t>&lt;TitreRecueil&gt;</w:t>
      </w:r>
      <w:r>
        <w:t>a norma dell</w:t>
      </w:r>
      <w:r w:rsidR="00085CCE">
        <w:t>'</w:t>
      </w:r>
      <w:r>
        <w:t>articolo 132, paragrafo 2, del regolamento</w:t>
      </w:r>
      <w:r>
        <w:rPr>
          <w:rStyle w:val="HideTWBExt"/>
          <w:noProof w:val="0"/>
        </w:rPr>
        <w:t>&lt;/TitreRecueil&gt;</w:t>
      </w:r>
    </w:p>
    <w:p w:rsidR="00C23264" w:rsidRPr="00CC5F86" w:rsidRDefault="00C23264" w:rsidP="00C23264">
      <w:pPr>
        <w:pStyle w:val="CoverNormal"/>
      </w:pPr>
      <w:r w:rsidRPr="00085CCE">
        <w:rPr>
          <w:rStyle w:val="HideTWBExt"/>
          <w:noProof w:val="0"/>
        </w:rPr>
        <w:t>&lt;Titre&gt;</w:t>
      </w:r>
      <w:r>
        <w:t>sulla situazione dei diritti umani e della democrazia in Nicaragua</w:t>
      </w:r>
      <w:r w:rsidRPr="00085CCE">
        <w:rPr>
          <w:rStyle w:val="HideTWBExt"/>
          <w:noProof w:val="0"/>
        </w:rPr>
        <w:t>&lt;/Titre&gt;</w:t>
      </w:r>
    </w:p>
    <w:p w:rsidR="00C23264" w:rsidRPr="00085CCE" w:rsidRDefault="00C23264" w:rsidP="00C23264">
      <w:pPr>
        <w:pStyle w:val="CoverNormal24a"/>
        <w:rPr>
          <w:lang w:val="pt-PT"/>
        </w:rPr>
      </w:pPr>
      <w:r w:rsidRPr="00085CCE">
        <w:rPr>
          <w:rStyle w:val="HideTWBExt"/>
          <w:noProof w:val="0"/>
          <w:lang w:val="pt-PT"/>
        </w:rPr>
        <w:t>&lt;DocRef&gt;</w:t>
      </w:r>
      <w:r w:rsidRPr="00085CCE">
        <w:rPr>
          <w:lang w:val="pt-PT"/>
        </w:rPr>
        <w:t>(2019/2978(RSP))</w:t>
      </w:r>
      <w:r w:rsidRPr="00085CCE">
        <w:rPr>
          <w:rStyle w:val="HideTWBExt"/>
          <w:noProof w:val="0"/>
          <w:lang w:val="pt-PT"/>
        </w:rPr>
        <w:t>&lt;/DocRef&gt;</w:t>
      </w:r>
    </w:p>
    <w:p w:rsidR="002574AA" w:rsidRPr="00085CCE" w:rsidRDefault="002574AA" w:rsidP="002574AA">
      <w:pPr>
        <w:pStyle w:val="CoverBold"/>
        <w:rPr>
          <w:lang w:val="pt-PT"/>
        </w:rPr>
      </w:pPr>
      <w:r w:rsidRPr="00085CCE">
        <w:rPr>
          <w:rStyle w:val="HideTWBExt"/>
          <w:b w:val="0"/>
          <w:noProof w:val="0"/>
          <w:lang w:val="pt-PT"/>
        </w:rPr>
        <w:t>&lt;RepeatBlock-By&gt;&lt;Depute&gt;</w:t>
      </w:r>
      <w:r w:rsidRPr="00085CCE">
        <w:rPr>
          <w:lang w:val="pt-PT"/>
        </w:rPr>
        <w:t>Kati Piri, Maria Manuel Leitão Marques</w:t>
      </w:r>
      <w:r w:rsidRPr="00085CCE">
        <w:rPr>
          <w:rStyle w:val="HideTWBExt"/>
          <w:b w:val="0"/>
          <w:noProof w:val="0"/>
          <w:lang w:val="pt-PT"/>
        </w:rPr>
        <w:t>&lt;/Depute&gt;</w:t>
      </w:r>
    </w:p>
    <w:p w:rsidR="002574AA" w:rsidRPr="00055E77" w:rsidRDefault="002574AA" w:rsidP="002574AA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  <w:noProof w:val="0"/>
        </w:rPr>
        <w:t>{S&amp;D}</w:t>
      </w:r>
      <w:r>
        <w:t>a nome del gruppo S&amp;D</w:t>
      </w:r>
      <w:r>
        <w:rPr>
          <w:rStyle w:val="HideTWBExt"/>
          <w:noProof w:val="0"/>
        </w:rPr>
        <w:t>&lt;/Commission&gt;</w:t>
      </w:r>
    </w:p>
    <w:p w:rsidR="002574AA" w:rsidRPr="00CC5F86" w:rsidRDefault="002574AA" w:rsidP="002574AA">
      <w:pPr>
        <w:pStyle w:val="CoverNormal"/>
      </w:pPr>
      <w:r w:rsidRPr="00085CCE">
        <w:rPr>
          <w:rStyle w:val="HideTWBExt"/>
          <w:noProof w:val="0"/>
        </w:rPr>
        <w:t>&lt;/RepeatBlock-By&gt;</w:t>
      </w:r>
    </w:p>
    <w:p w:rsidR="00814BC6" w:rsidRPr="00CC5F86" w:rsidRDefault="00814BC6">
      <w:pPr>
        <w:pStyle w:val="NormalBold12a"/>
      </w:pPr>
      <w:r>
        <w:br w:type="page"/>
      </w:r>
      <w:r>
        <w:lastRenderedPageBreak/>
        <w:t>B9-0251/2019</w:t>
      </w:r>
    </w:p>
    <w:p w:rsidR="00C23264" w:rsidRPr="00CC5F86" w:rsidRDefault="00CC5F86" w:rsidP="00C23264">
      <w:pPr>
        <w:pStyle w:val="NormalBold"/>
      </w:pPr>
      <w:r>
        <w:t>Risoluzione del Parlamento europeo sulla situazione dei diritti umani e della democrazia in Nicaragua</w:t>
      </w:r>
    </w:p>
    <w:p w:rsidR="00C23264" w:rsidRPr="00055E77" w:rsidRDefault="00055E77" w:rsidP="00DF7943">
      <w:pPr>
        <w:pStyle w:val="NormalBold"/>
      </w:pPr>
      <w:r>
        <w:t>(2019/2978(RSP))</w:t>
      </w:r>
    </w:p>
    <w:p w:rsidR="00814BC6" w:rsidRPr="00055E77" w:rsidRDefault="00055E77">
      <w:pPr>
        <w:pStyle w:val="EPComma"/>
      </w:pPr>
      <w:r>
        <w:rPr>
          <w:i/>
        </w:rPr>
        <w:t>Il Parlamento europeo</w:t>
      </w:r>
      <w:r>
        <w:t>,</w:t>
      </w:r>
    </w:p>
    <w:p w:rsidR="00CC5F86" w:rsidRPr="00DA3AE5" w:rsidRDefault="00814BC6" w:rsidP="00CC5F86">
      <w:pPr>
        <w:pStyle w:val="NormalHanging12a"/>
      </w:pPr>
      <w:r>
        <w:t>–</w:t>
      </w:r>
      <w:r>
        <w:tab/>
        <w:t>viste le sue precedenti risoluzioni sul Nicaragua, in par</w:t>
      </w:r>
      <w:r w:rsidR="00CC4B34">
        <w:t>ticolare quelle del 18 dicembre </w:t>
      </w:r>
      <w:r>
        <w:t>2008</w:t>
      </w:r>
      <w:r w:rsidR="00CC5F86" w:rsidRPr="00774186">
        <w:rPr>
          <w:rStyle w:val="FootnoteReference"/>
        </w:rPr>
        <w:footnoteReference w:id="1"/>
      </w:r>
      <w:r>
        <w:t>, del 26 novembre 2009</w:t>
      </w:r>
      <w:r w:rsidR="00CC5F86" w:rsidRPr="00774186">
        <w:rPr>
          <w:rStyle w:val="FootnoteReference"/>
        </w:rPr>
        <w:footnoteReference w:id="2"/>
      </w:r>
      <w:r>
        <w:t>, del 16 febbraio 2017</w:t>
      </w:r>
      <w:r w:rsidR="00CC5F86" w:rsidRPr="00774186">
        <w:rPr>
          <w:rStyle w:val="FootnoteReference"/>
        </w:rPr>
        <w:footnoteReference w:id="3"/>
      </w:r>
      <w:r>
        <w:t>, del 31 maggio 2018</w:t>
      </w:r>
      <w:r w:rsidR="00CC5F86" w:rsidRPr="00774186">
        <w:rPr>
          <w:rStyle w:val="FootnoteReference"/>
        </w:rPr>
        <w:footnoteReference w:id="4"/>
      </w:r>
      <w:r>
        <w:t xml:space="preserve"> e del 14 marzo 2019</w:t>
      </w:r>
      <w:r w:rsidR="00CC5F86" w:rsidRPr="00774186">
        <w:rPr>
          <w:rStyle w:val="FootnoteReference"/>
        </w:rPr>
        <w:footnoteReference w:id="5"/>
      </w:r>
      <w:r>
        <w:t>,</w:t>
      </w:r>
    </w:p>
    <w:p w:rsidR="00CC5F86" w:rsidRPr="00CC5F86" w:rsidRDefault="00CC5F86" w:rsidP="00CC5F86">
      <w:pPr>
        <w:pStyle w:val="NormalHanging12a"/>
      </w:pPr>
      <w:r>
        <w:t>–</w:t>
      </w:r>
      <w:r>
        <w:tab/>
        <w:t>visto l</w:t>
      </w:r>
      <w:r w:rsidR="00085CCE">
        <w:t>'</w:t>
      </w:r>
      <w:r>
        <w:t>accordo di associazione del 2012 tra l</w:t>
      </w:r>
      <w:r w:rsidR="00085CCE">
        <w:t>'</w:t>
      </w:r>
      <w:r>
        <w:t>UE e l</w:t>
      </w:r>
      <w:r w:rsidR="00085CCE">
        <w:t>'</w:t>
      </w:r>
      <w:r>
        <w:t>America centrale,</w:t>
      </w:r>
    </w:p>
    <w:p w:rsidR="00CC5F86" w:rsidRPr="00CC5F86" w:rsidRDefault="00CC5F86" w:rsidP="00CC5F86">
      <w:pPr>
        <w:pStyle w:val="NormalHanging12a"/>
      </w:pPr>
      <w:r>
        <w:t>–</w:t>
      </w:r>
      <w:r>
        <w:tab/>
        <w:t>visti il documento di strategia nazionale dell</w:t>
      </w:r>
      <w:r w:rsidR="00085CCE">
        <w:t>'</w:t>
      </w:r>
      <w:r>
        <w:t>UE e il p</w:t>
      </w:r>
      <w:r w:rsidR="00CC4B34">
        <w:t>rogramma indicativo pluriennale </w:t>
      </w:r>
      <w:r>
        <w:t>2014-2020 sul Nicaragua,</w:t>
      </w:r>
    </w:p>
    <w:p w:rsidR="00CC5F86" w:rsidRPr="00CC5F86" w:rsidRDefault="00CC5F86" w:rsidP="00CC5F86">
      <w:pPr>
        <w:pStyle w:val="NormalHanging12a"/>
      </w:pPr>
      <w:r>
        <w:t>–</w:t>
      </w:r>
      <w:r>
        <w:tab/>
        <w:t>viste le conclusioni del Consiglio sul Nicaragua, in pa</w:t>
      </w:r>
      <w:r w:rsidR="00CC4B34">
        <w:t>rticolare quelle del 14 ottobre </w:t>
      </w:r>
      <w:r>
        <w:t>2019 che istituiscono un quadro per sanzioni mirate,</w:t>
      </w:r>
    </w:p>
    <w:p w:rsidR="00CC5F86" w:rsidRPr="00CC5F86" w:rsidRDefault="00CC5F86" w:rsidP="00CC5F86">
      <w:pPr>
        <w:pStyle w:val="NormalHanging12a"/>
      </w:pPr>
      <w:r>
        <w:t>–</w:t>
      </w:r>
      <w:r>
        <w:tab/>
        <w:t>viste le dichiarazioni rilasciate il 20 novembre 2019 dal vicepresidente della Commissione/alt</w:t>
      </w:r>
      <w:r w:rsidR="006B0081">
        <w:t>o</w:t>
      </w:r>
      <w:r>
        <w:t xml:space="preserve"> rappresentante dell</w:t>
      </w:r>
      <w:r w:rsidR="00085CCE">
        <w:t>'</w:t>
      </w:r>
      <w:r>
        <w:t>Unione per gli affari esteri e la politica di sicurezza (VP/AR), a nome dell</w:t>
      </w:r>
      <w:r w:rsidR="00085CCE">
        <w:t>'</w:t>
      </w:r>
      <w:r>
        <w:t>Unione europea, sulla situazione in Nicaragua,</w:t>
      </w:r>
    </w:p>
    <w:p w:rsidR="00CC5F86" w:rsidRPr="00CC5F86" w:rsidRDefault="00CC5F86" w:rsidP="00CC5F86">
      <w:pPr>
        <w:pStyle w:val="NormalHanging12a"/>
      </w:pPr>
      <w:r>
        <w:t>–</w:t>
      </w:r>
      <w:r>
        <w:tab/>
        <w:t>vista la dichiarazione rilasciata il 19 novembre 2019 da Rupert Colville, portavoce dell</w:t>
      </w:r>
      <w:r w:rsidR="00085CCE">
        <w:t>'</w:t>
      </w:r>
      <w:r>
        <w:t>Alto Commissario delle Nazioni Unite per i diritti umani,</w:t>
      </w:r>
    </w:p>
    <w:p w:rsidR="00CC5F86" w:rsidRPr="00CC5F86" w:rsidRDefault="00CC5F86" w:rsidP="00CC5F86">
      <w:pPr>
        <w:pStyle w:val="NormalHanging12a"/>
      </w:pPr>
      <w:r>
        <w:t>–</w:t>
      </w:r>
      <w:r>
        <w:tab/>
        <w:t>vista la relazione pubblicata il 19 novembre 2019 dalla commissione ad alto livello sul Nicaragua dell</w:t>
      </w:r>
      <w:r w:rsidR="00085CCE">
        <w:t>'</w:t>
      </w:r>
      <w:r>
        <w:t>Organizzazione degli Stati americani (OSA),</w:t>
      </w:r>
    </w:p>
    <w:p w:rsidR="00CC5F86" w:rsidRPr="00CC5F86" w:rsidRDefault="00CC5F86" w:rsidP="00CC5F86">
      <w:pPr>
        <w:pStyle w:val="NormalHanging12a"/>
      </w:pPr>
      <w:r>
        <w:t>–</w:t>
      </w:r>
      <w:r>
        <w:tab/>
        <w:t>visti i bollettini informativi del meccanismo speciale di monitoraggio per il Nicaragua (MESENI) istituito dalla Commissione interamericana dei diritti dell</w:t>
      </w:r>
      <w:r w:rsidR="00085CCE">
        <w:t>'</w:t>
      </w:r>
      <w:r>
        <w:t>uomo,</w:t>
      </w:r>
    </w:p>
    <w:p w:rsidR="00CC5F86" w:rsidRPr="00CC5F86" w:rsidRDefault="00CC5F86" w:rsidP="00CC5F86">
      <w:pPr>
        <w:pStyle w:val="NormalHanging12a"/>
      </w:pPr>
      <w:r>
        <w:t>–</w:t>
      </w:r>
      <w:r>
        <w:tab/>
        <w:t>visto il Patto internazionale relativo ai diritti civili e politici del 1966,</w:t>
      </w:r>
    </w:p>
    <w:p w:rsidR="00CC5F86" w:rsidRPr="00CC5F86" w:rsidRDefault="00CC5F86" w:rsidP="00CC5F86">
      <w:pPr>
        <w:pStyle w:val="NormalHanging12a"/>
      </w:pPr>
      <w:r>
        <w:t>–</w:t>
      </w:r>
      <w:r>
        <w:tab/>
        <w:t>vista la Dichiarazione universale dei diritti dell</w:t>
      </w:r>
      <w:r w:rsidR="00085CCE">
        <w:t>'</w:t>
      </w:r>
      <w:r>
        <w:t>uomo del 1948,</w:t>
      </w:r>
    </w:p>
    <w:p w:rsidR="00CC5F86" w:rsidRPr="00CC5F86" w:rsidRDefault="00CC5F86" w:rsidP="00CC5F86">
      <w:pPr>
        <w:pStyle w:val="NormalHanging12a"/>
        <w:rPr>
          <w:rStyle w:val="Emphasis"/>
          <w:b w:val="0"/>
          <w:color w:val="000000"/>
        </w:rPr>
      </w:pPr>
      <w:r>
        <w:t>–</w:t>
      </w:r>
      <w:r>
        <w:tab/>
        <w:t>visti gli orientamenti dell</w:t>
      </w:r>
      <w:r w:rsidR="00085CCE">
        <w:t>'</w:t>
      </w:r>
      <w:r>
        <w:t>UE sui difensori dei diritti umani, del giugno 2004,</w:t>
      </w:r>
    </w:p>
    <w:p w:rsidR="00CC09D8" w:rsidRPr="00CC5F86" w:rsidRDefault="00CC5F86" w:rsidP="00CC5F86">
      <w:pPr>
        <w:pStyle w:val="NormalHanging12a"/>
      </w:pPr>
      <w:r>
        <w:t>–</w:t>
      </w:r>
      <w:r>
        <w:tab/>
        <w:t>vista la Costituzione del Nicaragua,</w:t>
      </w:r>
    </w:p>
    <w:p w:rsidR="00ED22B8" w:rsidRPr="00055E77" w:rsidRDefault="00ED22B8" w:rsidP="00ED22B8">
      <w:pPr>
        <w:pStyle w:val="NormalHanging12a"/>
      </w:pPr>
      <w:r>
        <w:t>–</w:t>
      </w:r>
      <w:r>
        <w:tab/>
        <w:t>visto l</w:t>
      </w:r>
      <w:r w:rsidR="00085CCE">
        <w:t>'</w:t>
      </w:r>
      <w:r>
        <w:t>articolo 132, paragrafo 2, del suo regolamento,</w:t>
      </w:r>
    </w:p>
    <w:p w:rsidR="00CC5F86" w:rsidRPr="00DA3AE5" w:rsidRDefault="00814BC6" w:rsidP="00CC5F86">
      <w:pPr>
        <w:pStyle w:val="NormalHanging12a"/>
      </w:pPr>
      <w:r>
        <w:t>A.</w:t>
      </w:r>
      <w:r>
        <w:tab/>
        <w:t xml:space="preserve">considerando che i difensori dei diritti umani e altri oppositori delle azioni del governo del Nicaragua in materia di diritti umani sono sempre più di frequente oggetto di </w:t>
      </w:r>
      <w:r>
        <w:lastRenderedPageBreak/>
        <w:t>minacce di morte, intimidazioni, campagne diffamatorie online, vessazioni, misure di sorveglianza, aggressioni e persecuzioni giudiziarie; che, secondo quanto riferito dalle organizzazioni internazionali per i diritti umani, oltre 80 000 persone sono state costrette a lasciare il Nicaragua in ragione della crisi attuale, alla quale si è accompagnato un inasprimento della repressione;</w:t>
      </w:r>
    </w:p>
    <w:p w:rsidR="00CC5F86" w:rsidRPr="00CC5F86" w:rsidRDefault="00CC5F86" w:rsidP="00CC5F86">
      <w:pPr>
        <w:pStyle w:val="NormalHanging12a"/>
      </w:pPr>
      <w:r>
        <w:t>B.</w:t>
      </w:r>
      <w:r>
        <w:tab/>
        <w:t>considerando che, in base agli ultimi dati del MESENI, 328 persone hanno perso la vita e centinaia sono state ferite, oltre 150 prigionieri politici sono ancora detenuti arbitrariamente per il solo fatto di aver esercitato i loro diritti e 144 studenti sono stati espulsi dalle università per aver partecipato a manifestazioni a favore della democrazia, di una maggiore libertà e del rispetto dei diritti umani; che l</w:t>
      </w:r>
      <w:r w:rsidR="00085CCE">
        <w:t>'</w:t>
      </w:r>
      <w:r>
        <w:t>Alto Commissariato delle Nazioni Unite per i diritti umani (OHCHR) ha riferito che oltre 100 giornalisti e operatori dei media hanno dovuto lasciare il paese;</w:t>
      </w:r>
    </w:p>
    <w:p w:rsidR="00CC5F86" w:rsidRPr="00CC5F86" w:rsidRDefault="00CC5F86" w:rsidP="00CC5F86">
      <w:pPr>
        <w:pStyle w:val="NormalHanging12a"/>
        <w:rPr>
          <w:szCs w:val="24"/>
        </w:rPr>
      </w:pPr>
      <w:r>
        <w:t>C.</w:t>
      </w:r>
      <w:r>
        <w:tab/>
        <w:t>considerando che il rispetto dell</w:t>
      </w:r>
      <w:r w:rsidR="00085CCE">
        <w:t>'</w:t>
      </w:r>
      <w:r>
        <w:t>indipendenza della magistratura, il pluralismo politico e la libertà di riunione e di espressione sono diritti fondamentali e rappresentano un pilastro essenziale della democrazia e dello Stato di diritto;</w:t>
      </w:r>
    </w:p>
    <w:p w:rsidR="00CC5F86" w:rsidRPr="00CC5F86" w:rsidRDefault="00CC5F86" w:rsidP="00CC5F86">
      <w:pPr>
        <w:pStyle w:val="NormalHanging12a"/>
        <w:rPr>
          <w:szCs w:val="24"/>
        </w:rPr>
      </w:pPr>
      <w:r>
        <w:t>D.</w:t>
      </w:r>
      <w:r>
        <w:tab/>
        <w:t>considerando che il 14 novembre 2019 otto familiari di alcuni oppositori politici incarcerati hanno iniziato, insieme ad altri, uno sciopero della fame nella chiesa di San Miguel a Masaya, chiedendo il rilascio di 130 persone che sarebbero detenute nel contesto delle proteste; che la polizia ha circondato la chiesa e ha interrotto la fornitura di acqua ed energia elettrica; che la polizia ha impedito a chiunque di entrare in chiesa e fornire assistenza medica e umanitaria;</w:t>
      </w:r>
    </w:p>
    <w:p w:rsidR="00CC5F86" w:rsidRPr="00CC5F86" w:rsidRDefault="00CC5F86" w:rsidP="00CC5F86">
      <w:pPr>
        <w:pStyle w:val="NormalHanging12a"/>
        <w:rPr>
          <w:szCs w:val="24"/>
        </w:rPr>
      </w:pPr>
      <w:r>
        <w:t>E.</w:t>
      </w:r>
      <w:r>
        <w:tab/>
        <w:t>considerando che, nella stessa notte, un gruppo di almeno 13 membri dell</w:t>
      </w:r>
      <w:r w:rsidR="00085CCE">
        <w:t>'</w:t>
      </w:r>
      <w:r>
        <w:t>opposizione è stato detenuto dopo aver rifornito d</w:t>
      </w:r>
      <w:r w:rsidR="00085CCE">
        <w:t>'</w:t>
      </w:r>
      <w:r>
        <w:t>acqua quanti si trovavano nella chiesa circondata dalla polizia e che tra le persone detenute figura Amaya Eva Coppens, difensore dei diritti umani di nazionalità nicaraguense e belga che era stata detenuta per otto mesi nel contesto delle proteste per poi essere rilasciata l</w:t>
      </w:r>
      <w:r w:rsidR="00085CCE">
        <w:t>'</w:t>
      </w:r>
      <w:r>
        <w:t>11 giugno 2019 in applicazione della legge di amnistia;</w:t>
      </w:r>
    </w:p>
    <w:p w:rsidR="00CC5F86" w:rsidRPr="00CC5F86" w:rsidRDefault="00CC5F86" w:rsidP="00CC5F86">
      <w:pPr>
        <w:pStyle w:val="NormalHanging12a"/>
      </w:pPr>
      <w:r>
        <w:t>F.</w:t>
      </w:r>
      <w:r>
        <w:tab/>
        <w:t>considerando che la Procura del Nicaragua li ha ingiustamente accusati di diversi reati, tra cui sequestro di persona, detenzione illegale di armi da fuoco e terrorismo, il che costituisce una chiara violazione della garanzia di giusto processo e del loro diritto a un equo processo; che nemmeno le condizioni detentive in Nicaragua soddisfano le norme internazionali; che membri dell</w:t>
      </w:r>
      <w:r w:rsidR="00085CCE">
        <w:t>'</w:t>
      </w:r>
      <w:r>
        <w:t>opposizione in Nicaragua hanno chiaramente denunciato il ricorso a pratiche di tortura e di violenza sessuale in carcere;</w:t>
      </w:r>
    </w:p>
    <w:p w:rsidR="00CC5F86" w:rsidRPr="00CC5F86" w:rsidRDefault="00CC5F86" w:rsidP="00CC5F86">
      <w:pPr>
        <w:pStyle w:val="NormalHanging12a"/>
        <w:rPr>
          <w:szCs w:val="24"/>
        </w:rPr>
      </w:pPr>
      <w:r>
        <w:t>G.</w:t>
      </w:r>
      <w:r>
        <w:tab/>
        <w:t>considerando che il governo del Nicaragua sta intensificando la persecuzione dei familiari delle vittime della crisi democratica, istituzionale e politica attraverso intimidazioni e misure di sorveglianza, con l</w:t>
      </w:r>
      <w:r w:rsidR="00085CCE">
        <w:t>'</w:t>
      </w:r>
      <w:r>
        <w:t>obiettivo di impedire loro di organizzare azioni private e pubbliche per commemorare i loro cari e chiedere giustizia;</w:t>
      </w:r>
    </w:p>
    <w:p w:rsidR="00CC5F86" w:rsidRPr="00CC5F86" w:rsidRDefault="00CC5F86" w:rsidP="00CC5F86">
      <w:pPr>
        <w:pStyle w:val="NormalHanging12a"/>
        <w:rPr>
          <w:szCs w:val="24"/>
        </w:rPr>
      </w:pPr>
      <w:r>
        <w:t>H.</w:t>
      </w:r>
      <w:r>
        <w:tab/>
        <w:t>considerando che il governo del Nicaragua sta attuando rappresaglie nei confronti di quanti denunciano la situazione dei diritti umani nel paese e si rivolgono a funzionari e meccanismi internazionali e nell</w:t>
      </w:r>
      <w:r w:rsidR="00085CCE">
        <w:t>'</w:t>
      </w:r>
      <w:r>
        <w:t>ambito delle Nazioni Unite;</w:t>
      </w:r>
    </w:p>
    <w:p w:rsidR="00CC5F86" w:rsidRPr="00CC5F86" w:rsidRDefault="00CC5F86" w:rsidP="00CC5F86">
      <w:pPr>
        <w:pStyle w:val="NormalHanging12a"/>
      </w:pPr>
      <w:r>
        <w:t>I.</w:t>
      </w:r>
      <w:r>
        <w:tab/>
        <w:t>considerando che il governo del Nicaragua ha espulso dal paese le organizzazioni internazionali che ricercavano una soluzione pacifica del conflitto e la riconciliazione nazionale; che la repressione nei confronti delle organizzazioni della società civile si è intensificata e che tali organizzazioni sono state private del loro status giuridico in un paese dotato di un quadro istituzionale carente, sottoponendo così le vittime della repressione a una duplice punizione;</w:t>
      </w:r>
    </w:p>
    <w:p w:rsidR="00CC5F86" w:rsidRPr="00CC5F86" w:rsidRDefault="00CC5F86" w:rsidP="00CC5F86">
      <w:pPr>
        <w:pStyle w:val="NormalHanging12a"/>
      </w:pPr>
      <w:r>
        <w:t>J.</w:t>
      </w:r>
      <w:r>
        <w:tab/>
        <w:t>considerando che agli alti funzionari di alcuni Stati membri dell</w:t>
      </w:r>
      <w:r w:rsidR="00085CCE">
        <w:t>'</w:t>
      </w:r>
      <w:r>
        <w:t>UE è stato rifiutato l</w:t>
      </w:r>
      <w:r w:rsidR="00085CCE">
        <w:t>'</w:t>
      </w:r>
      <w:r>
        <w:t>ingresso in Nicaragua in diverse occasioni; che il governo nicaraguense ha rifiutato l</w:t>
      </w:r>
      <w:r w:rsidR="00085CCE">
        <w:t>'</w:t>
      </w:r>
      <w:r>
        <w:t>ingresso nel paese alla commissione ad alto livello sul Nicaragua dell</w:t>
      </w:r>
      <w:r w:rsidR="00085CCE">
        <w:t>'</w:t>
      </w:r>
      <w:r>
        <w:t>OSA, incaricata di promuovere una riforma elettorale; che la riforma elettorale è un elemento fondamentale del processo per la regolare instaurazione di istituzioni democratiche nel paese;</w:t>
      </w:r>
    </w:p>
    <w:p w:rsidR="00CC5F86" w:rsidRPr="00CC5F86" w:rsidRDefault="00CC5F86" w:rsidP="00CC5F86">
      <w:pPr>
        <w:pStyle w:val="NormalHanging12a"/>
        <w:rPr>
          <w:szCs w:val="24"/>
        </w:rPr>
      </w:pPr>
      <w:r>
        <w:t>K.</w:t>
      </w:r>
      <w:r>
        <w:tab/>
        <w:t>considerando che il governo del Nicaragua non ha mostrato alcun interesse a riprende</w:t>
      </w:r>
      <w:r w:rsidR="00EE2D62">
        <w:t>re</w:t>
      </w:r>
      <w:r>
        <w:t xml:space="preserve"> un dialogo credibile e inclusivo con l</w:t>
      </w:r>
      <w:r w:rsidR="00085CCE">
        <w:t>'</w:t>
      </w:r>
      <w:r>
        <w:t>Alleanza civica né ad attuare pienamente gli accordi del marzo 2019;</w:t>
      </w:r>
    </w:p>
    <w:p w:rsidR="00CC5F86" w:rsidRPr="00CC5F86" w:rsidRDefault="00CC5F86" w:rsidP="00CC5F86">
      <w:pPr>
        <w:pStyle w:val="NormalHanging12a"/>
      </w:pPr>
      <w:r>
        <w:t>L.</w:t>
      </w:r>
      <w:r>
        <w:tab/>
        <w:t>considerando che lo sviluppo e il consolidamento della democrazia e dello Stato di diritto e il rispetto dei diritti umani e delle libertà fondamentali devono essere parte integrante delle politiche esterne dell</w:t>
      </w:r>
      <w:r w:rsidR="00085CCE">
        <w:t>'</w:t>
      </w:r>
      <w:r>
        <w:t>UE, incluso l</w:t>
      </w:r>
      <w:r w:rsidR="00085CCE">
        <w:t>'</w:t>
      </w:r>
      <w:r>
        <w:t>accordo di associazione firmato nel 2012 tra l</w:t>
      </w:r>
      <w:r w:rsidR="00085CCE">
        <w:t>'</w:t>
      </w:r>
      <w:r>
        <w:t>Unione europea e i paesi dell</w:t>
      </w:r>
      <w:r w:rsidR="00085CCE">
        <w:t>'</w:t>
      </w:r>
      <w:r>
        <w:t>America centrale; che tale accordo comprende una clausola democratica, che ne costituisce un elemento essenziale; che, date le circostanze attuali, è opportuno attivare la clausola democratica mediante una sospensione del Nicaragua dall</w:t>
      </w:r>
      <w:r w:rsidR="00085CCE">
        <w:t>'</w:t>
      </w:r>
      <w:r>
        <w:t>accordo;</w:t>
      </w:r>
    </w:p>
    <w:p w:rsidR="00CC5F86" w:rsidRPr="00CC5F86" w:rsidRDefault="00CC5F86" w:rsidP="00CC5F86">
      <w:pPr>
        <w:pStyle w:val="NormalHanging12a"/>
      </w:pPr>
      <w:r>
        <w:t>1.</w:t>
      </w:r>
      <w:r>
        <w:tab/>
        <w:t>esprime solidarietà nei confronti della popolazione nicaraguense e condanna tutte le misure di repressione attuate dal governo del Nicaragua, in particolare le morti causate, la restrizione generalizzata della libertà di espressione, di riunione e di manifestazione, la messa fuori legge di organizzazioni non governative e della società civile, l</w:t>
      </w:r>
      <w:r w:rsidR="00085CCE">
        <w:t>'</w:t>
      </w:r>
      <w:r>
        <w:t>espulsione di organizzazioni internazionali dal paese, la chiusura di mezzi di informazione e gli attacchi contro di essi, le limitazioni al diritto all</w:t>
      </w:r>
      <w:r w:rsidR="00085CCE">
        <w:t>'</w:t>
      </w:r>
      <w:r>
        <w:t>informazione e l</w:t>
      </w:r>
      <w:r w:rsidR="00085CCE">
        <w:t>'</w:t>
      </w:r>
      <w:r>
        <w:t>espulsione di studenti dalle università;</w:t>
      </w:r>
    </w:p>
    <w:p w:rsidR="00CC5F86" w:rsidRPr="00CC5F86" w:rsidRDefault="00CC5F86" w:rsidP="00CC5F86">
      <w:pPr>
        <w:pStyle w:val="NormalHanging12a"/>
      </w:pPr>
      <w:r>
        <w:t>2.</w:t>
      </w:r>
      <w:r>
        <w:tab/>
        <w:t>esorta il governo del Nicaragua a porre fine alla continua repressione dei dissidenti e a pratiche ricorrenti quali l</w:t>
      </w:r>
      <w:r w:rsidR="00085CCE">
        <w:t>'</w:t>
      </w:r>
      <w:r>
        <w:t>arresto arbitrario, la tortura e la violenza sessuale, ad astenersi dal criminalizzare, perseguire e attaccare i difensori dei diritti umani, gli oppositori politici, le famiglie delle vittime e qualsiasi altra voce di dissenso nonché a smantellare immediatamente le forze paramilitari attive nel paese;</w:t>
      </w:r>
    </w:p>
    <w:p w:rsidR="00CC5F86" w:rsidRPr="00CC5F86" w:rsidRDefault="00CC5F86" w:rsidP="00CC5F86">
      <w:pPr>
        <w:pStyle w:val="NormalHanging12a"/>
      </w:pPr>
      <w:r>
        <w:t>3.</w:t>
      </w:r>
      <w:r>
        <w:tab/>
        <w:t>chiede che tutte le persone detenute in modo arbitrario, inclusa Amaya Eva Coppens, siano immediatamente rilasciate, che siano ritirate tutte le accuse a loro carico e che siano rispettate le garanzie giuridiche fondamentali di tali persone; chiede che i responsabili di violazioni dei diritti umani e di attacchi alla democrazia e allo Stato di diritto siano chiamati a rispondere delle proprie azioni;</w:t>
      </w:r>
    </w:p>
    <w:p w:rsidR="00CC5F86" w:rsidRPr="00CC5F86" w:rsidRDefault="00CC5F86" w:rsidP="00CC5F86">
      <w:pPr>
        <w:pStyle w:val="NormalHanging12a"/>
      </w:pPr>
      <w:r>
        <w:t>4.</w:t>
      </w:r>
      <w:r>
        <w:tab/>
        <w:t>accoglie con favore la decisione del Consiglio di adottare un quadro per misure restrittive mirate nei confronti dei responsabili di violazioni dei diritti umani, abusi e atti di repressione della società civile e dell</w:t>
      </w:r>
      <w:r w:rsidR="00085CCE">
        <w:t>'</w:t>
      </w:r>
      <w:r>
        <w:t>opposizione democratica in Nicaragua; invita gli Stati membri a concordare rapidamente l</w:t>
      </w:r>
      <w:r w:rsidR="00085CCE">
        <w:t>'</w:t>
      </w:r>
      <w:r>
        <w:t>elenco dettagliato delle persone e delle entità da sanzionare;</w:t>
      </w:r>
    </w:p>
    <w:p w:rsidR="00CC5F86" w:rsidRPr="00CC5F86" w:rsidRDefault="00CC5F86" w:rsidP="00CC5F86">
      <w:pPr>
        <w:pStyle w:val="NormalHanging12a"/>
      </w:pPr>
      <w:r>
        <w:t>5.</w:t>
      </w:r>
      <w:r>
        <w:tab/>
        <w:t>condanna la mancanza di volontà da parte del governo del Nicaragua di rilanciare un dialogo significativo a livello nazionale; invita le autorità a riprendere il dialogo con l</w:t>
      </w:r>
      <w:r w:rsidR="00085CCE">
        <w:t>'</w:t>
      </w:r>
      <w:r>
        <w:t>Alleanza civica al fine di trovare una soluzione democratica, sostenibile e pacifica che consenta di attuare appieno gli accordi del marzo 2019; evidenzia la necessità di garantire le libertà politiche e civili di tutti i cittadini del Nicaragua, il ritorno degli esuli, il reinsediamento delle organizzazioni internazionali e la cooperazione con queste ultime, il ripristino della personalità giuridica delle organizzazioni per i diritti umani nonché l</w:t>
      </w:r>
      <w:r w:rsidR="00085CCE">
        <w:t>'</w:t>
      </w:r>
      <w:r>
        <w:t>istituzione di un processo elettorale credibile che assicuri l</w:t>
      </w:r>
      <w:r w:rsidR="00085CCE">
        <w:t>'</w:t>
      </w:r>
      <w:r>
        <w:t>organizzazione immediata di elezioni eque e trasparenti, con la presenza di osservatori internazionali;</w:t>
      </w:r>
    </w:p>
    <w:p w:rsidR="00CC5F86" w:rsidRPr="00CC5F86" w:rsidRDefault="00CC5F86" w:rsidP="00CC5F86">
      <w:pPr>
        <w:pStyle w:val="NormalHanging12a"/>
      </w:pPr>
      <w:r>
        <w:t>6.</w:t>
      </w:r>
      <w:r>
        <w:tab/>
        <w:t>chiede al VP/AR e alla delegazione dell</w:t>
      </w:r>
      <w:r w:rsidR="00085CCE">
        <w:t>'</w:t>
      </w:r>
      <w:r>
        <w:t>UE in Nicaragua di monitorare da vicino gli sviluppi nel paese e di continuare ad affrontare i problemi connessi ai diritti umani che interessano, tra gli altri, detenuti, studenti, manifestanti, famiglie delle vittime e giornalisti, e che sono emersi in conseguenza della situazione venutasi a creare nel paese;</w:t>
      </w:r>
    </w:p>
    <w:p w:rsidR="00CC5F86" w:rsidRPr="00CC5F86" w:rsidRDefault="00CC5F86" w:rsidP="00CC5F86">
      <w:pPr>
        <w:pStyle w:val="NormalHanging12a"/>
      </w:pPr>
      <w:r>
        <w:t>7.</w:t>
      </w:r>
      <w:r>
        <w:tab/>
        <w:t>chiede che sia inviata quanto prima in Nicaragua una delegazione del Parlamento al fine di riprendere le attività di monitoraggio della situazione nel paese ed esorta le autorità del Nicaragua a consentire il libero ingresso nel paese nonché l</w:t>
      </w:r>
      <w:r w:rsidR="00085CCE">
        <w:t>'</w:t>
      </w:r>
      <w:r>
        <w:t>accesso a qualsiasi interlocutore e struttura;</w:t>
      </w:r>
    </w:p>
    <w:p w:rsidR="00814BC6" w:rsidRPr="00CC5F86" w:rsidRDefault="00CC5F86" w:rsidP="00CC5F86">
      <w:pPr>
        <w:pStyle w:val="NormalHanging12a"/>
      </w:pPr>
      <w:r>
        <w:t>8.</w:t>
      </w:r>
      <w:r>
        <w:tab/>
        <w:t>incarica il suo Presidente di trasmettere la presente risoluzione al Consiglio, alla Commissione, ai governi e ai parlamenti degli Stati membri, al Segretario generale dell</w:t>
      </w:r>
      <w:r w:rsidR="00085CCE">
        <w:t>'</w:t>
      </w:r>
      <w:r>
        <w:t>Organizzazione degli Stati americani, all</w:t>
      </w:r>
      <w:r w:rsidR="00085CCE">
        <w:t>'</w:t>
      </w:r>
      <w:r>
        <w:t>Assemblea parlamentare euro-latinoamericana, al Parlamento centroamericano, al gruppo di Lima nonché al governo e al parlamento della Repubblica di Nicaragua.</w:t>
      </w:r>
    </w:p>
    <w:p w:rsidR="00866D70" w:rsidRPr="00085CCE" w:rsidRDefault="00866D70" w:rsidP="00866D70"/>
    <w:sectPr w:rsidR="00866D70" w:rsidRPr="00085CCE" w:rsidSect="0091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77" w:rsidRPr="00055E77" w:rsidRDefault="00055E77">
      <w:r w:rsidRPr="00055E77">
        <w:separator/>
      </w:r>
    </w:p>
  </w:endnote>
  <w:endnote w:type="continuationSeparator" w:id="0">
    <w:p w:rsidR="00055E77" w:rsidRPr="00055E77" w:rsidRDefault="00055E77">
      <w:r w:rsidRPr="00055E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19" w:rsidRPr="00085CCE" w:rsidRDefault="00A90219" w:rsidP="00EC05E9">
    <w:pPr>
      <w:pStyle w:val="EPFooter"/>
      <w:rPr>
        <w:lang w:val="en-GB"/>
      </w:rPr>
    </w:pPr>
    <w:r w:rsidRPr="00085CCE">
      <w:rPr>
        <w:lang w:val="en-GB"/>
      </w:rPr>
      <w:t>PE</w:t>
    </w:r>
    <w:r w:rsidRPr="00085CCE">
      <w:rPr>
        <w:rStyle w:val="HideTWBExt"/>
        <w:lang w:val="en-GB"/>
      </w:rPr>
      <w:t>&lt;NoPE&gt;</w:t>
    </w:r>
    <w:r w:rsidR="00CC5F86" w:rsidRPr="00085CCE">
      <w:rPr>
        <w:lang w:val="en-GB"/>
      </w:rPr>
      <w:t>643.424</w:t>
    </w:r>
    <w:r w:rsidRPr="00085CCE">
      <w:rPr>
        <w:rStyle w:val="HideTWBExt"/>
        <w:lang w:val="en-GB"/>
      </w:rPr>
      <w:t>&lt;/NoPE&gt;&lt;Version&gt;</w:t>
    </w:r>
    <w:r w:rsidR="00055E77" w:rsidRPr="00085CCE">
      <w:rPr>
        <w:lang w:val="en-GB"/>
      </w:rPr>
      <w:t>v</w:t>
    </w:r>
    <w:r w:rsidR="00CC5F86" w:rsidRPr="00085CCE">
      <w:rPr>
        <w:lang w:val="en-GB"/>
      </w:rPr>
      <w:t>01-00</w:t>
    </w:r>
    <w:r w:rsidRPr="00085CCE">
      <w:rPr>
        <w:rStyle w:val="HideTWBExt"/>
        <w:lang w:val="en-GB"/>
      </w:rPr>
      <w:t>&lt;/Version&gt;</w:t>
    </w:r>
    <w:r w:rsidRPr="00085CCE">
      <w:rPr>
        <w:lang w:val="en-GB"/>
      </w:rPr>
      <w:tab/>
    </w:r>
    <w:r w:rsidR="00866D70" w:rsidRPr="00055E77">
      <w:fldChar w:fldCharType="begin"/>
    </w:r>
    <w:r w:rsidR="00866D70" w:rsidRPr="00085CCE">
      <w:rPr>
        <w:lang w:val="en-GB"/>
      </w:rPr>
      <w:instrText xml:space="preserve"> PAGE </w:instrText>
    </w:r>
    <w:r w:rsidR="00866D70" w:rsidRPr="00055E77">
      <w:fldChar w:fldCharType="separate"/>
    </w:r>
    <w:r w:rsidR="00AE0D86">
      <w:rPr>
        <w:noProof/>
        <w:lang w:val="en-GB"/>
      </w:rPr>
      <w:t>2</w:t>
    </w:r>
    <w:r w:rsidR="00866D70" w:rsidRPr="00055E77">
      <w:fldChar w:fldCharType="end"/>
    </w:r>
    <w:r w:rsidR="00866D70" w:rsidRPr="00085CCE">
      <w:rPr>
        <w:lang w:val="en-GB"/>
      </w:rPr>
      <w:t>/</w:t>
    </w:r>
    <w:r w:rsidR="00085CCE">
      <w:fldChar w:fldCharType="begin"/>
    </w:r>
    <w:r w:rsidR="00085CCE" w:rsidRPr="00085CCE">
      <w:rPr>
        <w:lang w:val="en-GB"/>
      </w:rPr>
      <w:instrText xml:space="preserve"> NUMPAGES </w:instrText>
    </w:r>
    <w:r w:rsidR="00085CCE">
      <w:fldChar w:fldCharType="separate"/>
    </w:r>
    <w:r w:rsidR="00AE0D86">
      <w:rPr>
        <w:noProof/>
        <w:lang w:val="en-GB"/>
      </w:rPr>
      <w:t>5</w:t>
    </w:r>
    <w:r w:rsidR="00085CCE">
      <w:rPr>
        <w:noProof/>
      </w:rPr>
      <w:fldChar w:fldCharType="end"/>
    </w:r>
    <w:r w:rsidRPr="00085CCE">
      <w:rPr>
        <w:lang w:val="en-GB"/>
      </w:rPr>
      <w:tab/>
    </w:r>
    <w:r w:rsidRPr="00085CCE">
      <w:rPr>
        <w:rStyle w:val="HideTWBExt"/>
        <w:lang w:val="en-GB"/>
      </w:rPr>
      <w:t>&lt;PathFdR&gt;</w:t>
    </w:r>
    <w:r w:rsidR="00CC5F86" w:rsidRPr="00085CCE">
      <w:rPr>
        <w:lang w:val="en-GB"/>
      </w:rPr>
      <w:t>RE\1195291IT.docx</w:t>
    </w:r>
    <w:r w:rsidRPr="00085CCE">
      <w:rPr>
        <w:rStyle w:val="HideTWBExt"/>
        <w:lang w:val="en-GB"/>
      </w:rPr>
      <w:t>&lt;/PathFdR&gt;</w:t>
    </w:r>
  </w:p>
  <w:p w:rsidR="00A90219" w:rsidRPr="00085CCE" w:rsidRDefault="00085CCE">
    <w:pPr>
      <w:pStyle w:val="EPFooter2"/>
      <w:rPr>
        <w:lang w:val="en-GB"/>
      </w:rPr>
    </w:pPr>
    <w:r>
      <w:fldChar w:fldCharType="begin"/>
    </w:r>
    <w:r w:rsidRPr="00085CCE">
      <w:rPr>
        <w:lang w:val="en-GB"/>
      </w:rPr>
      <w:instrText xml:space="preserve"> DOCPROPERTY "&lt;Extension&gt;" </w:instrText>
    </w:r>
    <w:r>
      <w:fldChar w:fldCharType="separate"/>
    </w:r>
    <w:r w:rsidR="00AE0D86">
      <w:rPr>
        <w:lang w:val="en-GB"/>
      </w:rPr>
      <w:t>IT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19" w:rsidRPr="00085CCE" w:rsidRDefault="00A90219" w:rsidP="00EC05E9">
    <w:pPr>
      <w:pStyle w:val="EPFooter"/>
      <w:rPr>
        <w:lang w:val="en-GB"/>
      </w:rPr>
    </w:pPr>
    <w:r w:rsidRPr="00085CCE">
      <w:rPr>
        <w:rStyle w:val="HideTWBExt"/>
        <w:lang w:val="en-GB"/>
      </w:rPr>
      <w:t>&lt;PathFdR&gt;</w:t>
    </w:r>
    <w:r w:rsidR="00CC5F86" w:rsidRPr="00085CCE">
      <w:rPr>
        <w:lang w:val="en-GB"/>
      </w:rPr>
      <w:t>RE\1195291IT.docx</w:t>
    </w:r>
    <w:r w:rsidRPr="00085CCE">
      <w:rPr>
        <w:rStyle w:val="HideTWBExt"/>
        <w:lang w:val="en-GB"/>
      </w:rPr>
      <w:t>&lt;/PathFdR&gt;</w:t>
    </w:r>
    <w:r w:rsidRPr="00085CCE">
      <w:rPr>
        <w:lang w:val="en-GB"/>
      </w:rPr>
      <w:tab/>
    </w:r>
    <w:r w:rsidR="00866D70" w:rsidRPr="00055E77">
      <w:fldChar w:fldCharType="begin"/>
    </w:r>
    <w:r w:rsidR="00866D70" w:rsidRPr="00085CCE">
      <w:rPr>
        <w:lang w:val="en-GB"/>
      </w:rPr>
      <w:instrText xml:space="preserve"> PAGE </w:instrText>
    </w:r>
    <w:r w:rsidR="00866D70" w:rsidRPr="00055E77">
      <w:fldChar w:fldCharType="separate"/>
    </w:r>
    <w:r w:rsidR="00AE0D86">
      <w:rPr>
        <w:noProof/>
        <w:lang w:val="en-GB"/>
      </w:rPr>
      <w:t>3</w:t>
    </w:r>
    <w:r w:rsidR="00866D70" w:rsidRPr="00055E77">
      <w:fldChar w:fldCharType="end"/>
    </w:r>
    <w:r w:rsidR="00866D70" w:rsidRPr="00085CCE">
      <w:rPr>
        <w:lang w:val="en-GB"/>
      </w:rPr>
      <w:t>/</w:t>
    </w:r>
    <w:r w:rsidR="00085CCE">
      <w:fldChar w:fldCharType="begin"/>
    </w:r>
    <w:r w:rsidR="00085CCE" w:rsidRPr="00085CCE">
      <w:rPr>
        <w:lang w:val="en-GB"/>
      </w:rPr>
      <w:instrText xml:space="preserve"> NUMPAGES </w:instrText>
    </w:r>
    <w:r w:rsidR="00085CCE">
      <w:fldChar w:fldCharType="separate"/>
    </w:r>
    <w:r w:rsidR="00AE0D86">
      <w:rPr>
        <w:noProof/>
        <w:lang w:val="en-GB"/>
      </w:rPr>
      <w:t>5</w:t>
    </w:r>
    <w:r w:rsidR="00085CCE">
      <w:rPr>
        <w:noProof/>
      </w:rPr>
      <w:fldChar w:fldCharType="end"/>
    </w:r>
    <w:r w:rsidRPr="00085CCE">
      <w:rPr>
        <w:lang w:val="en-GB"/>
      </w:rPr>
      <w:tab/>
      <w:t>PE</w:t>
    </w:r>
    <w:r w:rsidRPr="00085CCE">
      <w:rPr>
        <w:rStyle w:val="HideTWBExt"/>
        <w:lang w:val="en-GB"/>
      </w:rPr>
      <w:t>&lt;NoPE&gt;</w:t>
    </w:r>
    <w:r w:rsidR="00CC5F86" w:rsidRPr="00085CCE">
      <w:rPr>
        <w:lang w:val="en-GB"/>
      </w:rPr>
      <w:t>643.424</w:t>
    </w:r>
    <w:r w:rsidRPr="00085CCE">
      <w:rPr>
        <w:rStyle w:val="HideTWBExt"/>
        <w:lang w:val="en-GB"/>
      </w:rPr>
      <w:t>&lt;/NoPE&gt;&lt;Version&gt;</w:t>
    </w:r>
    <w:r w:rsidR="00055E77" w:rsidRPr="00085CCE">
      <w:rPr>
        <w:lang w:val="en-GB"/>
      </w:rPr>
      <w:t>v</w:t>
    </w:r>
    <w:r w:rsidR="00CC5F86" w:rsidRPr="00085CCE">
      <w:rPr>
        <w:lang w:val="en-GB"/>
      </w:rPr>
      <w:t>01-00</w:t>
    </w:r>
    <w:r w:rsidRPr="00085CCE">
      <w:rPr>
        <w:rStyle w:val="HideTWBExt"/>
        <w:lang w:val="en-GB"/>
      </w:rPr>
      <w:t>&lt;/Version&gt;</w:t>
    </w:r>
  </w:p>
  <w:p w:rsidR="00A90219" w:rsidRPr="00085CCE" w:rsidRDefault="00866D70">
    <w:pPr>
      <w:pStyle w:val="EPFooter2"/>
      <w:rPr>
        <w:lang w:val="en-GB"/>
      </w:rPr>
    </w:pPr>
    <w:r w:rsidRPr="00085CCE">
      <w:rPr>
        <w:lang w:val="en-GB"/>
      </w:rPr>
      <w:tab/>
    </w:r>
    <w:r w:rsidR="00A90219" w:rsidRPr="00085CCE">
      <w:rPr>
        <w:lang w:val="en-GB"/>
      </w:rPr>
      <w:tab/>
    </w:r>
    <w:r w:rsidR="00085CCE">
      <w:fldChar w:fldCharType="begin"/>
    </w:r>
    <w:r w:rsidR="00085CCE" w:rsidRPr="00085CCE">
      <w:rPr>
        <w:lang w:val="en-GB"/>
      </w:rPr>
      <w:instrText xml:space="preserve"> DOCPROPERTY "&lt;Extension&gt;" </w:instrText>
    </w:r>
    <w:r w:rsidR="00085CCE">
      <w:fldChar w:fldCharType="separate"/>
    </w:r>
    <w:r w:rsidR="00AE0D86">
      <w:rPr>
        <w:lang w:val="en-GB"/>
      </w:rPr>
      <w:t>IT</w:t>
    </w:r>
    <w:r w:rsidR="00085CC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19" w:rsidRPr="00055E77" w:rsidRDefault="00A90219" w:rsidP="00EC05E9">
    <w:pPr>
      <w:pStyle w:val="EPFooter"/>
    </w:pPr>
    <w:r w:rsidRPr="00CC5F86">
      <w:rPr>
        <w:rStyle w:val="HideTWBExt"/>
      </w:rPr>
      <w:t>&lt;PathFdR&gt;</w:t>
    </w:r>
    <w:r w:rsidR="00CC5F86" w:rsidRPr="00CC5F86">
      <w:t>RE\1195291IT.docx</w:t>
    </w:r>
    <w:r w:rsidRPr="00CC5F86">
      <w:rPr>
        <w:rStyle w:val="HideTWBExt"/>
      </w:rPr>
      <w:t>&lt;/PathFdR&gt;</w:t>
    </w:r>
    <w:r w:rsidRPr="00055E77">
      <w:tab/>
    </w:r>
    <w:r w:rsidRPr="00055E77">
      <w:tab/>
      <w:t>PE</w:t>
    </w:r>
    <w:r w:rsidRPr="00CC5F86">
      <w:rPr>
        <w:rStyle w:val="HideTWBExt"/>
      </w:rPr>
      <w:t>&lt;NoPE&gt;</w:t>
    </w:r>
    <w:r w:rsidR="00CC5F86" w:rsidRPr="00CC5F86">
      <w:t>643.424</w:t>
    </w:r>
    <w:r w:rsidRPr="00CC5F86">
      <w:rPr>
        <w:rStyle w:val="HideTWBExt"/>
      </w:rPr>
      <w:t>&lt;/NoPE&gt;&lt;Version&gt;</w:t>
    </w:r>
    <w:r w:rsidR="00055E77" w:rsidRPr="00055E77">
      <w:t>v</w:t>
    </w:r>
    <w:r w:rsidR="00CC5F86" w:rsidRPr="00CC5F86">
      <w:t>01-00</w:t>
    </w:r>
    <w:r w:rsidRPr="00CC5F86">
      <w:rPr>
        <w:rStyle w:val="HideTWBExt"/>
      </w:rPr>
      <w:t>&lt;/Version&gt;</w:t>
    </w:r>
  </w:p>
  <w:p w:rsidR="00A90219" w:rsidRPr="00055E77" w:rsidRDefault="00AE0D86" w:rsidP="00907285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  <w:r w:rsidR="00A90219" w:rsidRPr="00055E77">
      <w:tab/>
    </w:r>
    <w:r w:rsidR="00CC5F86">
      <w:rPr>
        <w:b w:val="0"/>
        <w:i/>
        <w:color w:val="C0C0C0"/>
        <w:sz w:val="22"/>
        <w:szCs w:val="22"/>
      </w:rPr>
      <w:t>Unita nella diversità</w:t>
    </w:r>
    <w:r w:rsidR="00A90219" w:rsidRPr="00055E77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77" w:rsidRPr="00055E77" w:rsidRDefault="00055E77">
      <w:r w:rsidRPr="00055E77">
        <w:separator/>
      </w:r>
    </w:p>
  </w:footnote>
  <w:footnote w:type="continuationSeparator" w:id="0">
    <w:p w:rsidR="00055E77" w:rsidRPr="00055E77" w:rsidRDefault="00055E77">
      <w:r w:rsidRPr="00055E77">
        <w:continuationSeparator/>
      </w:r>
    </w:p>
  </w:footnote>
  <w:footnote w:id="1">
    <w:p w:rsidR="00CC5F86" w:rsidRPr="008130D8" w:rsidRDefault="00CC5F86" w:rsidP="00CC5F86">
      <w:pPr>
        <w:pStyle w:val="FootnoteText"/>
      </w:pPr>
      <w:r>
        <w:rPr>
          <w:rStyle w:val="FootnoteReference"/>
        </w:rPr>
        <w:footnoteRef/>
      </w:r>
      <w:r>
        <w:t xml:space="preserve"> GU C 45 E del 23.2.2010, pag. 89.</w:t>
      </w:r>
    </w:p>
  </w:footnote>
  <w:footnote w:id="2">
    <w:p w:rsidR="00CC5F86" w:rsidRPr="008130D8" w:rsidRDefault="00CC5F86" w:rsidP="00CC5F86">
      <w:pPr>
        <w:pStyle w:val="FootnoteText"/>
      </w:pPr>
      <w:r>
        <w:rPr>
          <w:rStyle w:val="FootnoteReference"/>
        </w:rPr>
        <w:footnoteRef/>
      </w:r>
      <w:r>
        <w:t xml:space="preserve"> GU C 285 E del 21.10.2010, pag. 74.</w:t>
      </w:r>
    </w:p>
  </w:footnote>
  <w:footnote w:id="3">
    <w:p w:rsidR="00CC5F86" w:rsidRPr="00DA3AE5" w:rsidRDefault="00CC5F86" w:rsidP="00CC5F86">
      <w:pPr>
        <w:pStyle w:val="FootnoteText"/>
      </w:pPr>
      <w:r>
        <w:rPr>
          <w:rStyle w:val="FootnoteReference"/>
        </w:rPr>
        <w:footnoteRef/>
      </w:r>
      <w:r w:rsidR="006B0081">
        <w:t xml:space="preserve"> GU C 252 del 18.7.2018</w:t>
      </w:r>
      <w:r>
        <w:t>, pag. 189.</w:t>
      </w:r>
    </w:p>
  </w:footnote>
  <w:footnote w:id="4">
    <w:p w:rsidR="00CC5F86" w:rsidRPr="00DA3AE5" w:rsidRDefault="00CC5F86" w:rsidP="00CC5F86">
      <w:pPr>
        <w:pStyle w:val="FootnoteText"/>
      </w:pPr>
      <w:r>
        <w:rPr>
          <w:rStyle w:val="FootnoteReference"/>
        </w:rPr>
        <w:footnoteRef/>
      </w:r>
      <w:r>
        <w:t xml:space="preserve"> Testi approvati, P8_TA(2018)0238.</w:t>
      </w:r>
    </w:p>
  </w:footnote>
  <w:footnote w:id="5">
    <w:p w:rsidR="00CC5F86" w:rsidRPr="00DA3AE5" w:rsidRDefault="00CC5F86" w:rsidP="00CC5F86">
      <w:pPr>
        <w:pStyle w:val="FootnoteText"/>
      </w:pPr>
      <w:r>
        <w:rPr>
          <w:rStyle w:val="FootnoteReference"/>
        </w:rPr>
        <w:footnoteRef/>
      </w:r>
      <w:r>
        <w:t xml:space="preserve"> Testi approvati, P8_TA(2019)0219.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86" w:rsidRDefault="00CC5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86" w:rsidRDefault="00CC5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86" w:rsidRDefault="00CC5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4"/>
    <w:docVar w:name="strDocTypeID" w:val="RE_Statements"/>
    <w:docVar w:name="strSubDir" w:val="1195"/>
    <w:docVar w:name="TXTLANGUE" w:val="IT"/>
    <w:docVar w:name="TXTLANGUEMIN" w:val="it"/>
    <w:docVar w:name="TXTNRB" w:val="0251/2019"/>
    <w:docVar w:name="TXTNRPE" w:val="643.424"/>
    <w:docVar w:name="TXTNRRSP" w:val="2019/2978"/>
    <w:docVar w:name="TXTPEorAP" w:val="PE"/>
    <w:docVar w:name="TXTROUTE" w:val="RE\1195291IT.docx"/>
    <w:docVar w:name="TXTVERSION" w:val="01-00"/>
  </w:docVars>
  <w:rsids>
    <w:rsidRoot w:val="00055E77"/>
    <w:rsid w:val="00037F46"/>
    <w:rsid w:val="00055E77"/>
    <w:rsid w:val="00085CCE"/>
    <w:rsid w:val="00094DDA"/>
    <w:rsid w:val="00117781"/>
    <w:rsid w:val="001B49A3"/>
    <w:rsid w:val="001B7CFB"/>
    <w:rsid w:val="001C16A7"/>
    <w:rsid w:val="001C62C5"/>
    <w:rsid w:val="001E2450"/>
    <w:rsid w:val="00222BBB"/>
    <w:rsid w:val="002574AA"/>
    <w:rsid w:val="002C7767"/>
    <w:rsid w:val="00303413"/>
    <w:rsid w:val="003772FA"/>
    <w:rsid w:val="00411D03"/>
    <w:rsid w:val="00412503"/>
    <w:rsid w:val="00471D62"/>
    <w:rsid w:val="004B5166"/>
    <w:rsid w:val="00516BD3"/>
    <w:rsid w:val="0058312A"/>
    <w:rsid w:val="005D6861"/>
    <w:rsid w:val="00654CBD"/>
    <w:rsid w:val="006726A1"/>
    <w:rsid w:val="006A27B7"/>
    <w:rsid w:val="006B0081"/>
    <w:rsid w:val="006F48B8"/>
    <w:rsid w:val="00706BC0"/>
    <w:rsid w:val="00723A0B"/>
    <w:rsid w:val="00780A7D"/>
    <w:rsid w:val="007D27F9"/>
    <w:rsid w:val="007E1E11"/>
    <w:rsid w:val="00814BC6"/>
    <w:rsid w:val="008278C0"/>
    <w:rsid w:val="00866D70"/>
    <w:rsid w:val="008A4052"/>
    <w:rsid w:val="008D7B31"/>
    <w:rsid w:val="00907285"/>
    <w:rsid w:val="00910F7E"/>
    <w:rsid w:val="00981ED6"/>
    <w:rsid w:val="009D24DE"/>
    <w:rsid w:val="00A32337"/>
    <w:rsid w:val="00A4763A"/>
    <w:rsid w:val="00A516B8"/>
    <w:rsid w:val="00A90219"/>
    <w:rsid w:val="00AD37CF"/>
    <w:rsid w:val="00AE0D86"/>
    <w:rsid w:val="00B34A46"/>
    <w:rsid w:val="00B90331"/>
    <w:rsid w:val="00B9312E"/>
    <w:rsid w:val="00BC3002"/>
    <w:rsid w:val="00BF2C2D"/>
    <w:rsid w:val="00C23264"/>
    <w:rsid w:val="00CC09D8"/>
    <w:rsid w:val="00CC4B34"/>
    <w:rsid w:val="00CC5F86"/>
    <w:rsid w:val="00D12F64"/>
    <w:rsid w:val="00D44718"/>
    <w:rsid w:val="00D90D37"/>
    <w:rsid w:val="00DF7943"/>
    <w:rsid w:val="00E53167"/>
    <w:rsid w:val="00E97886"/>
    <w:rsid w:val="00EA43FB"/>
    <w:rsid w:val="00EC05E9"/>
    <w:rsid w:val="00ED22B8"/>
    <w:rsid w:val="00EE2D62"/>
    <w:rsid w:val="00F02A2C"/>
    <w:rsid w:val="00F26DE8"/>
    <w:rsid w:val="00F4455A"/>
    <w:rsid w:val="00F7050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E465-3475-4225-B52A-271058E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DF7943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basedOn w:val="DefaultParagraphFont"/>
    <w:rPr>
      <w:rFonts w:ascii="Arial" w:hAnsi="Arial" w:cs="Arial"/>
      <w:noProof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B90331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Normal12a">
    <w:name w:val="CoverNormal12a"/>
    <w:basedOn w:val="Normal"/>
    <w:rsid w:val="00B90331"/>
    <w:pPr>
      <w:spacing w:after="240"/>
      <w:ind w:left="1418"/>
    </w:pPr>
  </w:style>
  <w:style w:type="paragraph" w:customStyle="1" w:styleId="CoverNormal24a">
    <w:name w:val="CoverNormal24a"/>
    <w:basedOn w:val="Normal"/>
    <w:rsid w:val="00B90331"/>
    <w:pPr>
      <w:spacing w:after="480"/>
      <w:ind w:left="1417"/>
    </w:pPr>
  </w:style>
  <w:style w:type="paragraph" w:customStyle="1" w:styleId="CoverDocType24a">
    <w:name w:val="CoverDocType24a"/>
    <w:basedOn w:val="Normal"/>
    <w:rsid w:val="00EC05E9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7E1E1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E53167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CoverReference">
    <w:name w:val="CoverReference"/>
    <w:basedOn w:val="Normal"/>
    <w:rsid w:val="00094DDA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094DDA"/>
    <w:pPr>
      <w:spacing w:before="240" w:after="1200"/>
    </w:pPr>
  </w:style>
  <w:style w:type="paragraph" w:customStyle="1" w:styleId="EPFooter">
    <w:name w:val="EPFooter"/>
    <w:basedOn w:val="Normal"/>
    <w:rsid w:val="00EC05E9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7E1E11"/>
    <w:rPr>
      <w:sz w:val="24"/>
    </w:rPr>
  </w:style>
  <w:style w:type="character" w:styleId="Emphasis">
    <w:name w:val="Emphasis"/>
    <w:uiPriority w:val="20"/>
    <w:qFormat/>
    <w:rsid w:val="00CC5F86"/>
    <w:rPr>
      <w:rFonts w:ascii="Calibri" w:hAnsi="Calibri"/>
      <w:b/>
      <w:i/>
      <w:iCs/>
    </w:rPr>
  </w:style>
  <w:style w:type="paragraph" w:styleId="FootnoteText">
    <w:name w:val="footnote text"/>
    <w:basedOn w:val="Normal"/>
    <w:link w:val="FootnoteTextChar"/>
    <w:rsid w:val="00CC5F8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C5F86"/>
  </w:style>
  <w:style w:type="character" w:styleId="FootnoteReference">
    <w:name w:val="footnote reference"/>
    <w:basedOn w:val="DefaultParagraphFont"/>
    <w:rsid w:val="00CC5F86"/>
    <w:rPr>
      <w:vertAlign w:val="superscript"/>
    </w:rPr>
  </w:style>
  <w:style w:type="paragraph" w:styleId="Footer">
    <w:name w:val="footer"/>
    <w:basedOn w:val="Normal"/>
    <w:link w:val="FooterChar"/>
    <w:semiHidden/>
    <w:rsid w:val="00CC5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CC5F86"/>
    <w:rPr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9501</Characters>
  <Application>Microsoft Office Word</Application>
  <DocSecurity>0</DocSecurity>
  <Lines>351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MACEDONI Anna</dc:creator>
  <cp:keywords/>
  <dc:description/>
  <cp:lastModifiedBy>MICHELINI Valentina</cp:lastModifiedBy>
  <cp:revision>2</cp:revision>
  <cp:lastPrinted>2004-11-19T15:55:00Z</cp:lastPrinted>
  <dcterms:created xsi:type="dcterms:W3CDTF">2019-12-18T15:53:00Z</dcterms:created>
  <dcterms:modified xsi:type="dcterms:W3CDTF">2019-12-18T15:53:00Z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1195291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\\eiciLUXpr1\pdocep$\DocEP\DOCS\General\RE\RE_Statements.dotx(15/10/2019 06:18:29)</vt:lpwstr>
  </property>
  <property fmtid="{D5CDD505-2E9C-101B-9397-08002B2CF9AE}" pid="7" name="&lt;ModelTra&gt;">
    <vt:lpwstr>\\eiciLUXpr1\pdocep$\DocEP\TRANSFIL\IT\RE_Statements.IT(27/06/2019 14:50:02)</vt:lpwstr>
  </property>
  <property fmtid="{D5CDD505-2E9C-101B-9397-08002B2CF9AE}" pid="8" name="&lt;Model&gt;">
    <vt:lpwstr>RE_Statements</vt:lpwstr>
  </property>
  <property fmtid="{D5CDD505-2E9C-101B-9397-08002B2CF9AE}" pid="9" name="FooterPath">
    <vt:lpwstr>RE\1195291IT.docx</vt:lpwstr>
  </property>
  <property fmtid="{D5CDD505-2E9C-101B-9397-08002B2CF9AE}" pid="10" name="PE number">
    <vt:lpwstr>643.424</vt:lpwstr>
  </property>
  <property fmtid="{D5CDD505-2E9C-101B-9397-08002B2CF9AE}" pid="11" name="Bookout">
    <vt:lpwstr>OK - 2019/12/18 10:07</vt:lpwstr>
  </property>
  <property fmtid="{D5CDD505-2E9C-101B-9397-08002B2CF9AE}" pid="12" name="SDLStudio">
    <vt:lpwstr/>
  </property>
  <property fmtid="{D5CDD505-2E9C-101B-9397-08002B2CF9AE}" pid="13" name="&lt;Extension&gt;">
    <vt:lpwstr>IT</vt:lpwstr>
  </property>
  <property fmtid="{D5CDD505-2E9C-101B-9397-08002B2CF9AE}" pid="14" name="SubscribeElise">
    <vt:lpwstr/>
  </property>
</Properties>
</file>