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31D7C" w:rsidRPr="008D238C" w:rsidTr="00C85D0F">
        <w:trPr>
          <w:trHeight w:hRule="exact" w:val="1418"/>
        </w:trPr>
        <w:tc>
          <w:tcPr>
            <w:tcW w:w="6804" w:type="dxa"/>
            <w:shd w:val="clear" w:color="auto" w:fill="auto"/>
            <w:vAlign w:val="center"/>
          </w:tcPr>
          <w:p w:rsidR="00E31D7C" w:rsidRPr="008D238C" w:rsidRDefault="00631043" w:rsidP="00C85D0F">
            <w:pPr>
              <w:pStyle w:val="EPName"/>
            </w:pPr>
            <w:r w:rsidRPr="008D238C">
              <w:t>Euroopa Parlament</w:t>
            </w:r>
          </w:p>
          <w:p w:rsidR="00E31D7C" w:rsidRPr="008D238C" w:rsidRDefault="007B4250" w:rsidP="007B4250">
            <w:pPr>
              <w:pStyle w:val="EPTerm"/>
            </w:pPr>
            <w:r w:rsidRPr="008D238C">
              <w:t>2019-2024</w:t>
            </w:r>
          </w:p>
        </w:tc>
        <w:tc>
          <w:tcPr>
            <w:tcW w:w="2268" w:type="dxa"/>
            <w:shd w:val="clear" w:color="auto" w:fill="auto"/>
          </w:tcPr>
          <w:p w:rsidR="00E31D7C" w:rsidRPr="008D238C" w:rsidRDefault="00E31D7C" w:rsidP="00C85D0F">
            <w:pPr>
              <w:pStyle w:val="EPLogo"/>
            </w:pPr>
            <w:r w:rsidRPr="008D238C">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42A55" w:rsidRPr="008D238C" w:rsidRDefault="00142A55" w:rsidP="00142A55">
      <w:pPr>
        <w:pStyle w:val="LineTop"/>
      </w:pPr>
    </w:p>
    <w:p w:rsidR="00142A55" w:rsidRPr="008D238C" w:rsidRDefault="007B4250" w:rsidP="00142A55">
      <w:pPr>
        <w:pStyle w:val="EPBody"/>
      </w:pPr>
      <w:r w:rsidRPr="008D238C">
        <w:t>Istungidokument</w:t>
      </w:r>
    </w:p>
    <w:p w:rsidR="008F748A" w:rsidRPr="008D238C" w:rsidRDefault="008F748A" w:rsidP="008F748A">
      <w:pPr>
        <w:pStyle w:val="LineBottom"/>
      </w:pPr>
    </w:p>
    <w:p w:rsidR="008F748A" w:rsidRPr="008D238C" w:rsidRDefault="008F748A" w:rsidP="008F748A">
      <w:pPr>
        <w:pStyle w:val="CoverReference"/>
      </w:pPr>
      <w:r w:rsidRPr="008D238C">
        <w:rPr>
          <w:rStyle w:val="HideTWBExt"/>
          <w:b w:val="0"/>
          <w:noProof w:val="0"/>
        </w:rPr>
        <w:t>&lt;NoDocSe&gt;</w:t>
      </w:r>
      <w:r w:rsidRPr="008D238C">
        <w:t>B9-0202/2020</w:t>
      </w:r>
      <w:r w:rsidRPr="008D238C">
        <w:rPr>
          <w:rStyle w:val="HideTWBExt"/>
          <w:b w:val="0"/>
          <w:noProof w:val="0"/>
        </w:rPr>
        <w:t>&lt;/NoDocSe&gt;</w:t>
      </w:r>
    </w:p>
    <w:p w:rsidR="008F748A" w:rsidRPr="008D238C" w:rsidRDefault="008F748A" w:rsidP="008F748A">
      <w:pPr>
        <w:pStyle w:val="CoverDate"/>
      </w:pPr>
      <w:r w:rsidRPr="008D238C">
        <w:rPr>
          <w:rStyle w:val="HideTWBExt"/>
          <w:noProof w:val="0"/>
        </w:rPr>
        <w:t>&lt;Date&gt;</w:t>
      </w:r>
      <w:r w:rsidRPr="008D238C">
        <w:rPr>
          <w:rStyle w:val="HideTWBInt"/>
        </w:rPr>
        <w:t>{01/07/2020}</w:t>
      </w:r>
      <w:r w:rsidRPr="008D238C">
        <w:t>1.7.2020</w:t>
      </w:r>
      <w:r w:rsidRPr="008D238C">
        <w:rPr>
          <w:rStyle w:val="HideTWBExt"/>
          <w:noProof w:val="0"/>
        </w:rPr>
        <w:t>&lt;/Date&gt;</w:t>
      </w:r>
    </w:p>
    <w:p w:rsidR="00F9151F" w:rsidRPr="008D238C" w:rsidRDefault="00F9151F">
      <w:pPr>
        <w:pStyle w:val="CoverDocType24a"/>
      </w:pPr>
      <w:r w:rsidRPr="008D238C">
        <w:rPr>
          <w:rStyle w:val="HideTWBExt"/>
          <w:b w:val="0"/>
          <w:noProof w:val="0"/>
        </w:rPr>
        <w:t>&lt;TitreType&gt;</w:t>
      </w:r>
      <w:r w:rsidRPr="008D238C">
        <w:t>RESOLUTSIOONI ETTEPANEK</w:t>
      </w:r>
      <w:r w:rsidRPr="008D238C">
        <w:rPr>
          <w:rStyle w:val="HideTWBExt"/>
          <w:b w:val="0"/>
          <w:noProof w:val="0"/>
        </w:rPr>
        <w:t>&lt;/TitreType&gt;</w:t>
      </w:r>
    </w:p>
    <w:p w:rsidR="00F9151F" w:rsidRPr="008D238C" w:rsidRDefault="00F9151F">
      <w:pPr>
        <w:pStyle w:val="CoverNormal12a"/>
      </w:pPr>
      <w:r w:rsidRPr="008D238C">
        <w:rPr>
          <w:rStyle w:val="HideTWBExt"/>
          <w:noProof w:val="0"/>
        </w:rPr>
        <w:t>&lt;TitreRecueil&gt;</w:t>
      </w:r>
      <w:r w:rsidRPr="008D238C">
        <w:t>vastavalt kodukorra artikli 112 lõigetele 2 ja 3</w:t>
      </w:r>
      <w:r w:rsidRPr="008D238C">
        <w:rPr>
          <w:rStyle w:val="HideTWBExt"/>
          <w:noProof w:val="0"/>
        </w:rPr>
        <w:t>&lt;/TitreRecueil&gt;</w:t>
      </w:r>
    </w:p>
    <w:p w:rsidR="008F778C" w:rsidRPr="008D238C" w:rsidRDefault="008F778C" w:rsidP="008F778C">
      <w:pPr>
        <w:pStyle w:val="CoverNormal"/>
      </w:pPr>
      <w:r w:rsidRPr="008D238C">
        <w:rPr>
          <w:rStyle w:val="HideTWBExt"/>
          <w:noProof w:val="0"/>
        </w:rPr>
        <w:t>&lt;Titre&gt;</w:t>
      </w:r>
      <w:r w:rsidRPr="008D238C">
        <w:t>komisjoni rakendusotsuse eelnõu kohta, millega antakse osaline autoriseering kroomtrioksiidi teatavateks kasutusaladeks Euroopa Parlamendi ja nõukogu määruse (EÜ) nr 1907/2006 alusel (REACHLaw Ltd)</w:t>
      </w:r>
      <w:r w:rsidRPr="008D238C">
        <w:rPr>
          <w:rStyle w:val="HideTWBExt"/>
          <w:noProof w:val="0"/>
        </w:rPr>
        <w:t>&lt;/Titre&gt;</w:t>
      </w:r>
    </w:p>
    <w:p w:rsidR="008F778C" w:rsidRPr="008D238C" w:rsidRDefault="008F778C" w:rsidP="00264419">
      <w:pPr>
        <w:pStyle w:val="CoverNormal24a"/>
      </w:pPr>
      <w:r w:rsidRPr="008D238C">
        <w:rPr>
          <w:rStyle w:val="HideTWBExt"/>
          <w:noProof w:val="0"/>
        </w:rPr>
        <w:t>&lt;DocRef&gt;</w:t>
      </w:r>
      <w:r w:rsidRPr="008D238C">
        <w:t>(D066992/01 – 2020/2670(RSP))</w:t>
      </w:r>
      <w:r w:rsidRPr="008D238C">
        <w:rPr>
          <w:rStyle w:val="HideTWBExt"/>
          <w:noProof w:val="0"/>
        </w:rPr>
        <w:t>&lt;/DocRef&gt;</w:t>
      </w:r>
    </w:p>
    <w:p w:rsidR="00F403DB" w:rsidRPr="008D238C" w:rsidRDefault="00F403DB" w:rsidP="00F403DB">
      <w:pPr>
        <w:pStyle w:val="CoverBold24a"/>
      </w:pPr>
      <w:r w:rsidRPr="008D238C">
        <w:rPr>
          <w:rStyle w:val="HideTWBExt"/>
          <w:b w:val="0"/>
          <w:noProof w:val="0"/>
        </w:rPr>
        <w:t>&lt;Commission&gt;</w:t>
      </w:r>
      <w:r w:rsidRPr="008D238C">
        <w:rPr>
          <w:rStyle w:val="HideTWBInt"/>
        </w:rPr>
        <w:t>{ENVI}</w:t>
      </w:r>
      <w:r w:rsidRPr="008D238C">
        <w:t>Keskkonna-, rahvatervise ja toiduohutuse komisjon</w:t>
      </w:r>
      <w:r w:rsidRPr="008D238C">
        <w:rPr>
          <w:rStyle w:val="HideTWBExt"/>
          <w:b w:val="0"/>
          <w:noProof w:val="0"/>
        </w:rPr>
        <w:t>&lt;/Commission&gt;</w:t>
      </w:r>
    </w:p>
    <w:p w:rsidR="00F403DB" w:rsidRPr="008D238C" w:rsidRDefault="007B4250" w:rsidP="00F403DB">
      <w:pPr>
        <w:pStyle w:val="CoverNormal24a"/>
      </w:pPr>
      <w:r w:rsidRPr="008D238C">
        <w:t xml:space="preserve">Vastutavad parlamendiliikmed: </w:t>
      </w:r>
      <w:r w:rsidRPr="008D238C">
        <w:rPr>
          <w:rStyle w:val="HideTWBExt"/>
          <w:noProof w:val="0"/>
        </w:rPr>
        <w:t>&lt;Depute&gt;</w:t>
      </w:r>
      <w:r w:rsidRPr="008D238C">
        <w:t>Bas Eickhout, Maria Arena, Martin Hojsík</w:t>
      </w:r>
      <w:r w:rsidRPr="008D238C">
        <w:rPr>
          <w:rStyle w:val="HideTWBExt"/>
          <w:noProof w:val="0"/>
        </w:rPr>
        <w:t>&lt;/Depute&gt;</w:t>
      </w:r>
    </w:p>
    <w:p w:rsidR="00F9151F" w:rsidRPr="008D238C" w:rsidRDefault="00F9151F">
      <w:pPr>
        <w:pStyle w:val="NormalBold12a"/>
      </w:pPr>
      <w:r w:rsidRPr="008D238C">
        <w:br w:type="page"/>
      </w:r>
      <w:r w:rsidRPr="008D238C">
        <w:lastRenderedPageBreak/>
        <w:t>B9-0202/2020</w:t>
      </w:r>
    </w:p>
    <w:p w:rsidR="00622B27" w:rsidRPr="008D238C" w:rsidRDefault="00631043" w:rsidP="00264419">
      <w:pPr>
        <w:pStyle w:val="NormalBold"/>
      </w:pPr>
      <w:r w:rsidRPr="008D238C">
        <w:t>Euroopa Parlamendi resolutsioon komisjoni rakendusotsuse eelnõu kohta, millega antakse osaline autoriseering kroomtrioksiidi teatavateks kasutusaladeks Euroopa Parlamendi ja nõukogu määruse (EÜ) nr 1907/2006 alusel (REACHLaw Ltd)</w:t>
      </w:r>
    </w:p>
    <w:p w:rsidR="00622B27" w:rsidRPr="008D238C" w:rsidRDefault="00631043" w:rsidP="00264419">
      <w:pPr>
        <w:pStyle w:val="NormalBold"/>
      </w:pPr>
      <w:r w:rsidRPr="008D238C">
        <w:t>(D066992/01 – 2020/2670(RSP))</w:t>
      </w:r>
    </w:p>
    <w:p w:rsidR="00F9151F" w:rsidRPr="008D238C" w:rsidRDefault="00631043">
      <w:pPr>
        <w:pStyle w:val="EPComma"/>
      </w:pPr>
      <w:r w:rsidRPr="008D238C">
        <w:rPr>
          <w:i/>
        </w:rPr>
        <w:t>Euroopa Parlament</w:t>
      </w:r>
      <w:r w:rsidRPr="008D238C">
        <w:t>,</w:t>
      </w:r>
    </w:p>
    <w:p w:rsidR="007B4250" w:rsidRPr="008D238C" w:rsidRDefault="00F9151F" w:rsidP="007B4250">
      <w:pPr>
        <w:pStyle w:val="NormalHanging12a"/>
      </w:pPr>
      <w:r w:rsidRPr="008D238C">
        <w:t>–</w:t>
      </w:r>
      <w:r w:rsidRPr="008D238C">
        <w:tab/>
        <w:t>võttes arvesse komisjoni rakendusotsuse eelnõu, millega antakse osaline autoriseering kroomtrioksiidi teatavateks kasutusaladeks Euroopa Parlamendi ja nõukogu määruse (EÜ) nr 1907/2006 alusel (REACHLaw Ltd) (D066992/01),</w:t>
      </w:r>
    </w:p>
    <w:p w:rsidR="007B4250" w:rsidRPr="008D238C" w:rsidRDefault="00F9151F" w:rsidP="007B4250">
      <w:pPr>
        <w:pStyle w:val="NormalHanging12a"/>
        <w:rPr>
          <w:rFonts w:eastAsia="ヒラギノ角ゴ Pro W3"/>
        </w:rPr>
      </w:pPr>
      <w:r w:rsidRPr="008D238C">
        <w:t>–</w:t>
      </w:r>
      <w:r w:rsidRPr="008D238C">
        <w:tab/>
        <w:t>võttes arvesse Euroopa Parlamendi ja nõukogu 18. detsembri 2006. aasta määrust (EÜ) nr 1907/2006 (mis käsitleb kemikaalide registreerimist, hindamist, autoriseerimist ja piiramist (REACH) ning millega asutatakse Euroopa Kemikaaliamet, muudetakse direktiivi 1999/45/EÜ ja tunnistatakse kehtetuks nõukogu määrus (EMÜ) nr 793/93 ja komisjoni määrus (EÜ) nr 1488/94 ning samuti nõukogu direktiiv 76/769/EMÜ ja komisjoni direktiivid 91/155/EMÜ, 93/67/EMÜ, 93/105/EÜ ja 2000/21/EÜ)</w:t>
      </w:r>
      <w:r w:rsidR="007B4250" w:rsidRPr="008D238C">
        <w:rPr>
          <w:rStyle w:val="FootnoteReference"/>
          <w:rFonts w:eastAsia="ヒラギノ角ゴ Pro W3"/>
          <w:color w:val="000000"/>
        </w:rPr>
        <w:footnoteReference w:id="1"/>
      </w:r>
      <w:r w:rsidRPr="008D238C">
        <w:t xml:space="preserve"> (kemikaalimäärus REACH), eriti selle artikli 64 lõiget 8,</w:t>
      </w:r>
    </w:p>
    <w:p w:rsidR="007B4250" w:rsidRPr="008D238C" w:rsidRDefault="007B4250" w:rsidP="007B4250">
      <w:pPr>
        <w:pStyle w:val="NormalHanging12a"/>
        <w:rPr>
          <w:rFonts w:eastAsia="ヒラギノ角ゴ Pro W3"/>
        </w:rPr>
      </w:pPr>
      <w:r w:rsidRPr="008D238C">
        <w:t>–</w:t>
      </w:r>
      <w:r w:rsidRPr="008D238C">
        <w:tab/>
        <w:t>võttes arvesse Euroopa Kemikaaliameti (ECHA) riskihindamise komitee (RAC) ja sotsiaal-majandusliku analüüsi komitee (SEAC) arvamusi</w:t>
      </w:r>
      <w:r w:rsidRPr="008D238C">
        <w:rPr>
          <w:rFonts w:eastAsia="ヒラギノ角ゴ Pro W3"/>
          <w:vertAlign w:val="superscript"/>
        </w:rPr>
        <w:footnoteReference w:id="2"/>
      </w:r>
      <w:r w:rsidRPr="008D238C">
        <w:t xml:space="preserve"> vastavalt kemikaalimääruse REACH artikli 64 lõike 5 teisele lõigule,</w:t>
      </w:r>
    </w:p>
    <w:p w:rsidR="007B4250" w:rsidRPr="008D238C" w:rsidRDefault="007B4250" w:rsidP="007B4250">
      <w:pPr>
        <w:pStyle w:val="NormalHanging12a"/>
      </w:pPr>
      <w:r w:rsidRPr="008D238C">
        <w:t>–</w:t>
      </w:r>
      <w:r w:rsidRPr="008D238C">
        <w:tab/>
        <w:t>võttes arvesse Euroopa Parlamendi ja nõukogu 16. veebruari 2011. aasta määruse (EL) nr 182/2011 (millega kehtestatakse eeskirjad ja üldpõhimõtted, mis käsitlevad liikmesriikide läbiviidava kontrolli mehhanisme, mida kohaldatakse komisjoni rakendamisvolituste teostamise suhtes)</w:t>
      </w:r>
      <w:r w:rsidRPr="008D238C">
        <w:rPr>
          <w:vertAlign w:val="superscript"/>
        </w:rPr>
        <w:footnoteReference w:id="3"/>
      </w:r>
      <w:r w:rsidRPr="008D238C">
        <w:t xml:space="preserve"> artikleid 11 ja 13,</w:t>
      </w:r>
    </w:p>
    <w:p w:rsidR="007B4250" w:rsidRPr="008D238C" w:rsidRDefault="007B4250" w:rsidP="007B4250">
      <w:pPr>
        <w:pStyle w:val="NormalHanging12a"/>
      </w:pPr>
      <w:r w:rsidRPr="008D238C">
        <w:lastRenderedPageBreak/>
        <w:t>–</w:t>
      </w:r>
      <w:r w:rsidRPr="008D238C">
        <w:tab/>
        <w:t>võttes arvesse Üldkohtu 7. märtsi 2019. aasta otsust kohtuasjas T-837/16</w:t>
      </w:r>
      <w:r w:rsidRPr="008D238C">
        <w:rPr>
          <w:vertAlign w:val="superscript"/>
        </w:rPr>
        <w:footnoteReference w:id="4"/>
      </w:r>
      <w:r w:rsidRPr="008D238C">
        <w:t>,</w:t>
      </w:r>
    </w:p>
    <w:p w:rsidR="007B4250" w:rsidRPr="008D238C" w:rsidRDefault="00DD2ADD" w:rsidP="007B4250">
      <w:pPr>
        <w:pStyle w:val="NormalHanging12a"/>
      </w:pPr>
      <w:r w:rsidRPr="008D238C">
        <w:t>–</w:t>
      </w:r>
      <w:r w:rsidRPr="008D238C">
        <w:tab/>
        <w:t>võttes arvesse kodukorra artikli 112 lõikeid 2 ja 3,</w:t>
      </w:r>
    </w:p>
    <w:p w:rsidR="007B4250" w:rsidRPr="008D238C" w:rsidRDefault="009B53ED" w:rsidP="007B4250">
      <w:pPr>
        <w:pStyle w:val="NormalHanging12a"/>
      </w:pPr>
      <w:r w:rsidRPr="008D238C">
        <w:t>–</w:t>
      </w:r>
      <w:r w:rsidRPr="008D238C">
        <w:tab/>
        <w:t>võttes arvesse keskkonna-, rahvatervise ja toiduohutuse komisjoni resolutsiooni ettepanekut,</w:t>
      </w:r>
    </w:p>
    <w:p w:rsidR="007B4250" w:rsidRPr="008D238C" w:rsidRDefault="007B4250" w:rsidP="007B4250">
      <w:pPr>
        <w:pStyle w:val="NormalHanging12a"/>
      </w:pPr>
      <w:r w:rsidRPr="008D238C">
        <w:t>A.</w:t>
      </w:r>
      <w:r w:rsidRPr="008D238C">
        <w:tab/>
        <w:t>arvestades, et kroomtrioksiid lisati 2010. aastal kemikaalimääruse REACH alusel väga ohtlike ainete kandidaatainete loetellu</w:t>
      </w:r>
      <w:r w:rsidRPr="008D238C">
        <w:rPr>
          <w:vertAlign w:val="superscript"/>
        </w:rPr>
        <w:footnoteReference w:id="5"/>
      </w:r>
      <w:r w:rsidRPr="008D238C">
        <w:t>, sest see on klassifitseeritud kantserogeeni (kategooria 1A) ja mutageenina (kategooria 1B);</w:t>
      </w:r>
    </w:p>
    <w:p w:rsidR="007B4250" w:rsidRPr="008D238C" w:rsidRDefault="007B4250" w:rsidP="007B4250">
      <w:pPr>
        <w:pStyle w:val="NormalHanging12a"/>
        <w:rPr>
          <w:szCs w:val="24"/>
        </w:rPr>
      </w:pPr>
      <w:r w:rsidRPr="008D238C">
        <w:t>B.</w:t>
      </w:r>
      <w:r w:rsidRPr="008D238C">
        <w:tab/>
        <w:t>arvestades, et kroomtrioksiid lisati 2013. aastal kemikaalimääruse REACH XIV lisasse</w:t>
      </w:r>
      <w:r w:rsidRPr="008D238C">
        <w:rPr>
          <w:szCs w:val="24"/>
          <w:vertAlign w:val="superscript"/>
        </w:rPr>
        <w:footnoteReference w:id="6"/>
      </w:r>
      <w:r w:rsidRPr="008D238C">
        <w:t xml:space="preserve"> selle kantserogeenseks ja mutageenseks klassifitseerimise, kasutatavate suurte koguste, liidus esinevate kasutuskohtade suure arvu ja töötajate märkimisväärse kokkupuute ohu tõttu</w:t>
      </w:r>
      <w:r w:rsidRPr="008D238C">
        <w:rPr>
          <w:szCs w:val="24"/>
          <w:vertAlign w:val="superscript"/>
        </w:rPr>
        <w:footnoteReference w:id="7"/>
      </w:r>
      <w:r w:rsidRPr="008D238C">
        <w:t xml:space="preserve"> ning selle sulgemiskuupäevaks määrati 21. september 2017;</w:t>
      </w:r>
    </w:p>
    <w:p w:rsidR="007B4250" w:rsidRPr="008D238C" w:rsidRDefault="007B4250" w:rsidP="007B4250">
      <w:pPr>
        <w:pStyle w:val="NormalHanging12a"/>
        <w:rPr>
          <w:szCs w:val="24"/>
        </w:rPr>
      </w:pPr>
      <w:r w:rsidRPr="008D238C">
        <w:t>C.</w:t>
      </w:r>
      <w:r w:rsidRPr="008D238C">
        <w:tab/>
        <w:t>arvestades, et äriühingud, kes soovisid jätkata kroomtrioksiidi kasutamist, pidid esitama autoriseerimistaotluse 21. märtsiks 2016;</w:t>
      </w:r>
    </w:p>
    <w:p w:rsidR="007B4250" w:rsidRPr="008D238C" w:rsidRDefault="007B4250" w:rsidP="007B4250">
      <w:pPr>
        <w:pStyle w:val="NormalHanging12a"/>
        <w:rPr>
          <w:szCs w:val="24"/>
        </w:rPr>
      </w:pPr>
      <w:r w:rsidRPr="008D238C">
        <w:t>D.</w:t>
      </w:r>
      <w:r w:rsidRPr="008D238C">
        <w:tab/>
        <w:t>arvestades, et äriühing REACH Law Ltd (edaspidi „taotleja“) tegutseb Venemaa kroomtrioksiidi tootja, piiratud vastutusega äriühingu Novotroitsk Plant of Chromium Compounds (edaspidi „NPCC“) ainuesindajana;</w:t>
      </w:r>
    </w:p>
    <w:p w:rsidR="007B4250" w:rsidRPr="008D238C" w:rsidRDefault="007B4250" w:rsidP="007B4250">
      <w:pPr>
        <w:pStyle w:val="NormalHanging12a"/>
        <w:rPr>
          <w:szCs w:val="24"/>
        </w:rPr>
      </w:pPr>
      <w:r w:rsidRPr="008D238C">
        <w:t>E.</w:t>
      </w:r>
      <w:r w:rsidRPr="008D238C">
        <w:tab/>
        <w:t>arvestades, et taotleja esitas autoriseerimistaotluse kroomtrioksiidi nelja kasutusala jaoks (edaspidi „NPCC taotlus“); arvestades, et NPCC taotluse osana esitatud peamised dokumendid on samad, mis LANXESS Deutschland GmbH ja kuue teise äriühingu poolt ühiselt enam kui 150 äriühingust koosneva konsortsiumi (mille täpne liikmesus ei ole teada) nimel esitatud taotluse</w:t>
      </w:r>
      <w:r w:rsidRPr="008D238C">
        <w:rPr>
          <w:szCs w:val="24"/>
          <w:vertAlign w:val="superscript"/>
        </w:rPr>
        <w:footnoteReference w:id="8"/>
      </w:r>
      <w:r w:rsidRPr="008D238C">
        <w:t xml:space="preserve"> (edaspidi „LANXESSi taotlus“) osana esitatud muutmata lõppversioon;</w:t>
      </w:r>
    </w:p>
    <w:p w:rsidR="007B4250" w:rsidRPr="008D238C" w:rsidRDefault="007B4250" w:rsidP="007B4250">
      <w:pPr>
        <w:pStyle w:val="NormalHanging12a"/>
        <w:rPr>
          <w:szCs w:val="24"/>
        </w:rPr>
      </w:pPr>
      <w:r w:rsidRPr="008D238C">
        <w:t>F.</w:t>
      </w:r>
      <w:r w:rsidRPr="008D238C">
        <w:tab/>
        <w:t>arvestades, et ainus mittekonfidentsiaalne teave, mille taotleja esitas lisaks LANXESSi taotluses sisalduvale teabele, on pooleleheküljeline avaldus, milles märgitakse, et taotleja on pöördunud oma liidus asuvate klientide poole, kes kõik on ainult turustajad, eesmärgiga saada neilt, nende klientidelt ja tarneahelas allpool asuvatelt osalistelt üksikasjalikumaid ja kasutusalapõhiseid andmeid, et andmebaasi parandada, kuid et ta sai vaid mõned täidetud küsimustikud</w:t>
      </w:r>
      <w:r w:rsidRPr="008D238C">
        <w:rPr>
          <w:szCs w:val="24"/>
          <w:vertAlign w:val="superscript"/>
        </w:rPr>
        <w:footnoteReference w:id="9"/>
      </w:r>
      <w:r w:rsidRPr="008D238C">
        <w:t xml:space="preserve">; teisisõnu, taotleja ei kogunud oma klientidelt </w:t>
      </w:r>
      <w:r w:rsidRPr="008D238C">
        <w:lastRenderedPageBreak/>
        <w:t>üksikasjalikumaid ja kasutusalapõhiseid andmeid, mis on põhjus, miks ta tugineb täielikult LANXESSi taotluse muutmata lõppversioonile;</w:t>
      </w:r>
    </w:p>
    <w:p w:rsidR="007B4250" w:rsidRPr="008D238C" w:rsidRDefault="007B4250" w:rsidP="007B4250">
      <w:pPr>
        <w:pStyle w:val="NormalHanging12a"/>
        <w:rPr>
          <w:szCs w:val="24"/>
        </w:rPr>
      </w:pPr>
      <w:r w:rsidRPr="008D238C">
        <w:t>G.</w:t>
      </w:r>
      <w:r w:rsidRPr="008D238C">
        <w:tab/>
        <w:t>arvestades, et LANXESSi taotlus ei olnud ilmselgelt kooskõlas kemikaalimääruse REACH nõuetega, millele parlament juhtis üksikasjalikult komisjoni tähelepanu juba oma 27. märtsi 2019. aasta resolutsioonis</w:t>
      </w:r>
      <w:r w:rsidRPr="008D238C">
        <w:rPr>
          <w:szCs w:val="24"/>
          <w:vertAlign w:val="superscript"/>
        </w:rPr>
        <w:footnoteReference w:id="10"/>
      </w:r>
      <w:r w:rsidRPr="008D238C">
        <w:t>;</w:t>
      </w:r>
    </w:p>
    <w:p w:rsidR="007B4250" w:rsidRPr="008D238C" w:rsidRDefault="007B4250" w:rsidP="007B4250">
      <w:pPr>
        <w:pStyle w:val="NormalHanging12a"/>
        <w:rPr>
          <w:szCs w:val="24"/>
        </w:rPr>
      </w:pPr>
      <w:r w:rsidRPr="008D238C">
        <w:t>H.</w:t>
      </w:r>
      <w:r w:rsidRPr="008D238C">
        <w:tab/>
        <w:t>arvestades, et on ilmne, et NPCC taotlus, mis on LANXESSi taotluse koopia, on samuti puudulik;</w:t>
      </w:r>
    </w:p>
    <w:p w:rsidR="007B4250" w:rsidRPr="008D238C" w:rsidRDefault="007B4250" w:rsidP="007B4250">
      <w:pPr>
        <w:pStyle w:val="NormalHanging12a"/>
        <w:rPr>
          <w:szCs w:val="24"/>
        </w:rPr>
      </w:pPr>
      <w:r w:rsidRPr="008D238C">
        <w:t>I.</w:t>
      </w:r>
      <w:r w:rsidRPr="008D238C">
        <w:tab/>
        <w:t>arvestades, et on murettekitav, et komisjoni rakendusotsuse eelnõus ei käsitleta tõsiseid mureküsimusi, mille parlament tõstatas oma vastuväites komisjoni rakendusotsuse eelnõule, mis käsitleb LANXESSi taotlust, ning et komisjon teeb siiski ettepaneku anda NPCC-le taotleja kaudu autoriseering;</w:t>
      </w:r>
    </w:p>
    <w:p w:rsidR="007B4250" w:rsidRPr="008D238C" w:rsidRDefault="007B4250" w:rsidP="007B4250">
      <w:pPr>
        <w:pStyle w:val="NormalHanging12a"/>
        <w:rPr>
          <w:szCs w:val="24"/>
        </w:rPr>
      </w:pPr>
      <w:r w:rsidRPr="008D238C">
        <w:t>J.</w:t>
      </w:r>
      <w:r w:rsidRPr="008D238C">
        <w:tab/>
        <w:t>arvestades, et kemikaalimääruse REACH põhjenduse 16 kohaselt, nagu seda on tõlgendanud Euroopa Liidu Kohus</w:t>
      </w:r>
      <w:r w:rsidRPr="008D238C">
        <w:rPr>
          <w:szCs w:val="24"/>
          <w:vertAlign w:val="superscript"/>
        </w:rPr>
        <w:footnoteReference w:id="11"/>
      </w:r>
      <w:r w:rsidRPr="008D238C">
        <w:t>, on määruse peamine eesmärk inimeste tervise ja keskkonna kaitstuse kõrge taseme tagamine;</w:t>
      </w:r>
    </w:p>
    <w:p w:rsidR="007B4250" w:rsidRPr="008D238C" w:rsidRDefault="007B4250" w:rsidP="007B4250">
      <w:pPr>
        <w:pStyle w:val="NormalHanging12a"/>
        <w:rPr>
          <w:szCs w:val="24"/>
        </w:rPr>
      </w:pPr>
      <w:r w:rsidRPr="008D238C">
        <w:t>K.</w:t>
      </w:r>
      <w:r w:rsidRPr="008D238C">
        <w:tab/>
        <w:t>arvestades lisaks, et kemikaalimääruse REACH artikli 55 ja põhjenduse 12 kohaselt on autoriseeringu keskne eesmärk väga ohtlike ainete asendamine ohutumate alternatiivsete ainete või tehnoloogiatega;</w:t>
      </w:r>
    </w:p>
    <w:p w:rsidR="007B4250" w:rsidRPr="008D238C" w:rsidRDefault="007B4250" w:rsidP="007B4250">
      <w:pPr>
        <w:pStyle w:val="NormalHanging12a"/>
        <w:rPr>
          <w:szCs w:val="24"/>
        </w:rPr>
      </w:pPr>
      <w:r w:rsidRPr="008D238C">
        <w:t>L.</w:t>
      </w:r>
      <w:r w:rsidRPr="008D238C">
        <w:tab/>
        <w:t>arvestades, et RAC kinnitas, et kroomtrioksiidi kantserogeensete omaduste tuletatud mittetoimivat taset ei ole võimalik kindlaks määrata</w:t>
      </w:r>
      <w:r w:rsidRPr="008D238C">
        <w:rPr>
          <w:rStyle w:val="FootnoteReference"/>
          <w:color w:val="000000"/>
          <w:szCs w:val="24"/>
        </w:rPr>
        <w:footnoteReference w:id="12"/>
      </w:r>
      <w:r w:rsidRPr="008D238C">
        <w:t>, mistõttu seda peetakse kemikaalimääruse REACH artikli 60 lõike 3 punkti a tähenduses piirväärtuseta aineks, st aineks, mille puhul ei ole võimalik kehtestada teoreetilist ohutut kokkupuute taset;</w:t>
      </w:r>
    </w:p>
    <w:p w:rsidR="007B4250" w:rsidRPr="008D238C" w:rsidRDefault="007B4250" w:rsidP="007B4250">
      <w:pPr>
        <w:pStyle w:val="NormalHanging12a"/>
        <w:rPr>
          <w:szCs w:val="24"/>
        </w:rPr>
      </w:pPr>
      <w:r w:rsidRPr="008D238C">
        <w:t>M.</w:t>
      </w:r>
      <w:r w:rsidRPr="008D238C">
        <w:tab/>
        <w:t>arvestades, et kemikaalimääruse REACH artikli 60 lõikes 4 on sätestatud, et autoriseeringu sellise aine kasutamiseks, mille puhul ohutut kokkupuute taset ei ole võimalik kehtestada, võib anda ainult juhul, kui tõendatakse, et sotsiaal-majanduslik kasu kaalub üles aine kasutamisest inimeste tervisele või keskkonnale tulenevad riskid, ning puuduvad sobivad alternatiivsed ained või tehnoloogiad;</w:t>
      </w:r>
    </w:p>
    <w:p w:rsidR="007B4250" w:rsidRPr="008D238C" w:rsidRDefault="007B4250" w:rsidP="007B4250">
      <w:pPr>
        <w:pStyle w:val="NormalHanging12a"/>
        <w:rPr>
          <w:szCs w:val="24"/>
        </w:rPr>
      </w:pPr>
      <w:r w:rsidRPr="008D238C">
        <w:t>N.</w:t>
      </w:r>
      <w:r w:rsidRPr="008D238C">
        <w:tab/>
        <w:t>arvestades, et kemikaalimääruse REACH artikli 62 lõike 4 punkti d kohaselt peavad taotlejad esitama kemikaaliohutuse aruande vastavalt määruse I lisale; arvestades, et kõnealune aruanne peab sisaldama hinnangut kokkupuute tasemete kohta, võttes eelkõige arvesse iseloomulikke andmeid kokkupuute kohta, iga tuvastatud kasutusala jaoks kasutatud aine kogust, protsessidega seotud töötajate tegevust ja nende ainega kokkupuute kestust ja sagedust</w:t>
      </w:r>
      <w:r w:rsidRPr="008D238C">
        <w:rPr>
          <w:szCs w:val="24"/>
          <w:vertAlign w:val="superscript"/>
        </w:rPr>
        <w:footnoteReference w:id="13"/>
      </w:r>
      <w:r w:rsidRPr="008D238C">
        <w:t>;</w:t>
      </w:r>
    </w:p>
    <w:p w:rsidR="007B4250" w:rsidRPr="008D238C" w:rsidRDefault="007B4250" w:rsidP="007B4250">
      <w:pPr>
        <w:pStyle w:val="NormalHanging12a"/>
        <w:rPr>
          <w:szCs w:val="24"/>
        </w:rPr>
      </w:pPr>
      <w:r w:rsidRPr="008D238C">
        <w:t>O.</w:t>
      </w:r>
      <w:r w:rsidRPr="008D238C">
        <w:tab/>
        <w:t>arvestades, et taotleja kavatseb tarnida liidus aastas kuni 1000 tonni kroomtrioksiidi</w:t>
      </w:r>
      <w:r w:rsidRPr="008D238C">
        <w:rPr>
          <w:szCs w:val="24"/>
          <w:vertAlign w:val="superscript"/>
        </w:rPr>
        <w:footnoteReference w:id="14"/>
      </w:r>
      <w:r w:rsidRPr="008D238C">
        <w:t>, kuid ei ole esitanud põhiteavet, näiteks teavet tonnaaži jaotuse kohta vastavalt taotletavatele kasutusaladele, piirdudes üksnes hinnanguga, et proportsionaalne jaotus on sama, mis LANXESSi taotluses</w:t>
      </w:r>
      <w:r w:rsidRPr="008D238C">
        <w:rPr>
          <w:szCs w:val="24"/>
          <w:vertAlign w:val="superscript"/>
        </w:rPr>
        <w:footnoteReference w:id="15"/>
      </w:r>
      <w:r w:rsidRPr="008D238C">
        <w:t>, mis puudutas 6000 tonni 2. kasutusala jaoks ja 900 tonni 4. kasutusala jaoks</w:t>
      </w:r>
      <w:r w:rsidRPr="008D238C">
        <w:rPr>
          <w:szCs w:val="24"/>
          <w:vertAlign w:val="superscript"/>
        </w:rPr>
        <w:footnoteReference w:id="16"/>
      </w:r>
      <w:r w:rsidRPr="008D238C">
        <w:t>;</w:t>
      </w:r>
    </w:p>
    <w:p w:rsidR="007B4250" w:rsidRPr="008D238C" w:rsidRDefault="007B4250" w:rsidP="007B4250">
      <w:pPr>
        <w:pStyle w:val="NormalHanging12a"/>
        <w:rPr>
          <w:szCs w:val="24"/>
        </w:rPr>
      </w:pPr>
      <w:r w:rsidRPr="008D238C">
        <w:t>P.</w:t>
      </w:r>
      <w:r w:rsidRPr="008D238C">
        <w:tab/>
        <w:t>arvestades, et taotleja väitis, et tema tarneahel oleks identne LANXESSi taotlusega hõlmatud tarneahelaga, kuid ei esitanud andmeid asjaomaste allkasutajate arvu ega NPCC impordi tõttu kokku puutuvate töötajate arvu kohta, mis iseenesest näitab NPCC taotluse mittevastavust; kuigi RAC ja SEAC nentisid, et ei ole võimalik kinnitada, et tarneahelad on identsed, tuginesid nad oma arvamustes siiski sellele eeldusele</w:t>
      </w:r>
      <w:r w:rsidRPr="008D238C">
        <w:rPr>
          <w:szCs w:val="24"/>
          <w:vertAlign w:val="superscript"/>
        </w:rPr>
        <w:footnoteReference w:id="17"/>
      </w:r>
      <w:r w:rsidRPr="008D238C">
        <w:t>;</w:t>
      </w:r>
    </w:p>
    <w:p w:rsidR="007B4250" w:rsidRPr="008D238C" w:rsidRDefault="007B4250" w:rsidP="007B4250">
      <w:pPr>
        <w:pStyle w:val="NormalHanging12a"/>
        <w:rPr>
          <w:szCs w:val="24"/>
        </w:rPr>
      </w:pPr>
      <w:r w:rsidRPr="008D238C">
        <w:t>Q.</w:t>
      </w:r>
      <w:r w:rsidRPr="008D238C">
        <w:tab/>
        <w:t>arvestades, et LANXESSi taotluses esitatud arvude põhjal puudutab NPCC taotlus potentsiaalselt väga suurt hulka tootmisahela järgmise etapi kasutajaid (rohkem kui 2100 tegevuskohta), kes tegutsevad paljudes tööstussektorites alates autotööstusest kuni hüdraulikani, üldehitusest kuni trükkimiseni, sanitaarvaldkonnast kuni sõjaväesektorini ning toiduainetööstusest kuni terasesektorini, kusjuures ainega puutub kokku suur hulk töötajaid (üle 32 000 töötaja) ning lähiümbruses töötab ja elab hinnanguliselt väga suur hulk inimesi (21 miljonit)</w:t>
      </w:r>
      <w:r w:rsidRPr="008D238C">
        <w:rPr>
          <w:szCs w:val="24"/>
          <w:vertAlign w:val="superscript"/>
        </w:rPr>
        <w:footnoteReference w:id="18"/>
      </w:r>
      <w:r w:rsidRPr="008D238C">
        <w:t>;</w:t>
      </w:r>
    </w:p>
    <w:p w:rsidR="007B4250" w:rsidRPr="008D238C" w:rsidRDefault="007B4250" w:rsidP="007B4250">
      <w:pPr>
        <w:pStyle w:val="NormalHanging12a"/>
        <w:rPr>
          <w:szCs w:val="24"/>
        </w:rPr>
      </w:pPr>
      <w:r w:rsidRPr="008D238C">
        <w:t>R.</w:t>
      </w:r>
      <w:r w:rsidRPr="008D238C">
        <w:tab/>
        <w:t>arvestades, et RACi hinnangul tooks LANXESSi taotluse põhjal autoriseeringu andmine igal aastal statistiliselt kaasa 30 surmaga lõppevat vähktõve juhtumit kasutusalade puhul, mis vastavad NPCC taotluses taotletud kasutusaladele</w:t>
      </w:r>
      <w:r w:rsidRPr="008D238C">
        <w:rPr>
          <w:rStyle w:val="FootnoteReference"/>
          <w:color w:val="000000"/>
          <w:szCs w:val="24"/>
        </w:rPr>
        <w:footnoteReference w:id="19"/>
      </w:r>
      <w:r w:rsidRPr="008D238C">
        <w:t>;</w:t>
      </w:r>
    </w:p>
    <w:p w:rsidR="007B4250" w:rsidRPr="008D238C" w:rsidRDefault="007B4250" w:rsidP="007B4250">
      <w:pPr>
        <w:pStyle w:val="NormalHanging12a"/>
        <w:rPr>
          <w:szCs w:val="24"/>
        </w:rPr>
      </w:pPr>
      <w:r w:rsidRPr="008D238C">
        <w:t>S.</w:t>
      </w:r>
      <w:r w:rsidRPr="008D238C">
        <w:tab/>
        <w:t>arvestades, et komisjoni rakendusotsuse eelnõu puudutab ametlikult kolme kasutusala; arvestades, et SEACi hinnangul on 2. ja 4. kasutusala kirjeldustel „äärmiselt lai kohaldamisala“</w:t>
      </w:r>
      <w:r w:rsidRPr="008D238C">
        <w:rPr>
          <w:szCs w:val="24"/>
          <w:vertAlign w:val="superscript"/>
        </w:rPr>
        <w:footnoteReference w:id="20"/>
      </w:r>
      <w:r w:rsidRPr="008D238C">
        <w:t>; arvestades, et see muudab kehtetuks nii riskihinnangu, sotsiaal-majandusliku hinnangu kui ka sobivate alternatiivide kättesaadavuse hinnangu;</w:t>
      </w:r>
    </w:p>
    <w:p w:rsidR="007B4250" w:rsidRPr="008D238C" w:rsidRDefault="007B4250" w:rsidP="007B4250">
      <w:pPr>
        <w:pStyle w:val="NormalHanging12a"/>
        <w:rPr>
          <w:szCs w:val="24"/>
        </w:rPr>
      </w:pPr>
      <w:r w:rsidRPr="008D238C">
        <w:t>T.</w:t>
      </w:r>
      <w:r w:rsidRPr="008D238C">
        <w:tab/>
        <w:t>arvestades, et LANXESSi taotluse puhul märkis RAC iga taotletud kasutusviisi puhul lahknevust võimalike tegevuskohtade koguarvu (kuni 1590), konsortsiumi liikmete arvu (150+) ja mõõdetud kokkupuuteandmete (6–23 tegevuskohta) vahel;</w:t>
      </w:r>
    </w:p>
    <w:p w:rsidR="007B4250" w:rsidRPr="008D238C" w:rsidRDefault="007B4250" w:rsidP="007B4250">
      <w:pPr>
        <w:pStyle w:val="NormalHanging12a"/>
        <w:rPr>
          <w:szCs w:val="24"/>
        </w:rPr>
      </w:pPr>
      <w:r w:rsidRPr="008D238C">
        <w:t>U.</w:t>
      </w:r>
      <w:r w:rsidRPr="008D238C">
        <w:tab/>
        <w:t>arvestades, et teiste sõnadega pärinesid andmed, mis pidid olema esindavad suure hulga väga erinevate pindamisrajatiste jaoks kogu liidus, vähem kui 2 %st asjaomastest tegevuskohtadest ja ainult veerandist või isegi vähem kui kümnendikust liikmesriikidest</w:t>
      </w:r>
      <w:r w:rsidRPr="008D238C">
        <w:rPr>
          <w:szCs w:val="24"/>
          <w:vertAlign w:val="superscript"/>
        </w:rPr>
        <w:footnoteReference w:id="21"/>
      </w:r>
      <w:r w:rsidRPr="008D238C">
        <w:t>;</w:t>
      </w:r>
    </w:p>
    <w:p w:rsidR="007B4250" w:rsidRPr="008D238C" w:rsidRDefault="007B4250" w:rsidP="007B4250">
      <w:pPr>
        <w:pStyle w:val="NormalHanging12a"/>
        <w:rPr>
          <w:szCs w:val="24"/>
        </w:rPr>
      </w:pPr>
      <w:r w:rsidRPr="008D238C">
        <w:t>V.</w:t>
      </w:r>
      <w:r w:rsidRPr="008D238C">
        <w:tab/>
        <w:t>arvestades, et selle tulemusena tegi RAC kindlaks, et riskihinnangus, millele tuginetakse, esineb märkimisväärset ebakindlust, mis tekitab tõsist muret muu hulgas töötajate kokkupuute kohta esitatud teabe representatiivsuse ja usaldusväärsuse pärast</w:t>
      </w:r>
      <w:r w:rsidRPr="008D238C">
        <w:rPr>
          <w:szCs w:val="24"/>
          <w:vertAlign w:val="superscript"/>
        </w:rPr>
        <w:footnoteReference w:id="22"/>
      </w:r>
      <w:r w:rsidRPr="008D238C">
        <w:t>;</w:t>
      </w:r>
    </w:p>
    <w:p w:rsidR="007B4250" w:rsidRPr="008D238C" w:rsidRDefault="007B4250" w:rsidP="007B4250">
      <w:pPr>
        <w:pStyle w:val="NormalHanging12a"/>
        <w:rPr>
          <w:szCs w:val="24"/>
        </w:rPr>
      </w:pPr>
      <w:r w:rsidRPr="008D238C">
        <w:t>W.</w:t>
      </w:r>
      <w:r w:rsidRPr="008D238C">
        <w:tab/>
        <w:t>arvestades, et komisjoni rakendusotsuse eelnõus tunnistatakse, et ei ole esitatud vajalikku teavet töötajate kokkupuutestsenaariumide kohta</w:t>
      </w:r>
      <w:r w:rsidRPr="008D238C">
        <w:rPr>
          <w:szCs w:val="24"/>
          <w:vertAlign w:val="superscript"/>
        </w:rPr>
        <w:footnoteReference w:id="23"/>
      </w:r>
      <w:r w:rsidRPr="008D238C">
        <w:t>;</w:t>
      </w:r>
    </w:p>
    <w:p w:rsidR="007B4250" w:rsidRPr="008D238C" w:rsidRDefault="007B4250" w:rsidP="007B4250">
      <w:pPr>
        <w:pStyle w:val="NormalHanging12a"/>
        <w:rPr>
          <w:szCs w:val="24"/>
        </w:rPr>
      </w:pPr>
      <w:r w:rsidRPr="008D238C">
        <w:t>X.</w:t>
      </w:r>
      <w:r w:rsidRPr="008D238C">
        <w:tab/>
        <w:t>arvestades, et komisjoni rakendusotsuse eelnõus ei loeta NPCC taotlust kemikaalimääruse REACH artikli 60 lõike 7 kohaselt mittevastavaks, vaid selles nõutakse lihtsalt, et taotleja esitaks puuduva teabe</w:t>
      </w:r>
      <w:r w:rsidRPr="008D238C">
        <w:rPr>
          <w:rStyle w:val="FootnoteReference"/>
          <w:color w:val="000000"/>
          <w:szCs w:val="24"/>
        </w:rPr>
        <w:footnoteReference w:id="24"/>
      </w:r>
      <w:r w:rsidRPr="008D238C">
        <w:t xml:space="preserve"> oma läbivaatamisaruandes, mis koostataks aastaid pärast kõnealuse otsuse eelnõu vastuvõtmist</w:t>
      </w:r>
      <w:r w:rsidRPr="008D238C">
        <w:rPr>
          <w:szCs w:val="24"/>
          <w:vertAlign w:val="superscript"/>
        </w:rPr>
        <w:footnoteReference w:id="25"/>
      </w:r>
      <w:r w:rsidRPr="008D238C">
        <w:t>;</w:t>
      </w:r>
    </w:p>
    <w:p w:rsidR="007B4250" w:rsidRPr="008D238C" w:rsidRDefault="007B4250" w:rsidP="007B4250">
      <w:pPr>
        <w:pStyle w:val="NormalHanging12a"/>
        <w:rPr>
          <w:szCs w:val="24"/>
        </w:rPr>
      </w:pPr>
      <w:r w:rsidRPr="008D238C">
        <w:t>Y.</w:t>
      </w:r>
      <w:r w:rsidRPr="008D238C">
        <w:tab/>
        <w:t>arvestades, et kemikaalimääruse REACH artikli 61 kohane läbivaatamisaruanne ei ole mõeldud selleks, et anda äriühingutele lisaaega puuduste likvideerimiseks teabes, mis tulnuks esitada juba enne autoriseeringu andmist, kuna asjaomane teave on otsustusprotsessis põhjapaneva tähtsusega, vaid et selle eesmärk on tagada, et algselt taotluses esitatud teave on endiselt ajakohane;</w:t>
      </w:r>
    </w:p>
    <w:p w:rsidR="007B4250" w:rsidRDefault="007B4250" w:rsidP="007B4250">
      <w:pPr>
        <w:pStyle w:val="NormalHanging12a"/>
      </w:pPr>
      <w:r w:rsidRPr="008D238C">
        <w:t>Z.</w:t>
      </w:r>
      <w:r w:rsidRPr="008D238C">
        <w:tab/>
        <w:t>arvestades, et Üldkohus märkis selgelt, et autoriseeringule seatavate kemikaalimääruse REACH artikli 60 lõigete 8 ja 9 kohaste tingimuste eesmärk ei saa olla autoriseeringutaotluses esinevate puuduste ega komisjoni kohustuseks oleva hindamise vajakajäämiste heastamine</w:t>
      </w:r>
      <w:r w:rsidRPr="008D238C">
        <w:rPr>
          <w:szCs w:val="24"/>
          <w:vertAlign w:val="superscript"/>
        </w:rPr>
        <w:footnoteReference w:id="26"/>
      </w:r>
      <w:r w:rsidRPr="008D238C">
        <w:t>;</w:t>
      </w:r>
    </w:p>
    <w:p w:rsidR="002E58E9" w:rsidRPr="00C107B5" w:rsidRDefault="002E58E9" w:rsidP="002E58E9">
      <w:pPr>
        <w:pStyle w:val="NormalHanging12a"/>
        <w:rPr>
          <w:szCs w:val="24"/>
        </w:rPr>
      </w:pPr>
      <w:r>
        <w:t>AA.</w:t>
      </w:r>
      <w:r>
        <w:tab/>
        <w:t>arvestades, et NPCC taotluse alusel autoriseeringu andmine vaatamata sellele, et kemikaaliohutuse aruandes esitatud andmed ilmselgelt ei ole representatiivsed, on vastuolus eelneva autoriseeringu süsteemi eesmärgiga, mis paneb tõendamiskohustuse taotlejale</w:t>
      </w:r>
      <w:r w:rsidRPr="00C107B5">
        <w:rPr>
          <w:szCs w:val="24"/>
          <w:vertAlign w:val="superscript"/>
        </w:rPr>
        <w:footnoteReference w:id="27"/>
      </w:r>
      <w:r>
        <w:t>;</w:t>
      </w:r>
    </w:p>
    <w:p w:rsidR="002E58E9" w:rsidRPr="00C107B5" w:rsidRDefault="002E58E9" w:rsidP="002E58E9">
      <w:pPr>
        <w:pStyle w:val="NormalHanging12a"/>
        <w:rPr>
          <w:szCs w:val="24"/>
        </w:rPr>
      </w:pPr>
      <w:r>
        <w:t>AB.</w:t>
      </w:r>
      <w:r>
        <w:tab/>
        <w:t>arvestades, et SEACi arvamuses tõsteti lisaks esile olulist ebakindlust taotleja esitatud alternatiivide analüüsis ning et sellele osutati ka komisjoni rakendusotsuse eelnõus</w:t>
      </w:r>
      <w:r w:rsidRPr="00C107B5">
        <w:rPr>
          <w:szCs w:val="24"/>
          <w:vertAlign w:val="superscript"/>
        </w:rPr>
        <w:footnoteReference w:id="28"/>
      </w:r>
      <w:r>
        <w:t>;</w:t>
      </w:r>
    </w:p>
    <w:p w:rsidR="002E58E9" w:rsidRPr="00C107B5" w:rsidRDefault="002E58E9" w:rsidP="002E58E9">
      <w:pPr>
        <w:pStyle w:val="NormalHanging12a"/>
        <w:rPr>
          <w:szCs w:val="24"/>
        </w:rPr>
      </w:pPr>
      <w:r>
        <w:t>AC.</w:t>
      </w:r>
      <w:r>
        <w:tab/>
        <w:t>arvestades, et tehniline alternatiiv on aine, mis suudab täita väga ohtliku ainega samaväärset funktsiooni, mille toimivustase võib olla madalam, kuid siiski vastuvõetav, või muutused tootmises, protsessis või tootes, mis kõrvaldavad täielikult vajaduse aine järele</w:t>
      </w:r>
      <w:r w:rsidRPr="00C107B5">
        <w:rPr>
          <w:vertAlign w:val="superscript"/>
        </w:rPr>
        <w:footnoteReference w:id="29"/>
      </w:r>
      <w:r>
        <w:t>;</w:t>
      </w:r>
    </w:p>
    <w:p w:rsidR="002E58E9" w:rsidRPr="00C107B5" w:rsidRDefault="002E58E9" w:rsidP="002E58E9">
      <w:pPr>
        <w:pStyle w:val="NormalHanging12a"/>
        <w:rPr>
          <w:szCs w:val="24"/>
        </w:rPr>
      </w:pPr>
      <w:r>
        <w:t>AD.</w:t>
      </w:r>
      <w:r>
        <w:tab/>
        <w:t>arvestades, et LANXESSi taotluse alternatiivide analüüsi kohaselt on alternatiivid kättesaadavad üksikute rakenduste jaoks, kuid probleem on leida üksainus asendaja, mis sobiks kõigiks otstarveteks ja kasutusviisideks</w:t>
      </w:r>
      <w:r w:rsidRPr="00C107B5">
        <w:rPr>
          <w:rStyle w:val="FootnoteReference"/>
          <w:color w:val="000000"/>
          <w:szCs w:val="24"/>
        </w:rPr>
        <w:footnoteReference w:id="30"/>
      </w:r>
      <w:r>
        <w:t>;</w:t>
      </w:r>
    </w:p>
    <w:p w:rsidR="002E58E9" w:rsidRPr="00C107B5" w:rsidRDefault="002E58E9" w:rsidP="002E58E9">
      <w:pPr>
        <w:pStyle w:val="NormalHanging12a"/>
        <w:rPr>
          <w:szCs w:val="24"/>
        </w:rPr>
      </w:pPr>
      <w:r>
        <w:t>AE.</w:t>
      </w:r>
      <w:r>
        <w:tab/>
        <w:t>arvestades, et selline „kõigile sobiv lahendus“, eriti väga erinevaid sektoreid ja väga erinevate toimivusnõuetega kasutusalasid hõlmava autoriseerimistaotluse puhul, diskrimineerib põhjendamatult alternatiive, mis on kättesaadavad teatavates sektorites või teatavate kasutusalade jaoks, ning annaks taotlejale ebaseadusliku erandi kohustusest tõendada, et iga taotletava kasutusala jaoks ei ole alternatiivi; arvestades, et selline lähenemisviis on vastuolus kemikaalimääruse REACH artiklis 55 sätestatud asendamise eesmärgiga ega soodusta innovatsiooni;</w:t>
      </w:r>
    </w:p>
    <w:p w:rsidR="002E58E9" w:rsidRPr="00C107B5" w:rsidRDefault="002E58E9" w:rsidP="002E58E9">
      <w:pPr>
        <w:pStyle w:val="NormalHanging12a"/>
        <w:rPr>
          <w:szCs w:val="24"/>
        </w:rPr>
      </w:pPr>
      <w:r>
        <w:t>AF.</w:t>
      </w:r>
      <w:r>
        <w:tab/>
        <w:t>arvestades, et funktsionaalse kroomimise sobivate alternatiivide kättesaadavust on kinnitanud Saksamaa Föderaalse Tööohutuse ja Töötervishoiu Instituudi (Bundesanstalt für Arbeitsschutz und Arbeitsmedizin) hiljutine uuring mitmesuguste rakenduste kohta</w:t>
      </w:r>
      <w:r w:rsidRPr="00C107B5">
        <w:rPr>
          <w:szCs w:val="24"/>
          <w:vertAlign w:val="superscript"/>
        </w:rPr>
        <w:footnoteReference w:id="31"/>
      </w:r>
      <w:r>
        <w:t>;</w:t>
      </w:r>
    </w:p>
    <w:p w:rsidR="002E58E9" w:rsidRPr="00C107B5" w:rsidRDefault="002E58E9" w:rsidP="002E58E9">
      <w:pPr>
        <w:pStyle w:val="NormalHanging12a"/>
        <w:rPr>
          <w:szCs w:val="24"/>
        </w:rPr>
      </w:pPr>
      <w:r>
        <w:t>AG.</w:t>
      </w:r>
      <w:r>
        <w:tab/>
        <w:t>arvestades, et SEAC märkis nii 2. kui ka 4. kasutusala puhul, et „taotletava kasutusala lai ulatus [...] hõlmab tehnilisi rakendusi, mille jaoks sobivad alternatiivid võivad olla juba kättesaadavad ja rakendatavad või muutuda selliseks lähiajal“, kuid järeldas seejärel, et „taotleja tehtud seonduv hindamine on liiga üldine, et jätta need autoriseeringu kohaldamisalast välja“</w:t>
      </w:r>
      <w:r w:rsidRPr="00C107B5">
        <w:rPr>
          <w:szCs w:val="24"/>
          <w:vertAlign w:val="superscript"/>
        </w:rPr>
        <w:footnoteReference w:id="32"/>
      </w:r>
      <w:r>
        <w:t>;</w:t>
      </w:r>
    </w:p>
    <w:p w:rsidR="002E58E9" w:rsidRPr="00C107B5" w:rsidRDefault="002E58E9" w:rsidP="002E58E9">
      <w:pPr>
        <w:pStyle w:val="NormalHanging12a"/>
        <w:rPr>
          <w:szCs w:val="24"/>
        </w:rPr>
      </w:pPr>
      <w:r>
        <w:t>AH.</w:t>
      </w:r>
      <w:r>
        <w:tab/>
        <w:t>arvestades, et seetõttu ei ole ükski taotlus autoriseeringu kohaldamisalast konkreetselt välja jäetud;</w:t>
      </w:r>
    </w:p>
    <w:p w:rsidR="002E58E9" w:rsidRPr="00C107B5" w:rsidRDefault="002E58E9" w:rsidP="002E58E9">
      <w:pPr>
        <w:pStyle w:val="NormalHanging12a"/>
        <w:rPr>
          <w:szCs w:val="24"/>
        </w:rPr>
      </w:pPr>
      <w:r>
        <w:t>AI.</w:t>
      </w:r>
      <w:r>
        <w:tab/>
        <w:t>arvestades, et Üldkohus tühistas autoriseeringu, kuna komisjon ei olnud kontrollinud piisavas koguses olulist ja usaldusväärset teavet, järeldamaks kas seda, et sobivad alternatiivid kõikide taotletud kasutusalade jaoks puuduvad, või et autoriseeringu vastuvõtmise kuupäeval selles osas veel esinevat ebakindlust võis pidada väheoluliseks</w:t>
      </w:r>
      <w:r w:rsidRPr="00C107B5">
        <w:rPr>
          <w:szCs w:val="24"/>
          <w:vertAlign w:val="superscript"/>
        </w:rPr>
        <w:footnoteReference w:id="33"/>
      </w:r>
      <w:r>
        <w:t>;</w:t>
      </w:r>
    </w:p>
    <w:p w:rsidR="002E58E9" w:rsidRPr="00C107B5" w:rsidRDefault="002E58E9" w:rsidP="002E58E9">
      <w:pPr>
        <w:pStyle w:val="NormalHanging12a"/>
        <w:rPr>
          <w:szCs w:val="24"/>
        </w:rPr>
      </w:pPr>
      <w:r>
        <w:t>AJ.</w:t>
      </w:r>
      <w:r>
        <w:tab/>
        <w:t>arvestades, et käesoleval juhul ei olnud alternatiivide analüüsiga seotud ebakindlus kaugeltki väheoluline, kuna SEAC leidis, et taotleja lähenemisviis olemasolevatele alternatiividele ei olnud „täielikult asjakohane“</w:t>
      </w:r>
      <w:r w:rsidRPr="00C107B5">
        <w:rPr>
          <w:szCs w:val="24"/>
          <w:vertAlign w:val="superscript"/>
        </w:rPr>
        <w:footnoteReference w:id="34"/>
      </w:r>
      <w:r>
        <w:t>;</w:t>
      </w:r>
    </w:p>
    <w:p w:rsidR="002E58E9" w:rsidRPr="00C107B5" w:rsidRDefault="002E58E9" w:rsidP="002E58E9">
      <w:pPr>
        <w:pStyle w:val="NormalHanging12a"/>
        <w:rPr>
          <w:szCs w:val="24"/>
        </w:rPr>
      </w:pPr>
      <w:r>
        <w:t>AK.</w:t>
      </w:r>
      <w:r>
        <w:tab/>
        <w:t>arvestades, et Üldkohus on kinnitanud, et olemasolevate alternatiivide puudumise tõendamise kohustus lasub taotlejal ning kui seda tõendamiskoormist ei täideta, „ei saa talle autoriseeringut anda“; arvestades, et samas kohtuasjas märkis Üldkohus ka seda, et „ükski autoriseeringu andmise menetluses osaleja ega muuseas ka ECHA või komisjon ei ole kohustatud tõendama alternatiivide puudumisega seonduva tingimuse puhul vastupidist ehk seda, et alternatiivid on tegelikult olemas“</w:t>
      </w:r>
      <w:r w:rsidRPr="00C107B5">
        <w:rPr>
          <w:szCs w:val="24"/>
          <w:vertAlign w:val="superscript"/>
        </w:rPr>
        <w:footnoteReference w:id="35"/>
      </w:r>
      <w:r>
        <w:t>;</w:t>
      </w:r>
    </w:p>
    <w:p w:rsidR="002E58E9" w:rsidRPr="00C107B5" w:rsidRDefault="002E58E9" w:rsidP="002E58E9">
      <w:pPr>
        <w:pStyle w:val="NormalHanging12a"/>
        <w:rPr>
          <w:szCs w:val="24"/>
        </w:rPr>
      </w:pPr>
      <w:r>
        <w:t>AL.</w:t>
      </w:r>
      <w:r>
        <w:tab/>
        <w:t xml:space="preserve">arvestades, et võttes arvesse SEACi poolt esile tõstetud ebakindlust alternatiivide kättesaadavuse osas, teeb komisjon seega ettepaneku anda autoriseering </w:t>
      </w:r>
      <w:r>
        <w:rPr>
          <w:i/>
          <w:szCs w:val="24"/>
        </w:rPr>
        <w:t>eeldusel</w:t>
      </w:r>
      <w:r>
        <w:t>, et kõigi hõlmatud kasutusalade jaoks ei ole sobivaid alternatiive, mitte aga oluliste ja usaldusväärsete tõendite alusel, ning olukorras, mille on põhjustanud taotleja suutmatus täita oma tõendamiskoormist, mis on vastuolus Üldkohtu tuvastatud nõudega</w:t>
      </w:r>
      <w:r w:rsidRPr="00C107B5">
        <w:rPr>
          <w:szCs w:val="24"/>
          <w:vertAlign w:val="superscript"/>
        </w:rPr>
        <w:footnoteReference w:id="36"/>
      </w:r>
      <w:r>
        <w:t>;</w:t>
      </w:r>
    </w:p>
    <w:p w:rsidR="002E58E9" w:rsidRPr="00C107B5" w:rsidRDefault="002E58E9" w:rsidP="002E58E9">
      <w:pPr>
        <w:pStyle w:val="NormalHanging12a"/>
        <w:rPr>
          <w:szCs w:val="24"/>
        </w:rPr>
      </w:pPr>
      <w:r>
        <w:t>AM.</w:t>
      </w:r>
      <w:r>
        <w:tab/>
        <w:t>arvestades, et „tagamaks, et autoriseering hõlmab ainult neid kasutusalasid, mille jaoks puuduvad sobivad alternatiivid, peab komisjon vajalikuks täiendavalt täpsustada 2. ja 4. kasutusala kirjeldust“ koos „põhifunktsioonidega“, võttes arvesse, et „taotleja on täitnud oma tõendamiskoormise üksnes tõendades sobivate alternatiivide puudumist 2. ja 4. kasutusala puhul üksnes seoses kasutusalade sellise piiratud ulatusega“</w:t>
      </w:r>
      <w:r w:rsidRPr="00C107B5">
        <w:rPr>
          <w:szCs w:val="24"/>
          <w:vertAlign w:val="superscript"/>
        </w:rPr>
        <w:footnoteReference w:id="37"/>
      </w:r>
      <w:r>
        <w:t>;</w:t>
      </w:r>
    </w:p>
    <w:p w:rsidR="002E58E9" w:rsidRPr="00C107B5" w:rsidRDefault="002E58E9" w:rsidP="002E58E9">
      <w:pPr>
        <w:pStyle w:val="NormalHanging12a"/>
        <w:rPr>
          <w:szCs w:val="24"/>
        </w:rPr>
      </w:pPr>
      <w:r>
        <w:t>AN.</w:t>
      </w:r>
      <w:r>
        <w:tab/>
        <w:t xml:space="preserve">arvestades, et esiteks kujutab see, mida komisjon peab kohaldamisala piiramiseks, endast </w:t>
      </w:r>
      <w:r>
        <w:rPr>
          <w:i/>
          <w:szCs w:val="24"/>
        </w:rPr>
        <w:t>de facto</w:t>
      </w:r>
      <w:r>
        <w:t xml:space="preserve"> täielikku loetelu kõigist põhifunktsioonidest, mille jaoks kroomtrioksiidi kasutatakse, ega piira seetõttu mingil viisil autoriseeringu kohaldamisala</w:t>
      </w:r>
      <w:r w:rsidRPr="00C107B5">
        <w:rPr>
          <w:szCs w:val="24"/>
          <w:vertAlign w:val="superscript"/>
        </w:rPr>
        <w:footnoteReference w:id="38"/>
      </w:r>
      <w:r>
        <w:t>;</w:t>
      </w:r>
    </w:p>
    <w:p w:rsidR="002E58E9" w:rsidRPr="00C107B5" w:rsidRDefault="002E58E9" w:rsidP="002E58E9">
      <w:pPr>
        <w:pStyle w:val="NormalHanging12a"/>
        <w:rPr>
          <w:szCs w:val="24"/>
        </w:rPr>
      </w:pPr>
      <w:r>
        <w:t>AO.</w:t>
      </w:r>
      <w:r>
        <w:tab/>
        <w:t>arvestades, et Üldkohus on sõnaselgelt tagasi lükanud komisjoni sarnase katse anda autoriseering, piirates samal ajal väidetavalt kohaldamisala</w:t>
      </w:r>
      <w:r w:rsidRPr="00C107B5">
        <w:rPr>
          <w:szCs w:val="24"/>
          <w:vertAlign w:val="superscript"/>
        </w:rPr>
        <w:footnoteReference w:id="39"/>
      </w:r>
      <w:r>
        <w:t>;</w:t>
      </w:r>
    </w:p>
    <w:p w:rsidR="002E58E9" w:rsidRPr="00C107B5" w:rsidRDefault="002E58E9" w:rsidP="002E58E9">
      <w:pPr>
        <w:pStyle w:val="NormalHanging12a"/>
        <w:rPr>
          <w:szCs w:val="24"/>
        </w:rPr>
      </w:pPr>
      <w:r>
        <w:t>AP.</w:t>
      </w:r>
      <w:r>
        <w:tab/>
        <w:t>arvestades, et teiseks jätab komisjoni rakendusotsuse eelnõu taotlejale võimaluse pärast autoriseeringu andmist subjektiivselt otsustada, kas aine kasutamine on nende põhifunktsioonide jaoks „vajalik“, kuigi selline analüüs on ette nähtud autoriseeringu saamise eeltingimusena;</w:t>
      </w:r>
    </w:p>
    <w:p w:rsidR="002E58E9" w:rsidRPr="00C107B5" w:rsidRDefault="002E58E9" w:rsidP="002E58E9">
      <w:pPr>
        <w:pStyle w:val="NormalHanging12a"/>
        <w:rPr>
          <w:szCs w:val="24"/>
        </w:rPr>
      </w:pPr>
      <w:r>
        <w:t>AQ.</w:t>
      </w:r>
      <w:r>
        <w:tab/>
        <w:t>arvestades, et komisjon delegeerib seega taotlejale oma ainupädevuse teha järeldus alternatiivide analüüsi kohta, rikkudes kemikaalimääruse REACH sätteid, mis kohustavad komisjoni tegema lõpliku otsuse selle kohta, kas taotleja on edukalt tõendanud, et konkreetsel kasutusalal ei ole alternatiivi, nagu Üldkohus on meelde tuletanud</w:t>
      </w:r>
      <w:r w:rsidRPr="00C107B5">
        <w:rPr>
          <w:szCs w:val="24"/>
          <w:vertAlign w:val="superscript"/>
        </w:rPr>
        <w:footnoteReference w:id="40"/>
      </w:r>
      <w:r>
        <w:t>;</w:t>
      </w:r>
    </w:p>
    <w:p w:rsidR="002E58E9" w:rsidRPr="00C107B5" w:rsidRDefault="002E58E9" w:rsidP="002E58E9">
      <w:pPr>
        <w:pStyle w:val="NormalHanging12a"/>
        <w:rPr>
          <w:szCs w:val="24"/>
        </w:rPr>
      </w:pPr>
      <w:r>
        <w:t>AR.</w:t>
      </w:r>
      <w:r>
        <w:tab/>
        <w:t>arvestades, et kolmandaks nõutakse komisjoni rakendusotsuse eelnõus, et allkasutajad esitaksid alternatiivide analüüsiks vajaliku teabe kemikaalimääruse REACH artikli 66 lõike 1 kohaste teatistega pärast autoriseeringu andmist</w:t>
      </w:r>
      <w:r w:rsidRPr="00C107B5">
        <w:rPr>
          <w:szCs w:val="24"/>
          <w:vertAlign w:val="superscript"/>
        </w:rPr>
        <w:footnoteReference w:id="41"/>
      </w:r>
      <w:r>
        <w:t>;</w:t>
      </w:r>
    </w:p>
    <w:p w:rsidR="002E58E9" w:rsidRPr="00C107B5" w:rsidRDefault="002E58E9" w:rsidP="002E58E9">
      <w:pPr>
        <w:pStyle w:val="NormalHanging12a"/>
        <w:rPr>
          <w:vertAlign w:val="superscript"/>
        </w:rPr>
      </w:pPr>
      <w:r>
        <w:t>AS.</w:t>
      </w:r>
      <w:r>
        <w:tab/>
        <w:t>arvestades, et selline teave oli siiski vajalik selleks, et komisjon saaks teha järelduse esiteks selle kohta, kas iga hõlmatud rakenduse jaoks olid olemas alternatiivid; arvestades, et selline lähenemisviis on selgelt vastuolus ka Üldkohtu otsusega</w:t>
      </w:r>
      <w:r w:rsidRPr="00C107B5">
        <w:rPr>
          <w:vertAlign w:val="superscript"/>
        </w:rPr>
        <w:footnoteReference w:id="42"/>
      </w:r>
      <w:r>
        <w:t>;</w:t>
      </w:r>
    </w:p>
    <w:p w:rsidR="002E58E9" w:rsidRPr="00C107B5" w:rsidRDefault="002E58E9" w:rsidP="002E58E9">
      <w:pPr>
        <w:pStyle w:val="NormalHanging12a"/>
        <w:rPr>
          <w:szCs w:val="24"/>
        </w:rPr>
      </w:pPr>
      <w:r>
        <w:t>AT.</w:t>
      </w:r>
      <w:r>
        <w:tab/>
        <w:t>arvestades, et komisjoni rakendusotsuse eelnõus mitte ainult ei premeerita mahajäämust, vaid ka heidutatakse innovatsiooni ja teerajajaid, kes on investeerinud ohutumatesse alternatiividesse;</w:t>
      </w:r>
    </w:p>
    <w:p w:rsidR="002E58E9" w:rsidRPr="00C107B5" w:rsidRDefault="002E58E9" w:rsidP="002E58E9">
      <w:pPr>
        <w:pStyle w:val="NormalHanging12a"/>
        <w:rPr>
          <w:szCs w:val="24"/>
        </w:rPr>
      </w:pPr>
      <w:r>
        <w:t>AU.</w:t>
      </w:r>
      <w:r>
        <w:tab/>
        <w:t>arvestades, et Üldkohus otsustas, et kui sobivad alternatiivid on üldiselt olemas, kuid need alternatiivid ei ole taotleja jaoks tehniliselt või majanduslikult teostatavad, võib autoriseeringu anda juhul, kui sotsiaal-majanduslik kasu kaalub üles aine kasutamisega kaasnevad riskid inimeste tervisele või keskkonnale ja taotleja esitab asendusplaani kemikaalimääruse REACH artikli 60 lõike 4 punkti c tähenduses</w:t>
      </w:r>
      <w:r w:rsidRPr="00C107B5">
        <w:rPr>
          <w:rStyle w:val="FootnoteReference"/>
          <w:color w:val="000000"/>
          <w:szCs w:val="24"/>
        </w:rPr>
        <w:footnoteReference w:id="43"/>
      </w:r>
      <w:r>
        <w:t>;</w:t>
      </w:r>
    </w:p>
    <w:p w:rsidR="002E58E9" w:rsidRPr="00C107B5" w:rsidRDefault="002E58E9" w:rsidP="002E58E9">
      <w:pPr>
        <w:pStyle w:val="NormalHanging12a"/>
        <w:rPr>
          <w:szCs w:val="24"/>
        </w:rPr>
      </w:pPr>
      <w:r>
        <w:t>AV.</w:t>
      </w:r>
      <w:r>
        <w:tab/>
        <w:t>arvestades, et komisjon ei nõudnud taotlejalt siiski asendusplaani;</w:t>
      </w:r>
    </w:p>
    <w:p w:rsidR="002E58E9" w:rsidRPr="00C107B5" w:rsidRDefault="002E58E9" w:rsidP="002E58E9">
      <w:pPr>
        <w:pStyle w:val="NormalHanging12a"/>
        <w:rPr>
          <w:szCs w:val="24"/>
        </w:rPr>
      </w:pPr>
      <w:r>
        <w:t>AW.</w:t>
      </w:r>
      <w:r>
        <w:tab/>
        <w:t>arvestades, et mitmed allkasutajad, keda komisjoni rakendusotsuse eelnõu hõlmab, on juba esitanud eraldi autoriseerimistaotluse; arvestades, et RAC ja SEAC on juba esitanud oma arvamuse mõne kõnealuse taotluse kohta; arvestades, et allkasutajatele on mõned autoriseeringud juba antud;</w:t>
      </w:r>
    </w:p>
    <w:p w:rsidR="002E58E9" w:rsidRPr="00C107B5" w:rsidRDefault="002E58E9" w:rsidP="002E58E9">
      <w:pPr>
        <w:pStyle w:val="NormalHanging12a"/>
        <w:rPr>
          <w:szCs w:val="24"/>
        </w:rPr>
      </w:pPr>
      <w:r>
        <w:t>AX.</w:t>
      </w:r>
      <w:r>
        <w:tab/>
        <w:t>arvestades siiski, et NPCC taotlusega hõlmatud väga laiaulatuslike kasutusalade hulgas võib esineda konkreetseid rakendusi, mille puhul allkasutajad ei esitanud eraldi taotlust, kuid mille puhul võivad kemikaalimääruse REACH artikli 60 lõike 4 tingimused olla täidetud;</w:t>
      </w:r>
    </w:p>
    <w:p w:rsidR="002E58E9" w:rsidRPr="00C107B5" w:rsidRDefault="002E58E9" w:rsidP="002E58E9">
      <w:pPr>
        <w:pStyle w:val="NormalHanging12a"/>
        <w:rPr>
          <w:szCs w:val="24"/>
        </w:rPr>
      </w:pPr>
      <w:r>
        <w:t>AY.</w:t>
      </w:r>
      <w:r>
        <w:tab/>
        <w:t>arvestades, et Euroopa Parlament pidas seetõttu oma 27. märtsi 2019. aasta resolutsioonis erandkorras asjakohaseks anda sellistele allkasutajatele, kes ei ole esitanud eraldi taotlust ja kelle kohta puuduvad vajalikud andmed, võimalus esitada puuduvad andmed lühikese tähtaja jooksul</w:t>
      </w:r>
      <w:r w:rsidRPr="00C107B5">
        <w:rPr>
          <w:szCs w:val="24"/>
          <w:vertAlign w:val="superscript"/>
        </w:rPr>
        <w:footnoteReference w:id="44"/>
      </w:r>
      <w:r>
        <w:t>;</w:t>
      </w:r>
    </w:p>
    <w:p w:rsidR="002E58E9" w:rsidRPr="00C107B5" w:rsidRDefault="002E58E9" w:rsidP="002E58E9">
      <w:pPr>
        <w:pStyle w:val="NormalHanging12a"/>
        <w:rPr>
          <w:szCs w:val="24"/>
        </w:rPr>
      </w:pPr>
      <w:r>
        <w:t>AZ.</w:t>
      </w:r>
      <w:r>
        <w:tab/>
        <w:t xml:space="preserve"> arvestades, et on äärmiselt kahetsusväärne, et komisjon ei järginud seda lähenemisviisi, vaid jätkab – vastupidi Üldkohtu otsusele – autoriseeringute koostamist taotluste alusel, mille puhul puuduvad piisavad tõendid selle kohta, et kemikaalimääruses REACH sätestatud autoriseeringu andmise tingimused on täidetud;</w:t>
      </w:r>
    </w:p>
    <w:p w:rsidR="002E58E9" w:rsidRPr="00C107B5" w:rsidRDefault="002E58E9" w:rsidP="002E58E9">
      <w:pPr>
        <w:pStyle w:val="NormalHanging12a"/>
        <w:rPr>
          <w:szCs w:val="24"/>
        </w:rPr>
      </w:pPr>
      <w:r>
        <w:t>BA.</w:t>
      </w:r>
      <w:r>
        <w:tab/>
        <w:t>arvestades, et kokkuvõttes on komisjoni rakendusotsuse eelnõu õigusvastane, sest:</w:t>
      </w:r>
    </w:p>
    <w:p w:rsidR="002E58E9" w:rsidRPr="00C107B5" w:rsidRDefault="002E58E9" w:rsidP="002E58E9">
      <w:pPr>
        <w:pStyle w:val="NormalHanging12a"/>
        <w:rPr>
          <w:szCs w:val="24"/>
        </w:rPr>
      </w:pPr>
      <w:r>
        <w:t>a.</w:t>
      </w:r>
      <w:r>
        <w:tab/>
        <w:t>see on vastuolus kemikaalimääruse REACH artikliga 60, kuna see põhineb taotlusel, mis ei vasta kõnealuses artiklis sätestatud nõuetele, sest selles puudub põhiteave taotletavate kasutusalade kohta, eelkõige seotud koguste, käitlemistingimuste, kokkupuutestsenaariumide ja riskijuhtimismeetmete kohta, ning puudub nõuetekohane hinnang ohutumate alternatiivide kohta ja asenduskava, mistõttu on võimatu kontrollida, kas autoriseeringu saamise tingimused on täidetud;</w:t>
      </w:r>
    </w:p>
    <w:p w:rsidR="002E58E9" w:rsidRPr="00C107B5" w:rsidRDefault="002E58E9" w:rsidP="002E58E9">
      <w:pPr>
        <w:pStyle w:val="NormalHanging12a"/>
        <w:rPr>
          <w:szCs w:val="24"/>
        </w:rPr>
      </w:pPr>
      <w:r>
        <w:t>b.</w:t>
      </w:r>
      <w:r>
        <w:tab/>
        <w:t>selle eesmärk on kõrvaldada puudused, nõudes allkasutajatelt sellise teabe esitamist, mis on vajalik taotluses endas, pärast loa andmist, osana tulevasest läbivaatamisest;</w:t>
      </w:r>
    </w:p>
    <w:p w:rsidR="002E58E9" w:rsidRPr="00C107B5" w:rsidRDefault="002E58E9" w:rsidP="002E58E9">
      <w:pPr>
        <w:pStyle w:val="NormalHanging12a"/>
        <w:rPr>
          <w:szCs w:val="24"/>
        </w:rPr>
      </w:pPr>
      <w:r>
        <w:t>c.</w:t>
      </w:r>
      <w:r>
        <w:tab/>
        <w:t>see delegeerib ebaseaduslikult taotlejale komisjoni ainuõiguse jõuda järeldusele alternatiivide kättesaadavuse suhtes;</w:t>
      </w:r>
    </w:p>
    <w:p w:rsidR="002E58E9" w:rsidRPr="00C107B5" w:rsidRDefault="002E58E9" w:rsidP="002E58E9">
      <w:pPr>
        <w:pStyle w:val="NormalHanging12a"/>
      </w:pPr>
      <w:r>
        <w:t>1.</w:t>
      </w:r>
      <w:r>
        <w:tab/>
        <w:t>on seisukohal, et komisjoni rakendusotsuse eelnõu ületab kemikaalimääruses REACH sätestatud rakendamisvolitusi;</w:t>
      </w:r>
    </w:p>
    <w:p w:rsidR="002E58E9" w:rsidRPr="00C107B5" w:rsidRDefault="002E58E9" w:rsidP="002E58E9">
      <w:pPr>
        <w:pStyle w:val="NormalHanging12a"/>
        <w:rPr>
          <w:szCs w:val="24"/>
        </w:rPr>
      </w:pPr>
      <w:r>
        <w:t>2.</w:t>
      </w:r>
      <w:r>
        <w:tab/>
        <w:t>palub komisjonil oma rakendusotsuse eelnõu tagasi võtta ja esitada komiteele uue eelnõu;</w:t>
      </w:r>
    </w:p>
    <w:p w:rsidR="002E58E9" w:rsidRPr="00C107B5" w:rsidRDefault="002E58E9" w:rsidP="002E58E9">
      <w:pPr>
        <w:pStyle w:val="NormalHanging12a"/>
        <w:rPr>
          <w:szCs w:val="24"/>
        </w:rPr>
      </w:pPr>
      <w:r>
        <w:t>3.</w:t>
      </w:r>
      <w:r>
        <w:tab/>
        <w:t>kutsub komisjoni veel kord üles andma erandkorras allkasutajatele, kelle kasutusala on NPCC taotlusega hõlmatud, kuid kelle kohta ei ole veel eraldi autoriseerimistaotlust esitatud, võimaluse esitada puuduvad andmed väga lühikese tähtaja jooksul, sealhulgas asenduskava, kui taotleja väidab, et tema jaoks ei ole kättesaadavad alternatiivid tehniliselt või majanduslikult teostatavad;</w:t>
      </w:r>
    </w:p>
    <w:p w:rsidR="002E58E9" w:rsidRPr="00C107B5" w:rsidRDefault="002E58E9" w:rsidP="002E58E9">
      <w:pPr>
        <w:pStyle w:val="NormalHanging12a"/>
        <w:rPr>
          <w:szCs w:val="24"/>
        </w:rPr>
      </w:pPr>
      <w:r>
        <w:t>4.</w:t>
      </w:r>
      <w:r>
        <w:tab/>
        <w:t>palub, et RAC ja SEAC hindaksid seetõttu kiiresti sellest tulenevat täiendavat taotlust, sealhulgas kontrolliksid nõuetekohaselt, et kõnealused taotlused hõlmavad kogu vajalikku teavet, mis on ette nähtud kemikaalimääruse REACH artiklis 62;</w:t>
      </w:r>
    </w:p>
    <w:p w:rsidR="002E58E9" w:rsidRPr="00C107B5" w:rsidRDefault="002E58E9" w:rsidP="002E58E9">
      <w:pPr>
        <w:pStyle w:val="NormalHanging12a"/>
        <w:rPr>
          <w:szCs w:val="24"/>
        </w:rPr>
      </w:pPr>
      <w:r>
        <w:t>5.</w:t>
      </w:r>
      <w:r>
        <w:tab/>
        <w:t xml:space="preserve">kutsub komisjoni üles esitama kiiresti </w:t>
      </w:r>
      <w:bookmarkStart w:id="0" w:name="_GoBack"/>
      <w:bookmarkEnd w:id="0"/>
      <w:r>
        <w:t>uue eelnõu, mis oleks täielikus kooskõlas kemikaalimäärusega REACH;</w:t>
      </w:r>
    </w:p>
    <w:p w:rsidR="002E58E9" w:rsidRPr="00C107B5" w:rsidRDefault="002E58E9" w:rsidP="002E58E9">
      <w:pPr>
        <w:pStyle w:val="NormalHanging12a"/>
        <w:rPr>
          <w:szCs w:val="24"/>
        </w:rPr>
      </w:pPr>
      <w:r>
        <w:t>6.</w:t>
      </w:r>
      <w:r>
        <w:tab/>
        <w:t>teeb presidendile ülesandeks edastada käesolev resolutsioon nõukogule ja komisjonile ning liikmesriikide valitsustele ja parlamentidele.</w:t>
      </w:r>
    </w:p>
    <w:sectPr w:rsidR="002E58E9" w:rsidRPr="00C107B5" w:rsidSect="00E6113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043" w:rsidRPr="008D238C" w:rsidRDefault="00631043">
      <w:r w:rsidRPr="008D238C">
        <w:separator/>
      </w:r>
    </w:p>
  </w:endnote>
  <w:endnote w:type="continuationSeparator" w:id="0">
    <w:p w:rsidR="00631043" w:rsidRPr="008D238C" w:rsidRDefault="00631043">
      <w:r w:rsidRPr="008D238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30" w:rsidRDefault="00E61130" w:rsidP="00E61130">
    <w:pPr>
      <w:pStyle w:val="EPFooter"/>
    </w:pPr>
    <w:r>
      <w:t>PE</w:t>
    </w:r>
    <w:r w:rsidRPr="00E61130">
      <w:rPr>
        <w:rStyle w:val="HideTWBExt"/>
      </w:rPr>
      <w:t>&lt;NoPE&gt;</w:t>
    </w:r>
    <w:r>
      <w:t>647.699</w:t>
    </w:r>
    <w:r w:rsidRPr="00E61130">
      <w:rPr>
        <w:rStyle w:val="HideTWBExt"/>
      </w:rPr>
      <w:t>&lt;/NoPE&gt;&lt;Version&gt;</w:t>
    </w:r>
    <w:r>
      <w:t>v01-00</w:t>
    </w:r>
    <w:r w:rsidRPr="00E61130">
      <w:rPr>
        <w:rStyle w:val="HideTWBExt"/>
      </w:rPr>
      <w:t>&lt;/Version&gt;</w:t>
    </w:r>
    <w:r>
      <w:tab/>
    </w:r>
    <w:r>
      <w:fldChar w:fldCharType="begin"/>
    </w:r>
    <w:r>
      <w:instrText xml:space="preserve"> PAGE  \* MERGEFORMAT </w:instrText>
    </w:r>
    <w:r>
      <w:fldChar w:fldCharType="separate"/>
    </w:r>
    <w:r w:rsidR="00477360">
      <w:rPr>
        <w:noProof/>
      </w:rPr>
      <w:t>10</w:t>
    </w:r>
    <w:r>
      <w:fldChar w:fldCharType="end"/>
    </w:r>
    <w:r>
      <w:t>/</w:t>
    </w:r>
    <w:r w:rsidR="00477360">
      <w:rPr>
        <w:noProof/>
      </w:rPr>
      <w:fldChar w:fldCharType="begin"/>
    </w:r>
    <w:r w:rsidR="00477360">
      <w:rPr>
        <w:noProof/>
      </w:rPr>
      <w:instrText xml:space="preserve"> NUMPAGES  \* MERGEFORMAT </w:instrText>
    </w:r>
    <w:r w:rsidR="00477360">
      <w:rPr>
        <w:noProof/>
      </w:rPr>
      <w:fldChar w:fldCharType="separate"/>
    </w:r>
    <w:r w:rsidR="00477360">
      <w:rPr>
        <w:noProof/>
      </w:rPr>
      <w:t>10</w:t>
    </w:r>
    <w:r w:rsidR="00477360">
      <w:rPr>
        <w:noProof/>
      </w:rPr>
      <w:fldChar w:fldCharType="end"/>
    </w:r>
    <w:r>
      <w:tab/>
    </w:r>
    <w:r w:rsidRPr="00E61130">
      <w:rPr>
        <w:rStyle w:val="HideTWBExt"/>
      </w:rPr>
      <w:t>&lt;PathFdR&gt;</w:t>
    </w:r>
    <w:r>
      <w:t>RE\1209041ET.docx</w:t>
    </w:r>
    <w:r w:rsidRPr="00E61130">
      <w:rPr>
        <w:rStyle w:val="HideTWBExt"/>
      </w:rPr>
      <w:t>&lt;/PathFdR&gt;</w:t>
    </w:r>
  </w:p>
  <w:p w:rsidR="006332B4" w:rsidRPr="008D238C" w:rsidRDefault="00E61130" w:rsidP="00E61130">
    <w:pPr>
      <w:pStyle w:val="EPFooter2"/>
    </w:pPr>
    <w: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30" w:rsidRDefault="00E61130" w:rsidP="00E61130">
    <w:pPr>
      <w:pStyle w:val="EPFooter"/>
    </w:pPr>
    <w:r w:rsidRPr="00E61130">
      <w:rPr>
        <w:rStyle w:val="HideTWBExt"/>
      </w:rPr>
      <w:t>&lt;PathFdR&gt;</w:t>
    </w:r>
    <w:r>
      <w:t>RE\1209041ET.docx</w:t>
    </w:r>
    <w:r w:rsidRPr="00E61130">
      <w:rPr>
        <w:rStyle w:val="HideTWBExt"/>
      </w:rPr>
      <w:t>&lt;/PathFdR&gt;</w:t>
    </w:r>
    <w:r>
      <w:tab/>
    </w:r>
    <w:r>
      <w:fldChar w:fldCharType="begin"/>
    </w:r>
    <w:r>
      <w:instrText xml:space="preserve"> PAGE  \* MERGEFORMAT </w:instrText>
    </w:r>
    <w:r>
      <w:fldChar w:fldCharType="separate"/>
    </w:r>
    <w:r w:rsidR="00477360">
      <w:rPr>
        <w:noProof/>
      </w:rPr>
      <w:t>9</w:t>
    </w:r>
    <w:r>
      <w:fldChar w:fldCharType="end"/>
    </w:r>
    <w:r>
      <w:t>/</w:t>
    </w:r>
    <w:r w:rsidR="00477360">
      <w:rPr>
        <w:noProof/>
      </w:rPr>
      <w:fldChar w:fldCharType="begin"/>
    </w:r>
    <w:r w:rsidR="00477360">
      <w:rPr>
        <w:noProof/>
      </w:rPr>
      <w:instrText xml:space="preserve"> NUMPAGES  \* MERGEFORMAT </w:instrText>
    </w:r>
    <w:r w:rsidR="00477360">
      <w:rPr>
        <w:noProof/>
      </w:rPr>
      <w:fldChar w:fldCharType="separate"/>
    </w:r>
    <w:r w:rsidR="00477360">
      <w:rPr>
        <w:noProof/>
      </w:rPr>
      <w:t>10</w:t>
    </w:r>
    <w:r w:rsidR="00477360">
      <w:rPr>
        <w:noProof/>
      </w:rPr>
      <w:fldChar w:fldCharType="end"/>
    </w:r>
    <w:r>
      <w:tab/>
      <w:t>PE</w:t>
    </w:r>
    <w:r w:rsidRPr="00E61130">
      <w:rPr>
        <w:rStyle w:val="HideTWBExt"/>
      </w:rPr>
      <w:t>&lt;NoPE&gt;</w:t>
    </w:r>
    <w:r>
      <w:t>647.699</w:t>
    </w:r>
    <w:r w:rsidRPr="00E61130">
      <w:rPr>
        <w:rStyle w:val="HideTWBExt"/>
      </w:rPr>
      <w:t>&lt;/NoPE&gt;&lt;Version&gt;</w:t>
    </w:r>
    <w:r>
      <w:t>v01-00</w:t>
    </w:r>
    <w:r w:rsidRPr="00E61130">
      <w:rPr>
        <w:rStyle w:val="HideTWBExt"/>
      </w:rPr>
      <w:t>&lt;/Version&gt;</w:t>
    </w:r>
  </w:p>
  <w:p w:rsidR="006332B4" w:rsidRPr="008D238C" w:rsidRDefault="00E61130" w:rsidP="00E61130">
    <w:pPr>
      <w:pStyle w:val="EPFooter2"/>
    </w:pPr>
    <w:r>
      <w:tab/>
    </w:r>
    <w:r>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30" w:rsidRDefault="00E61130" w:rsidP="00E61130">
    <w:pPr>
      <w:pStyle w:val="EPFooter"/>
    </w:pPr>
    <w:r w:rsidRPr="00E61130">
      <w:rPr>
        <w:rStyle w:val="HideTWBExt"/>
      </w:rPr>
      <w:t>&lt;PathFdR&gt;</w:t>
    </w:r>
    <w:r>
      <w:t>RE\1209041ET.docx</w:t>
    </w:r>
    <w:r w:rsidRPr="00E61130">
      <w:rPr>
        <w:rStyle w:val="HideTWBExt"/>
      </w:rPr>
      <w:t>&lt;/PathFdR&gt;</w:t>
    </w:r>
    <w:r>
      <w:tab/>
    </w:r>
    <w:r>
      <w:tab/>
      <w:t>PE</w:t>
    </w:r>
    <w:r w:rsidRPr="00E61130">
      <w:rPr>
        <w:rStyle w:val="HideTWBExt"/>
      </w:rPr>
      <w:t>&lt;NoPE&gt;</w:t>
    </w:r>
    <w:r>
      <w:t>647.699</w:t>
    </w:r>
    <w:r w:rsidRPr="00E61130">
      <w:rPr>
        <w:rStyle w:val="HideTWBExt"/>
      </w:rPr>
      <w:t>&lt;/NoPE&gt;&lt;Version&gt;</w:t>
    </w:r>
    <w:r>
      <w:t>v01-00</w:t>
    </w:r>
    <w:r w:rsidRPr="00E61130">
      <w:rPr>
        <w:rStyle w:val="HideTWBExt"/>
      </w:rPr>
      <w:t>&lt;/Version&gt;</w:t>
    </w:r>
  </w:p>
  <w:p w:rsidR="006332B4" w:rsidRPr="008D238C" w:rsidRDefault="00E61130" w:rsidP="00E61130">
    <w:pPr>
      <w:pStyle w:val="EPFooter2"/>
    </w:pPr>
    <w:r>
      <w:t>ET</w:t>
    </w:r>
    <w:r>
      <w:tab/>
    </w:r>
    <w:r w:rsidRPr="00E61130">
      <w:rPr>
        <w:b w:val="0"/>
        <w:i/>
        <w:color w:val="C0C0C0"/>
        <w:sz w:val="22"/>
      </w:rPr>
      <w:t>Ühinenud mitmekesisuses</w:t>
    </w:r>
    <w:r>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043" w:rsidRPr="008D238C" w:rsidRDefault="00631043">
      <w:r w:rsidRPr="008D238C">
        <w:separator/>
      </w:r>
    </w:p>
  </w:footnote>
  <w:footnote w:type="continuationSeparator" w:id="0">
    <w:p w:rsidR="00631043" w:rsidRPr="008D238C" w:rsidRDefault="00631043">
      <w:r w:rsidRPr="008D238C">
        <w:continuationSeparator/>
      </w:r>
    </w:p>
  </w:footnote>
  <w:footnote w:id="1">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ELT L 396, 30.12.2006, lk 1.</w:t>
      </w:r>
    </w:p>
  </w:footnote>
  <w:footnote w:id="2">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 xml:space="preserve">1. kasutusala (kroomtrioksiidi segude valmistamine funktsionaalseks kroomimiseks, dekoratiivseks funktsionaalseks kroomimiseks ja pinnatöötluseks (v.a ETP) rakenduste jaoks eri tööstussektorites, nagu arhitektuur, autotööstus, metallitootmine ja -töötlus ning üldehitus) kohta vt RACi ja SEACi 19. mai 2017. aasta arvamusi, mis on kättesaadavad aadressil: </w:t>
      </w:r>
    </w:p>
    <w:p w:rsidR="007B4250" w:rsidRPr="008D238C" w:rsidRDefault="00477360" w:rsidP="007B4250">
      <w:pPr>
        <w:pStyle w:val="FootnoteText"/>
        <w:rPr>
          <w:szCs w:val="18"/>
        </w:rPr>
      </w:pPr>
      <w:hyperlink r:id="rId1" w:history="1">
        <w:r w:rsidR="00A87554" w:rsidRPr="008D238C">
          <w:rPr>
            <w:rStyle w:val="Hyperlink"/>
          </w:rPr>
          <w:t>https://echa.europa.eu/documents/10162/5dab062f-8e37-9dae-40bd-25fa2ca625be</w:t>
        </w:r>
      </w:hyperlink>
      <w:r w:rsidR="00A87554" w:rsidRPr="008D238C">
        <w:rPr>
          <w:rStyle w:val="FootnoteReference1"/>
          <w:szCs w:val="18"/>
        </w:rPr>
        <w:t xml:space="preserve"> </w:t>
      </w:r>
    </w:p>
    <w:p w:rsidR="007B4250" w:rsidRPr="008D238C" w:rsidRDefault="007B4250" w:rsidP="007B4250">
      <w:pPr>
        <w:pStyle w:val="FootnoteText"/>
      </w:pPr>
      <w:r w:rsidRPr="008D238C">
        <w:t xml:space="preserve">2. kasutusala (funktsionaalne kroomimine) kohta vt RACi ja SEACi 19. mai 2017. aasta arvamusi, mis on kättesaadavad aadressil: </w:t>
      </w:r>
    </w:p>
    <w:p w:rsidR="007B4250" w:rsidRPr="008D238C" w:rsidRDefault="00477360" w:rsidP="007B4250">
      <w:pPr>
        <w:pStyle w:val="FootnoteText"/>
        <w:rPr>
          <w:szCs w:val="18"/>
        </w:rPr>
      </w:pPr>
      <w:hyperlink r:id="rId2" w:history="1">
        <w:r w:rsidR="00A87554" w:rsidRPr="008D238C">
          <w:rPr>
            <w:rStyle w:val="Hyperlink"/>
          </w:rPr>
          <w:t>https://echa.europa.eu/documents/10162/c4fd2e61-4592-49e8-1e0b-34892be42ce7</w:t>
        </w:r>
      </w:hyperlink>
      <w:r w:rsidR="00A87554" w:rsidRPr="008D238C">
        <w:t xml:space="preserve"> </w:t>
      </w:r>
    </w:p>
    <w:p w:rsidR="007B4250" w:rsidRPr="008D238C" w:rsidRDefault="007B4250" w:rsidP="007B4250">
      <w:pPr>
        <w:pStyle w:val="FootnoteText"/>
      </w:pPr>
      <w:r w:rsidRPr="008D238C">
        <w:t xml:space="preserve">4. kasutusala (pinnatöötlus (v.a ETP) rakenduste jaoks eri tööstussektorites, nagu arhitektuur, autotööstus, metallitootmine ja -töötlus ning üldehitus) kohta vt RACi ja SEACi 19. mai 2017. aasta arvamusi, mis on kättesaadavad aadressil: </w:t>
      </w:r>
    </w:p>
    <w:p w:rsidR="007B4250" w:rsidRPr="008D238C" w:rsidRDefault="00477360" w:rsidP="007B4250">
      <w:pPr>
        <w:pStyle w:val="FootnoteText"/>
        <w:rPr>
          <w:szCs w:val="18"/>
        </w:rPr>
      </w:pPr>
      <w:hyperlink r:id="rId3" w:history="1">
        <w:r w:rsidR="00A87554" w:rsidRPr="008D238C">
          <w:rPr>
            <w:rStyle w:val="Hyperlink"/>
          </w:rPr>
          <w:t>https://echa.europa.eu/documents/10162/d05d7ddc-67af-b7db-3c5c-e95b2d3f8165</w:t>
        </w:r>
      </w:hyperlink>
      <w:r w:rsidR="00A87554" w:rsidRPr="008D238C">
        <w:t xml:space="preserve"> </w:t>
      </w:r>
    </w:p>
    <w:p w:rsidR="007B4250" w:rsidRPr="008D238C" w:rsidRDefault="007B4250" w:rsidP="007B4250">
      <w:pPr>
        <w:pStyle w:val="FootnoteText"/>
      </w:pPr>
      <w:r w:rsidRPr="008D238C">
        <w:t xml:space="preserve">3. kasutusala (dekoratiivne funktsionaalne kroomimine), mille jaoks taotleja samuti taotluse esitas ning RAC ja SEAC võtsid 19. mail 2017 vastu arvamused (kättesaadavad aadressil: </w:t>
      </w:r>
      <w:hyperlink r:id="rId4" w:history="1">
        <w:r w:rsidRPr="008D238C">
          <w:rPr>
            <w:rStyle w:val="Hyperlink"/>
          </w:rPr>
          <w:t>https://echa.europa.eu/documents/10162/d198c14b-0eca-ef10-5444-33313c7742b0</w:t>
        </w:r>
      </w:hyperlink>
      <w:r w:rsidRPr="008D238C">
        <w:t>), komisjoni rakendusotsuse eelnõu ei hõlma.</w:t>
      </w:r>
    </w:p>
  </w:footnote>
  <w:footnote w:id="3">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 xml:space="preserve">ELT L 55,28.2.2011, lk 13. </w:t>
      </w:r>
    </w:p>
  </w:footnote>
  <w:footnote w:id="4">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 xml:space="preserve">Kohtuotsus, Üldkohus, 7. märts 2019, Rootsi </w:t>
      </w:r>
      <w:r w:rsidRPr="008D238C">
        <w:rPr>
          <w:i/>
        </w:rPr>
        <w:t>vs.</w:t>
      </w:r>
      <w:r w:rsidRPr="008D238C">
        <w:t xml:space="preserve"> komisjon, T-837/16, ECLI:EU:T:2019:144.</w:t>
      </w:r>
    </w:p>
  </w:footnote>
  <w:footnote w:id="5">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 xml:space="preserve">Euroopa Kemikaaliameti tegevdirektori 14. detsembri 2010. aasta otsus ainete lisamise kohta väga ohtlike ainete kandidaatainete loetellu, ED/95/2010, kättesaadav aadressil: </w:t>
      </w:r>
      <w:hyperlink r:id="rId5" w:history="1">
        <w:r w:rsidRPr="008D238C">
          <w:rPr>
            <w:rStyle w:val="Hyperlink"/>
          </w:rPr>
          <w:t>https://echa.europa.eu/documents/10162/6b11ec66-9d90-400a-a61a-90de9a0fd8b1</w:t>
        </w:r>
      </w:hyperlink>
      <w:r w:rsidRPr="008D238C">
        <w:t xml:space="preserve"> </w:t>
      </w:r>
    </w:p>
  </w:footnote>
  <w:footnote w:id="6">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Komisjoni 17. aprilli 2013. aasta määrus (EL) nr 348/2013, millega muudetakse Euroopa Parlamendi ja nõukogu määruse (EÜ) nr 1907/2006 (mis käsitleb kemikaalide registreerimist, hindamist, autoriseerimist ja piiramist (REACH)) XIV lisa (ELT L 108, 18.4.2013, lk 1).</w:t>
      </w:r>
    </w:p>
  </w:footnote>
  <w:footnote w:id="7">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 xml:space="preserve">Euroopa Kemikaaliameti (ECHA) 20. detsembri 2011. aasta soovitus ainete kandmiseks XIV lisasse, kättesaadav aadressil: </w:t>
      </w:r>
      <w:hyperlink r:id="rId6" w:history="1">
        <w:r w:rsidRPr="008D238C">
          <w:rPr>
            <w:rStyle w:val="Hyperlink"/>
          </w:rPr>
          <w:t>https://echa.europa.eu/documents/10162/13640/3rd_a_xiv_recommendation_20dec2011_en.pdf</w:t>
        </w:r>
      </w:hyperlink>
    </w:p>
  </w:footnote>
  <w:footnote w:id="8">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 xml:space="preserve">Vt näiteks 2. kasutusala kohta „märkust lugejale“ taotleja esitatud kemikaaliohutuse aruandes, mis on kättesaadav aadressil: </w:t>
      </w:r>
      <w:hyperlink r:id="rId7" w:history="1">
        <w:r w:rsidRPr="008D238C">
          <w:rPr>
            <w:rStyle w:val="Hyperlink"/>
          </w:rPr>
          <w:t>https://echa.europa.eu/documents/10162/7dd2ade6-bb47-4080-8124-a97335f9d2b8</w:t>
        </w:r>
      </w:hyperlink>
    </w:p>
  </w:footnote>
  <w:footnote w:id="9">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Samas.</w:t>
      </w:r>
    </w:p>
  </w:footnote>
  <w:footnote w:id="10">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Euroopa Parlamendi 27. märtsi 2019. aasta resolutsioon komisjoni rakendusotsuse eelnõu kohta, millega antakse autoriseering kroomtrioksiidi teatavateks kasutusaladeks Euroopa Parlamendi ja nõukogu määruse (EÜ) nr 1907/2006 alusel (Lanxess Deutschland GmbH ja teised) (vastuvõetud tekstid, P8_TA(2019)0317).</w:t>
      </w:r>
    </w:p>
  </w:footnote>
  <w:footnote w:id="11">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 xml:space="preserve">Kohtuotsus, Euroopa Kohus (suurkoda), 7. juuli 2009, S.P.C.M. SA jt </w:t>
      </w:r>
      <w:r w:rsidRPr="008D238C">
        <w:rPr>
          <w:i/>
        </w:rPr>
        <w:t>vs.</w:t>
      </w:r>
      <w:r w:rsidRPr="008D238C">
        <w:t xml:space="preserve"> Secretary of State for the Environment, Food and Rural Affairs, C-558/07, ECLI:EU:C:2009:430, punkt 45.</w:t>
      </w:r>
    </w:p>
  </w:footnote>
  <w:footnote w:id="12">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RACi ja SEACi 19. mai 2017. aasta arvamused, vt nt arvamusi 2. kasutusala kohta, lk 4.</w:t>
      </w:r>
    </w:p>
  </w:footnote>
  <w:footnote w:id="13">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Kemikaalimääruse REACH I lisa punkt 5, eelkõige alapunkt 5.2.4.</w:t>
      </w:r>
    </w:p>
  </w:footnote>
  <w:footnote w:id="14">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RACi ja SEACi 19. mai 2017. aasta arvamused, vt nt arvamusi 2. kasutusala kohta, lk 6.</w:t>
      </w:r>
    </w:p>
  </w:footnote>
  <w:footnote w:id="15">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RACi ja SEACi 19. mai 2017. aasta arvamused, vt nt arvamusi 2. kasutusala kohta, lk 12.</w:t>
      </w:r>
    </w:p>
  </w:footnote>
  <w:footnote w:id="16">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RACi ja SEACi 19. mai 2017. aasta arvamused, vt arvamusi 2. kasutusala kohta, 1. lisa, lk 28, ja arvamusi 4. kasutusala kohta, 1. lisa, lk 42.</w:t>
      </w:r>
    </w:p>
  </w:footnote>
  <w:footnote w:id="17">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RACi ja SEACi 19. mai 2017. aasta arvamused, vt nt arvamusi 2. kasutusala kohta, lk 7.</w:t>
      </w:r>
    </w:p>
  </w:footnote>
  <w:footnote w:id="18">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RACi ja SEACi 19. mai 2017. aasta arvamused, vt arvamusi 2. kasutusala kohta, 1. lisa, lk 42, ja arvamusi 4. kasutusala kohta, 1. lisa, lk 55–56.</w:t>
      </w:r>
    </w:p>
  </w:footnote>
  <w:footnote w:id="19">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Samas.</w:t>
      </w:r>
    </w:p>
  </w:footnote>
  <w:footnote w:id="20">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RACi ja SEACi 19. mai 2017. aasta arvamused, vt arvamusi 2. kasutusala kohta, 1. lisa, lk 36, ja arvamusi 4. kasutusala kohta, 1. lisa, lk 59.</w:t>
      </w:r>
    </w:p>
  </w:footnote>
  <w:footnote w:id="21">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2. kasutusala: kokku 1590 tegevuskohta, mõõdetud kokkupuuteandmetega 23 tegevuskohast seitsmes liikmesriigis (vt RACi ja SEACi 19. mai 2017. aasta arvamusi, 1. lisa, lk 7–8); 4. kasutusala: kokku 515 tegevuskohta, mõõdetud kokkupuuteandmetega 11 tegevuskohast kahes liikmesriigis (vt RACi ja SEACi 19. mai 2017. aasta arvamusi, 1. lisa, lk 8–9).</w:t>
      </w:r>
    </w:p>
  </w:footnote>
  <w:footnote w:id="22">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 xml:space="preserve">Vt RACi ja SEACi 19. mai 2017. aasta arvamusi 2. kasutusala kohta, 1. lisa, lk 24, ja 4. kasutusala kohta, 1. lisa, lk 36: „Kõige suurem ebakindlus tuleneb sellest, et puudub selge seos käitlemistingimuste, riskijuhtimismeetmete ning konkreetseid ülesandeid ja tegevuskohti puudutavate kokkupuute väärtuste vahel, mis võiks taotlust veenvalt põhjendada. RAC peab seda taotluse </w:t>
      </w:r>
      <w:r w:rsidRPr="008D238C">
        <w:rPr>
          <w:u w:val="single"/>
        </w:rPr>
        <w:t>oluliseks puuduseks</w:t>
      </w:r>
      <w:r w:rsidRPr="008D238C">
        <w:t>, võttes arvesse, et kroomimise tegevuskohad on väga erinevad, näiteks mis puudutab hoone paigutust, pindamistoimingute ulatust ja sagedust, protsessi automatiseerituse taset, elektrolüüsi kasutamist, töödeldud osade suurust ja kohtväljatõmbeventilatsiooni olemasolu, mis mõjutab kokkupuudet ja kokkupuute ohjamiseks vajalikke riskijuhtimismeetmeid.“ (rõhuasetus lisatud).</w:t>
      </w:r>
    </w:p>
  </w:footnote>
  <w:footnote w:id="23">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Komisjoni rakendusotsuse eelnõu põhjendus 6.</w:t>
      </w:r>
    </w:p>
  </w:footnote>
  <w:footnote w:id="24">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Seda on kirjeldatud komisjoni rakendusotsuse eelnõu artiklis 2: „Loaomanik töötab välja konkreetsed kokkupuutestsenaariumid representatiivsete protsesside, toimingute ja individuaalsete ülesannete jaoks (sealhulgas automaatsete ja manuaalsete süsteemide ning avatud ja suletud süsteemide ja nende kombinatsioonide võrdlus), kirjeldades riskijuhtimismeetmeid ja käitlemistingimusi, mis esindavad kõiki tegevuskohti, kus lubatud kasutus toimub, ning mida kasutatakse selleks, et ohjata töötajate kokkupuudet kroomiga (VI) ja selle heidet keskkonda iga konkreetse stsenaariumi puhul. Kokkupuutestsenaariumid sisaldavad teavet kõnealuste riskijuhtimismeetmete rakendamisest ja käitlemistingimustest tulenevate kokkupuutetasemete kohta [...]“.</w:t>
      </w:r>
    </w:p>
  </w:footnote>
  <w:footnote w:id="25">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 xml:space="preserve">Komisjoni rakendusotsuse eelnõu </w:t>
      </w:r>
      <w:r w:rsidRPr="008D238C">
        <w:rPr>
          <w:color w:val="00000A"/>
        </w:rPr>
        <w:t>põhjendus 20 ja artikkel 7</w:t>
      </w:r>
      <w:r w:rsidRPr="008D238C">
        <w:t>.</w:t>
      </w:r>
    </w:p>
  </w:footnote>
  <w:footnote w:id="26">
    <w:p w:rsidR="007B4250" w:rsidRPr="008D238C" w:rsidRDefault="007B4250" w:rsidP="007B4250">
      <w:pPr>
        <w:pStyle w:val="FootnoteText"/>
      </w:pPr>
      <w:r w:rsidRPr="008D238C">
        <w:rPr>
          <w:rStyle w:val="FootnoteReference"/>
        </w:rPr>
        <w:footnoteRef/>
      </w:r>
      <w:r w:rsidRPr="008D238C">
        <w:rPr>
          <w:rStyle w:val="FootnoteReference"/>
        </w:rPr>
        <w:t xml:space="preserve"> </w:t>
      </w:r>
      <w:r w:rsidRPr="008D238C">
        <w:t xml:space="preserve">Kohtuotsus, Üldkohus, 7. märts 2019, Rootsi </w:t>
      </w:r>
      <w:r w:rsidRPr="008D238C">
        <w:rPr>
          <w:i/>
        </w:rPr>
        <w:t>vs.</w:t>
      </w:r>
      <w:r w:rsidRPr="008D238C">
        <w:t xml:space="preserve"> komisjon, T-837/16, ECLI:EU:T:2019:144</w:t>
      </w:r>
      <w:r w:rsidRPr="008D238C">
        <w:rPr>
          <w:rStyle w:val="outputecli"/>
          <w:szCs w:val="18"/>
        </w:rPr>
        <w:t>, punktid 82 ja 83.</w:t>
      </w:r>
    </w:p>
  </w:footnote>
  <w:footnote w:id="27">
    <w:p w:rsidR="002E58E9" w:rsidRPr="00C107B5" w:rsidRDefault="002E58E9" w:rsidP="002E58E9">
      <w:pPr>
        <w:pStyle w:val="FootnoteText"/>
      </w:pPr>
      <w:r>
        <w:rPr>
          <w:rStyle w:val="FootnoteReference"/>
        </w:rPr>
        <w:footnoteRef/>
      </w:r>
      <w:r>
        <w:rPr>
          <w:rStyle w:val="FootnoteReference"/>
        </w:rPr>
        <w:t xml:space="preserve"> </w:t>
      </w:r>
      <w:r>
        <w:t>Vt kemikaalimääruse REACH artikli 1 lõiget 3.</w:t>
      </w:r>
    </w:p>
  </w:footnote>
  <w:footnote w:id="28">
    <w:p w:rsidR="002E58E9" w:rsidRPr="00C107B5" w:rsidRDefault="002E58E9" w:rsidP="002E58E9">
      <w:pPr>
        <w:pStyle w:val="FootnoteText"/>
      </w:pPr>
      <w:r>
        <w:rPr>
          <w:rStyle w:val="FootnoteReference"/>
        </w:rPr>
        <w:footnoteRef/>
      </w:r>
      <w:r>
        <w:rPr>
          <w:rStyle w:val="FootnoteReference"/>
        </w:rPr>
        <w:t xml:space="preserve"> </w:t>
      </w:r>
      <w:r>
        <w:t>Komisjoni rakendusotsuse eelnõu põhjendus 12.</w:t>
      </w:r>
    </w:p>
  </w:footnote>
  <w:footnote w:id="29">
    <w:p w:rsidR="002E58E9" w:rsidRPr="00C107B5" w:rsidRDefault="002E58E9" w:rsidP="002E58E9">
      <w:pPr>
        <w:pStyle w:val="FootnoteText"/>
      </w:pPr>
      <w:r>
        <w:rPr>
          <w:rStyle w:val="FootnoteReference"/>
        </w:rPr>
        <w:footnoteRef/>
      </w:r>
      <w:r>
        <w:rPr>
          <w:rStyle w:val="FootnoteReference"/>
        </w:rPr>
        <w:t xml:space="preserve"> </w:t>
      </w:r>
      <w:r>
        <w:t>Autoriseerimistaotluse koostamise juhend (ELT C 28, 28.1.2011, lk 1).</w:t>
      </w:r>
    </w:p>
  </w:footnote>
  <w:footnote w:id="30">
    <w:p w:rsidR="002E58E9" w:rsidRPr="00C107B5" w:rsidRDefault="002E58E9" w:rsidP="002E58E9">
      <w:pPr>
        <w:pStyle w:val="FootnoteText"/>
      </w:pPr>
      <w:r>
        <w:rPr>
          <w:rStyle w:val="FootnoteReference"/>
        </w:rPr>
        <w:footnoteRef/>
      </w:r>
      <w:r>
        <w:rPr>
          <w:rStyle w:val="FootnoteReference"/>
        </w:rPr>
        <w:t xml:space="preserve"> </w:t>
      </w:r>
      <w:r>
        <w:t>Alternatiivide analüüs, lk 11–12: „Kroomtrioksiidi asendamiseks katsetatakse mitut alternatiivi. Probleem on leida asendaja, mis vastab kõigi eri tooteliikide ja iga konkreetse rakenduse eri kasutusotstarvete nõuetele ning on samal ajal tehniliselt ja majanduslikult teostatav. Paljud alternatiivid sobivad praegu mõne rakenduse jaoks nii, et mõned funktsionaalse kroomimise nõuded on piisavalt täidetud, kuid ühelgi neist ei ole kõiki neid olulisi omadusi, mis on funktsionaalsel kroomimisel kroomtrioksiidi vesilahusega ...“,</w:t>
      </w:r>
    </w:p>
    <w:p w:rsidR="002E58E9" w:rsidRPr="00C107B5" w:rsidRDefault="00477360" w:rsidP="002E58E9">
      <w:pPr>
        <w:pStyle w:val="FootnoteText"/>
        <w:rPr>
          <w:szCs w:val="18"/>
        </w:rPr>
      </w:pPr>
      <w:hyperlink r:id="rId8" w:history="1">
        <w:r w:rsidR="002E58E9">
          <w:rPr>
            <w:rStyle w:val="Hyperlink"/>
          </w:rPr>
          <w:t>https://echa.europa.eu/documents/10162/70ae9192-4c86-4e68-9021-0a90f7b56444</w:t>
        </w:r>
      </w:hyperlink>
    </w:p>
  </w:footnote>
  <w:footnote w:id="31">
    <w:p w:rsidR="002E58E9" w:rsidRPr="00C107B5" w:rsidRDefault="002E58E9" w:rsidP="002E58E9">
      <w:pPr>
        <w:pStyle w:val="FootnoteText"/>
      </w:pPr>
      <w:r>
        <w:rPr>
          <w:rStyle w:val="FootnoteReference"/>
        </w:rPr>
        <w:footnoteRef/>
      </w:r>
      <w:r>
        <w:rPr>
          <w:rStyle w:val="FootnoteReference"/>
        </w:rPr>
        <w:t xml:space="preserve"> </w:t>
      </w:r>
      <w:r>
        <w:t xml:space="preserve">Uuring kroomtrioksiidi olemasolevate alternatiivide tehnilise ja majandusliku teostatavuse kohta kõva / funktsionaalse ja dekoratiivse kroomimise turul, Föderaalne Tööohutuse ja Töötervishoiu Instituut, Saksamaa, 2020, lühikokkuvõtte viimane lõik: „Käesoleva uuringu käigus tehti siiski kindlaks tehniliselt ja majanduslikult teostatavad alternatiivid – mõnikord ainult ühe või väheste kasutusalade puhul, kuid mõnikord isegi suuremate kasutusalade puhul. Mõned alternatiivid on ammu välja kujunenud tehnoloogiad, mille tugevad ja nõrgad küljed on teada. Ning käimas on arengud, mis laiendavad nende protsesside rakendusvaldkondi ja spetsifikatsioone.“, </w:t>
      </w:r>
      <w:hyperlink r:id="rId9" w:history="1">
        <w:r>
          <w:rPr>
            <w:rStyle w:val="Hyperlink"/>
          </w:rPr>
          <w:t>https://www.baua.de/EN/Service/Publications/Report/Gd101.html</w:t>
        </w:r>
      </w:hyperlink>
    </w:p>
  </w:footnote>
  <w:footnote w:id="32">
    <w:p w:rsidR="002E58E9" w:rsidRPr="00C107B5" w:rsidRDefault="002E58E9" w:rsidP="002E58E9">
      <w:pPr>
        <w:pStyle w:val="FootnoteText"/>
      </w:pPr>
      <w:r>
        <w:rPr>
          <w:rStyle w:val="FootnoteReference"/>
        </w:rPr>
        <w:footnoteRef/>
      </w:r>
      <w:r>
        <w:rPr>
          <w:rStyle w:val="FootnoteReference"/>
        </w:rPr>
        <w:t xml:space="preserve"> </w:t>
      </w:r>
      <w:r>
        <w:t>RACi ja SEACi 19. mai 2017. aasta arvamused nii 2. kui ka 4. kasutusala kohta, lk 15.</w:t>
      </w:r>
    </w:p>
  </w:footnote>
  <w:footnote w:id="33">
    <w:p w:rsidR="002E58E9" w:rsidRPr="00C107B5" w:rsidRDefault="002E58E9" w:rsidP="002E58E9">
      <w:pPr>
        <w:pStyle w:val="FootnoteText"/>
      </w:pPr>
      <w:r>
        <w:rPr>
          <w:rStyle w:val="FootnoteReference"/>
        </w:rPr>
        <w:footnoteRef/>
      </w:r>
      <w:r>
        <w:rPr>
          <w:rStyle w:val="FootnoteReference"/>
        </w:rPr>
        <w:t xml:space="preserve"> </w:t>
      </w:r>
      <w:r>
        <w:t xml:space="preserve">Kohtuotsus, Üldkohus, 7. märts 2019, Rootsi </w:t>
      </w:r>
      <w:r>
        <w:rPr>
          <w:i/>
        </w:rPr>
        <w:t>vs.</w:t>
      </w:r>
      <w:r>
        <w:t xml:space="preserve"> komisjon, T-837/16, ECLI:EU:T:2019:144, </w:t>
      </w:r>
      <w:r>
        <w:rPr>
          <w:rStyle w:val="outputecli"/>
          <w:szCs w:val="18"/>
        </w:rPr>
        <w:t>punkt 86</w:t>
      </w:r>
      <w:r>
        <w:t>.</w:t>
      </w:r>
    </w:p>
  </w:footnote>
  <w:footnote w:id="34">
    <w:p w:rsidR="002E58E9" w:rsidRPr="00C107B5" w:rsidRDefault="002E58E9" w:rsidP="002E58E9">
      <w:pPr>
        <w:pStyle w:val="FootnoteText"/>
      </w:pPr>
      <w:r>
        <w:rPr>
          <w:rStyle w:val="FootnoteReference"/>
        </w:rPr>
        <w:footnoteRef/>
      </w:r>
      <w:r>
        <w:rPr>
          <w:rStyle w:val="FootnoteReference"/>
        </w:rPr>
        <w:t xml:space="preserve"> </w:t>
      </w:r>
      <w:r>
        <w:t>RACi ja SEACi 19. mai 2017. aasta arvamused 2. kasutusala kohta, 1. lisa, lk 37: „Taotleja sõnul ei hõlma taotlus niikuinii kasutusviise, mille puhul asendamine on juba võimalik. Taotleja ei too siiski selliseid kasutusviise ega nendega seotud tehnilisi nõudeid välja. SEAC ei pea taotleja lähenemisviisi selle küsimuse lahendamiseks täielikult asjakohaseks ning rõhutab, et taotleja peab konkreetsemalt tõendama, et juhtudel, kus see on tõepoolest juba teostatav, on asendamine toimunud. Seda oleks olnud võimalik saavutada alternatiivide täpsema ja kasutusalale eriomase hindamisega“.</w:t>
      </w:r>
    </w:p>
  </w:footnote>
  <w:footnote w:id="35">
    <w:p w:rsidR="002E58E9" w:rsidRPr="00C107B5" w:rsidRDefault="002E58E9" w:rsidP="002E58E9">
      <w:pPr>
        <w:pStyle w:val="FootnoteText"/>
      </w:pPr>
      <w:r>
        <w:rPr>
          <w:rStyle w:val="FootnoteReference"/>
        </w:rPr>
        <w:footnoteRef/>
      </w:r>
      <w:r>
        <w:rPr>
          <w:rStyle w:val="FootnoteReference"/>
        </w:rPr>
        <w:t xml:space="preserve"> </w:t>
      </w:r>
      <w:r>
        <w:t xml:space="preserve">Kohtuotsus, Üldkohus, 7. märts 2019, Rootsi </w:t>
      </w:r>
      <w:r>
        <w:rPr>
          <w:i/>
        </w:rPr>
        <w:t>vs.</w:t>
      </w:r>
      <w:r>
        <w:t xml:space="preserve"> komisjon, T-837/16, ECLI:EU:T:2019:144, punkt 79.</w:t>
      </w:r>
    </w:p>
  </w:footnote>
  <w:footnote w:id="36">
    <w:p w:rsidR="002E58E9" w:rsidRPr="00C107B5" w:rsidRDefault="002E58E9" w:rsidP="002E58E9">
      <w:pPr>
        <w:pStyle w:val="FootnoteText"/>
      </w:pPr>
      <w:r>
        <w:rPr>
          <w:rStyle w:val="FootnoteReference"/>
        </w:rPr>
        <w:footnoteRef/>
      </w:r>
      <w:r>
        <w:rPr>
          <w:rStyle w:val="FootnoteReference"/>
        </w:rPr>
        <w:t xml:space="preserve"> </w:t>
      </w:r>
      <w:r>
        <w:t xml:space="preserve">Kohtuotsus, Üldkohus, 7. märts 2019, Rootsi </w:t>
      </w:r>
      <w:r>
        <w:rPr>
          <w:i/>
        </w:rPr>
        <w:t>vs.</w:t>
      </w:r>
      <w:r>
        <w:t xml:space="preserve"> komisjon, T-837/16, ECLI:EU:T:2019:144, punkt 86.</w:t>
      </w:r>
    </w:p>
  </w:footnote>
  <w:footnote w:id="37">
    <w:p w:rsidR="002E58E9" w:rsidRPr="00C107B5" w:rsidRDefault="002E58E9" w:rsidP="002E58E9">
      <w:pPr>
        <w:pStyle w:val="FootnoteText"/>
      </w:pPr>
      <w:r>
        <w:rPr>
          <w:rStyle w:val="FootnoteReference"/>
        </w:rPr>
        <w:footnoteRef/>
      </w:r>
      <w:r>
        <w:rPr>
          <w:rStyle w:val="FootnoteReference"/>
        </w:rPr>
        <w:t xml:space="preserve"> </w:t>
      </w:r>
      <w:r>
        <w:t>Komisjoni rakendusotsuse eelnõu põhjendused 13 ja 14.</w:t>
      </w:r>
    </w:p>
  </w:footnote>
  <w:footnote w:id="38">
    <w:p w:rsidR="002E58E9" w:rsidRPr="00C107B5" w:rsidRDefault="002E58E9" w:rsidP="002E58E9">
      <w:pPr>
        <w:pStyle w:val="FootnoteText"/>
      </w:pPr>
      <w:r>
        <w:rPr>
          <w:rStyle w:val="FootnoteReference"/>
        </w:rPr>
        <w:footnoteRef/>
      </w:r>
      <w:r>
        <w:rPr>
          <w:rStyle w:val="FootnoteReference"/>
        </w:rPr>
        <w:t xml:space="preserve"> </w:t>
      </w:r>
      <w:r>
        <w:t>Võrdle komisjoni rakendusotsuse eelnõu artikli 1 lõiget 1 RACi ja SEACi 19. mai 2017. aasta arvamustega</w:t>
      </w:r>
      <w:r w:rsidR="00477360">
        <w:t xml:space="preserve"> </w:t>
      </w:r>
      <w:r>
        <w:t>2. kasutusala kohta, 1. lisa, lk 30, ja 4. kasutusala kohta, 1. lisa, lk 44.</w:t>
      </w:r>
    </w:p>
  </w:footnote>
  <w:footnote w:id="39">
    <w:p w:rsidR="002E58E9" w:rsidRPr="00C107B5" w:rsidRDefault="002E58E9" w:rsidP="002E58E9">
      <w:pPr>
        <w:pStyle w:val="FootnoteText"/>
      </w:pPr>
      <w:r>
        <w:rPr>
          <w:rStyle w:val="FootnoteReference"/>
        </w:rPr>
        <w:footnoteRef/>
      </w:r>
      <w:r>
        <w:rPr>
          <w:rStyle w:val="FootnoteReference"/>
        </w:rPr>
        <w:t xml:space="preserve"> </w:t>
      </w:r>
      <w:r>
        <w:t xml:space="preserve">Kohtuotsus, Üldkohus, 7. märts 2019, Rootsi </w:t>
      </w:r>
      <w:r>
        <w:rPr>
          <w:i/>
        </w:rPr>
        <w:t>vs.</w:t>
      </w:r>
      <w:r>
        <w:t xml:space="preserve"> komisjon, T-837/16, ECLI:EU:T:2019:144, punkt 97: „kui märkida, et käesolevas asjas käsitletavate pliikromaatide kasutamine on piiratud üksnes juhtudega, kus neid kromaate sisaldavate ainesegude toimekus on tõepoolest vajalik, on samaväärne sellega, kui kinnitada, et iga kord, kui allkasutaja tuvastab alternatiivi, peab ta hoiduma käesolevas asjas käsitletavate pliikromaatide kasutamisest. Niisugune kinnitus on aga kindel märk sellest, et vaidlustatud otsuse tegemise kuupäeval ei olnud komisjon ise arvamusel, et alternatiivide puudumisega seotud tingimuse uurimine oleks olnud lõpetatud“.</w:t>
      </w:r>
    </w:p>
  </w:footnote>
  <w:footnote w:id="40">
    <w:p w:rsidR="002E58E9" w:rsidRPr="00C107B5" w:rsidRDefault="002E58E9" w:rsidP="002E58E9">
      <w:pPr>
        <w:pStyle w:val="FootnoteText"/>
      </w:pPr>
      <w:r>
        <w:rPr>
          <w:rStyle w:val="FootnoteReference"/>
        </w:rPr>
        <w:footnoteRef/>
      </w:r>
      <w:r>
        <w:rPr>
          <w:rStyle w:val="FootnoteReference"/>
        </w:rPr>
        <w:t xml:space="preserve"> </w:t>
      </w:r>
      <w:r>
        <w:t xml:space="preserve">Kohtuotsus, Üldkohus, 7. märts 2019, Rootsi </w:t>
      </w:r>
      <w:r>
        <w:rPr>
          <w:i/>
        </w:rPr>
        <w:t>vs.</w:t>
      </w:r>
      <w:r>
        <w:t xml:space="preserve"> komisjon, T-837/16, ECLI:EU:T:2019:144, </w:t>
      </w:r>
      <w:r>
        <w:rPr>
          <w:rStyle w:val="outputecli"/>
          <w:szCs w:val="18"/>
        </w:rPr>
        <w:t>punkt</w:t>
      </w:r>
      <w:r>
        <w:t xml:space="preserve"> 64: „</w:t>
      </w:r>
      <w:r>
        <w:rPr>
          <w:u w:val="single"/>
        </w:rPr>
        <w:t>ainult komisjon</w:t>
      </w:r>
      <w:r>
        <w:t xml:space="preserve"> on kohustatud kontrollima, kas selles sättes (artikli 60 lõige 4) ette nähtud tingimused on täidetud“ (rõhuasetus lisatud); vt ka punkt 78.</w:t>
      </w:r>
    </w:p>
  </w:footnote>
  <w:footnote w:id="41">
    <w:p w:rsidR="002E58E9" w:rsidRPr="00C107B5" w:rsidRDefault="002E58E9" w:rsidP="002E58E9">
      <w:pPr>
        <w:pStyle w:val="FootnoteText"/>
      </w:pPr>
      <w:r>
        <w:rPr>
          <w:rStyle w:val="FootnoteReference"/>
        </w:rPr>
        <w:footnoteRef/>
      </w:r>
      <w:r>
        <w:rPr>
          <w:rStyle w:val="FootnoteReference"/>
        </w:rPr>
        <w:t xml:space="preserve"> </w:t>
      </w:r>
      <w:r>
        <w:t>Komisjoni rakendusotsuse eelnõu artikkel 5, milles nõutakse, et allkasutajad esitaksid kemikaalimääruse REACH artikli 66 lõike 1 kohastes teatistes järgmise teabe: „selgitus artikli 1 lõikes 1 loetletud kroomtrioksiidi põhifunktsioonide kohta, mis on nende kasutusala jaoks vajalikud, sealhulgas põhjendus, miks sellised põhifunktsioonid on konkreetse kasutusala jaoks vajalikud“.</w:t>
      </w:r>
    </w:p>
  </w:footnote>
  <w:footnote w:id="42">
    <w:p w:rsidR="002E58E9" w:rsidRPr="00C107B5" w:rsidRDefault="002E58E9" w:rsidP="002E58E9">
      <w:pPr>
        <w:pStyle w:val="FootnoteText"/>
      </w:pPr>
      <w:r>
        <w:rPr>
          <w:rStyle w:val="FootnoteReference"/>
        </w:rPr>
        <w:footnoteRef/>
      </w:r>
      <w:r>
        <w:rPr>
          <w:rStyle w:val="FootnoteReference"/>
        </w:rPr>
        <w:t xml:space="preserve"> </w:t>
      </w:r>
      <w:r>
        <w:t xml:space="preserve">Kohtuotsus, Üldkohus, 7. märts 2019, Rootsi </w:t>
      </w:r>
      <w:r>
        <w:rPr>
          <w:i/>
        </w:rPr>
        <w:t>vs.</w:t>
      </w:r>
      <w:r>
        <w:t xml:space="preserve"> komisjon, T-837/16, ECLI:EU:T:2019:144, punkt 82: „tuleb rõhutada, et põhimõtteliselt ei ole määruse nr 1907/2006 artikli 60 lõike 8 ja lõike 9 punktide d ja e kohaselt kehtestatud tingimuste – olgu nende sisu milline tahes – eesmärk heastada autoriseeringutaotluse või autoriseeringu taotleja esitatud alternatiivide analüüsi võimalikke puudusi ega ka komisjoni poolt määruse nr 1907/2006 artikli 60 lõikes 4 ette nähtud tingimuste uurimise võimalikke puudusi“.</w:t>
      </w:r>
    </w:p>
  </w:footnote>
  <w:footnote w:id="43">
    <w:p w:rsidR="002E58E9" w:rsidRPr="00C107B5" w:rsidRDefault="002E58E9" w:rsidP="002E58E9">
      <w:pPr>
        <w:pStyle w:val="FootnoteText"/>
      </w:pPr>
      <w:r>
        <w:rPr>
          <w:rStyle w:val="FootnoteReference"/>
        </w:rPr>
        <w:footnoteRef/>
      </w:r>
      <w:r>
        <w:rPr>
          <w:rStyle w:val="FootnoteReference"/>
        </w:rPr>
        <w:t xml:space="preserve"> </w:t>
      </w:r>
      <w:r>
        <w:t xml:space="preserve">Kohtuotsus, Üldkohus, 7. märts 2019, Rootsi </w:t>
      </w:r>
      <w:r>
        <w:rPr>
          <w:i/>
        </w:rPr>
        <w:t>vs.</w:t>
      </w:r>
      <w:r>
        <w:t xml:space="preserve"> komisjon, T-837/16, ECLI:EU:T:2019:144, punktid 75 ja 76.</w:t>
      </w:r>
    </w:p>
  </w:footnote>
  <w:footnote w:id="44">
    <w:p w:rsidR="002E58E9" w:rsidRPr="00C107B5" w:rsidRDefault="002E58E9" w:rsidP="002E58E9">
      <w:pPr>
        <w:pStyle w:val="FootnoteText"/>
      </w:pPr>
      <w:r>
        <w:rPr>
          <w:rStyle w:val="FootnoteReference"/>
        </w:rPr>
        <w:footnoteRef/>
      </w:r>
      <w:r>
        <w:rPr>
          <w:rStyle w:val="FootnoteReference"/>
        </w:rPr>
        <w:t xml:space="preserve"> </w:t>
      </w:r>
      <w:r>
        <w:t>Vt 27. märtsi 2019. aasta resolutsiooni punkti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60" w:rsidRDefault="00477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60" w:rsidRDefault="00477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60" w:rsidRDefault="00477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1"/>
    <w:docVar w:name="AUTHORMNU" w:val=" 1"/>
    <w:docVar w:name="COMKEY" w:val="ENVI"/>
    <w:docVar w:name="DOCMNU" w:val=" 3"/>
    <w:docVar w:name="DOCTYPEMNU" w:val=" 2"/>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093344 HideTWBExt;}{\*\cs18 \additive \v\f1\fs20\cf15 _x000d__x000a_\spriority0 \styrsid10093344 HideTWBInt;}{\s19\ql \li0\ri0\sa120\nowidctlpar\wrapdefault\aspalpha\aspnum\faauto\adjustright\rin0\lin0\itap0 \rtlch\fcs1 \af0\afs20\alang1025 \ltrch\fcs0 \fs24\lang2057\langfe2057\cgrid\langnp2057\langfenp2057 _x000d__x000a_\sbasedon0 \snext19 \spriority0 \styrsid10093344 Normal6a;}{\s20\qr \li0\ri0\sb240\sa240\nowidctlpar\wrapdefault\aspalpha\aspnum\faauto\adjustright\rin0\lin0\itap0 \rtlch\fcs1 \af0\afs20\alang1025 \ltrch\fcs0 _x000d__x000a_\fs24\lang2057\langfe2057\cgrid\langnp2057\langfenp2057 \sbasedon0 \snext20 \spriority0 \styrsid10093344 AmOrLang;}{\s21\qc \li0\ri0\sa240\nowidctlpar\wrapdefault\aspalpha\aspnum\faauto\adjustright\rin0\lin0\itap0 \rtlch\fcs1 \af0\afs20\alang1025 _x000d__x000a_\ltrch\fcs0 \i\fs24\lang2057\langfe2057\cgrid\langnp2057\langfenp2057 \sbasedon0 \snext21 \spriority0 \styrsid10093344 Am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10093344 AmNumberTabs;}{\s23\ql \li0\ri0\sb240\nowidctlpar\wrapdefault\aspalpha\aspnum\faauto\adjustright\rin0\lin0\itap0 \rtlch\fcs1 _x000d__x000a_\af0\afs20\alang1025 \ltrch\fcs0 \b\fs24\lang2057\langfe2057\cgrid\langnp2057\langfenp2057 \sbasedon0 \snext23 \spriority0 \styrsid10093344 NormalBold12b;}{\s24\ql \li0\ri0\nowidctlpar\wrapdefault\aspalpha\aspnum\faauto\adjustright\rin0\lin0\itap0 _x000d__x000a_\rtlch\fcs1 \af0\afs20\alang1025 \ltrch\fcs0 \b\fs24\lang2057\langfe2057\cgrid\langnp2057\langfenp2057 \sbasedon0 \snext24 \spriority0 \styrsid10093344 NormalBold;}}{\*\rsidtbl \rsid24658\rsid223860\rsid735077\rsid1401462\rsid1718133\rsid2892074_x000d__x000a_\rsid3565327\rsid4666813\rsid6641733\rsid7823322\rsid9636012\rsid10093344\rsid10377208\rsid11215221\rsid11549030\rsid12154954\rsid14382809\rsid14424199\rsid15204470\rsid15285974\rsid15950462\rsid16324206\rsid16662270}{\mmathPr\mmathFont34\mbrkBin0_x000d__x000a_\mbrkBinSub0\msmallFrac0\mdispDef1\mlMargin0\mrMargin0\mdefJc1\mwrapIndent1440\mintLim0\mnaryLim1}{\info{\author LUTOVS Vladimirs}{\operator LUTOVS Vladimirs}{\creatim\yr2020\mo7\dy1\hr13\min46}{\revtim\yr2020\mo7\dy1\hr13\min46}{\version1}{\edmins0}_x000d__x000a_{\nofpages1}{\nofwords51}{\nofchars295}{\nofcharsws345}{\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093344\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1401462 \chftnsep _x000d__x000a_\par }}{\*\ftnsepc \ltrpar \pard\plain \ltrpar\ql \li0\ri0\widctlpar\wrapdefault\aspalpha\aspnum\faauto\adjustright\rin0\lin0\itap0 \rtlch\fcs1 \af0\afs20\alang1025 \ltrch\fcs0 \fs24\lang2057\langfe2057\cgrid\langnp2057\langfenp2057 {\rtlch\fcs1 \af0 _x000d__x000a_\ltrch\fcs0 \insrsid1401462 \chftnsepc _x000d__x000a_\par }}{\*\aftnsep \ltrpar \pard\plain \ltrpar\ql \li0\ri0\widctlpar\wrapdefault\aspalpha\aspnum\faauto\adjustright\rin0\lin0\itap0 \rtlch\fcs1 \af0\afs20\alang1025 \ltrch\fcs0 \fs24\lang2057\langfe2057\cgrid\langnp2057\langfenp2057 {\rtlch\fcs1 \af0 _x000d__x000a_\ltrch\fcs0 \insrsid1401462 \chftnsep _x000d__x000a_\par }}{\*\aftnsepc \ltrpar \pard\plain \ltrpar\ql \li0\ri0\widctlpar\wrapdefault\aspalpha\aspnum\faauto\adjustright\rin0\lin0\itap0 \rtlch\fcs1 \af0\afs20\alang1025 \ltrch\fcs0 \fs24\lang2057\langfe2057\cgrid\langnp2057\langfenp2057 {\rtlch\fcs1 \af0 _x000d__x000a_\ltrch\fcs0 \insrsid140146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sb240\keepn\nowidctlpar_x000d__x000a_\tx879\tx936\tx1021\tx1077\tx1134\tx1191\tx1247\tx1304\tx1361\tx1418\tx1474\tx1531\tx1588\tx1644\tx1701\tx1758\tx1814\tx1871\tx2070\tx2126\tx3374\tx3430\wrapdefault\aspalpha\aspnum\faauto\adjustright\rin0\lin0\itap0\pararsid10093344 \rtlch\fcs1 _x000d__x000a_\af0\afs20\alang1025 \ltrch\fcs0 \b\fs24\lang2057\langfe2057\cgrid\langnp2057\langfenp2057 {\rtlch\fcs1 \af0 \ltrch\fcs0 \cs17\b0\v\fs20\cf9\loch\af1\hich\af1\dbch\af31501\insrsid10093344\charrsid6492227 {\*\bkmkstart restart}_x000d__x000a_\hich\af1\dbch\af31501\loch\f1 &lt;Amend&gt;}{\rtlch\fcs1 \af0 \ltrch\fcs0 \insrsid10093344\charrsid6492227 Modification\tab \tab }{\rtlch\fcs1 \af0 \ltrch\fcs0 \cs17\b0\v\fs20\cf9\loch\af1\hich\af1\dbch\af31501\insrsid10093344\charrsid6492227 _x000d__x000a_\hich\af1\dbch\af31501\loch\f1 &lt;NumAm&gt;}{\rtlch\fcs1 \af0 \ltrch\fcs0 \insrsid10093344\charrsid6492227 #}{\rtlch\fcs1 \af1 \ltrch\fcs0 \cs18\v\f1\fs20\cf15\insrsid10093344\charrsid6492227 ENMIENDA@NRAM@}{\rtlch\fcs1 \af0 \ltrch\fcs0 _x000d__x000a_\insrsid10093344\charrsid6492227 #}{\rtlch\fcs1 \af0 \ltrch\fcs0 \cs17\b0\v\fs20\cf9\loch\af1\hich\af1\dbch\af31501\insrsid10093344\charrsid6492227 \hich\af1\dbch\af31501\loch\f1 &lt;/NumAm&gt;}{\rtlch\fcs1 \af0 \ltrch\fcs0 \insrsid10093344\charrsid6492227 _x000d__x000a__x000d__x000a_\par }\pard\plain \ltrpar\s23\ql \li0\ri0\sb240\keepn\nowidctlpar\wrapdefault\aspalpha\aspnum\faauto\adjustright\rin0\lin0\itap0\pararsid10093344 \rtlch\fcs1 \af0\afs20\alang1025 \ltrch\fcs0 \b\fs24\lang2057\langfe2057\cgrid\langnp2057\langfenp2057 {_x000d__x000a_\rtlch\fcs1 \af0 \ltrch\fcs0 \cs17\b0\v\fs20\cf9\loch\af1\hich\af1\dbch\af31501\insrsid10093344\charrsid6492227 \hich\af1\dbch\af31501\loch\f1 &lt;DocAmend&gt;}{\rtlch\fcs1 \af0 \ltrch\fcs0 \insrsid10093344\charrsid6492227 #}{\rtlch\fcs1 \af1 \ltrch\fcs0 _x000d__x000a_\cs18\v\f1\fs20\cf15\insrsid10093344\charrsid6492227 MNU[TITLE1b][TITLE2b]@CHOICE@SERIALNRMNU}{\rtlch\fcs1 \af0 \ltrch\fcs0 \insrsid10093344\charrsid6492227 ##}{\rtlch\fcs1 \af1 \ltrch\fcs0 \cs18\v\f1\fs20\cf15\insrsid10093344\charrsid6492227 _x000d__x000a_MNU[NRIMPLACTYES][NOTAPP]@CHOICE@SERIALNRMNU}{\rtlch\fcs1 \af0 \ltrch\fcs0 \insrsid10093344\charrsid6492227 #}{\rtlch\fcs1 \af0 \ltrch\fcs0 \cs17\b0\v\fs20\cf9\loch\af1\hich\af1\dbch\af31501\insrsid10093344\charrsid6492227 \hich\af1\dbch\af31501\loch\f1 _x000d__x000a_&lt;/DocAmend&gt;}{\rtlch\fcs1 \af0 \ltrch\fcs0 \insrsid10093344\charrsid6492227 _x000d__x000a_\par }\pard\plain \ltrpar\s24\ql \li0\ri0\nowidctlpar\wrapdefault\aspalpha\aspnum\faauto\adjustright\rin0\lin0\itap0\pararsid10093344 \rtlch\fcs1 \af0\afs20\alang1025 \ltrch\fcs0 \b\fs24\lang2057\langfe2057\cgrid\langnp2057\langfenp2057 {\rtlch\fcs1 \af0 _x000d__x000a_\ltrch\fcs0 \cs17\b0\v\fs20\cf9\loch\af1\hich\af1\dbch\af31501\insrsid10093344\charrsid6492227 \hich\af1\dbch\af31501\loch\f1 &lt;Article&gt;}{\rtlch\fcs1 \af0 \ltrch\fcs0 \cf10\insrsid10093344\charrsid6492227 \u9668\'3f}{\rtlch\fcs1 \af0 \ltrch\fcs0 _x000d__x000a_\insrsid10093344\charrsid6492227 #}{\rtlch\fcs1 \af1 \ltrch\fcs0 \cs18\v\f1\fs20\cf15\insrsid10093344\charrsid6492227 TVTPART@PART@}{\rtlch\fcs1 \af0 \ltrch\fcs0 \insrsid10093344\charrsid6492227 #}{\rtlch\fcs1 \af0 \ltrch\fcs0 _x000d__x000a_\cf10\insrsid10093344\charrsid6492227 \u9658\'3f}{\rtlch\fcs1 \af0 \ltrch\fcs0 \cs17\b0\v\fs20\cf9\loch\af1\hich\af1\dbch\af31501\insrsid10093344\charrsid6492227 \hich\af1\dbch\af31501\loch\f1 &lt;/Article&gt;}{\rtlch\fcs1 \af0 \ltrch\fcs0 _x000d__x000a_\insrsid10093344\charrsid6492227 _x000d__x000a_\par \ltrrow}\trowd \irow0\irowband0\ltrrow\ts11\trqc\trgaph340\trleft-340\trftsWidth3\trwWidth9752\trftsWidthB3\trpaddl340\trpaddr340\trpaddfl3\trpaddft3\trpaddfb3\trpaddfr3\tblrsid13846876\tblind0\tblindtype3 \clvertalt\clbrdrt\brdrtbl \clbrdrl\brdrtbl _x000d__x000a_\clbrdrb\brdrtbl \clbrdrr\brdrtbl \cltxlrtb\clftsWidth3\clwWidth9752\clshdrawnil \cellx9412\pard\plain \ltrpar\ql \li0\ri0\keepn\widctlpar\intbl\wrapdefault\aspalpha\aspnum\faauto\adjustright\rin0\lin0\pararsid13846876 \rtlch\fcs1 \af0\afs20\alang1025 _x000d__x000a_\ltrch\fcs0 \fs24\lang2057\langfe2057\cgrid\langnp2057\langfenp2057 {\rtlch\fcs1 \af0 \ltrch\fcs0 \insrsid10093344\charrsid6492227 \cell }\pard\plain \ltrpar\ql \li0\ri0\widctlpar\intbl\wrapdefault\aspalpha\aspnum\faauto\adjustright\rin0\lin0 \rtlch\fcs1 _x000d__x000a_\af0\afs20\alang1025 \ltrch\fcs0 \fs24\lang2057\langfe2057\cgrid\langnp2057\langfenp2057 {\rtlch\fcs1 \af0 \ltrch\fcs0 \insrsid10093344\charrsid6492227 \trowd \irow0\irowband0\ltrrow_x000d__x000a_\ts11\trqc\trgaph340\trleft-340\trftsWidth3\trwWidth9752\trftsWidthB3\trpaddl340\trpaddr340\trpaddfl3\trpaddft3\trpaddfb3\trpaddfr3\tblrsid1384687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3846876 \rtlch\fcs1 \af0\afs20\alang1025 \ltrch\fcs0 \i\fs24\lang2057\langfe2057\cgrid\langnp2057\langfenp2057 {\rtlch\fcs1 \af0 \ltrch\fcs0 _x000d__x000a_\insrsid10093344\charrsid6492227 #}{\rtlch\fcs1 \af1 \ltrch\fcs0 \cs18\v\f1\fs20\cf15\insrsid10093344\charrsid6492227 MNU[TITLE1b][TITLE2b]@CHOICE@SERIALNRMNU}{\rtlch\fcs1 \af0 \ltrch\fcs0 \insrsid10093344\charrsid6492227 #\cell Modification\cell _x000d__x000a_}\pard\plain \ltrpar\ql \li0\ri0\widctlpar\intbl\wrapdefault\aspalpha\aspnum\faauto\adjustright\rin0\lin0 \rtlch\fcs1 \af0\afs20\alang1025 \ltrch\fcs0 \fs24\lang2057\langfe2057\cgrid\langnp2057\langfenp2057 {\rtlch\fcs1 \af0 \ltrch\fcs0 _x000d__x000a_\insrsid10093344\charrsid6492227 \trowd \irow1\irowband1\ltrrow\ts11\trqc\trgaph340\trleft-340\trftsWidth3\trwWidth9752\trftsWidthB3\trpaddl340\trpaddr340\trpaddfl3\trpaddft3\trpaddfb3\trpaddfr3\tblrsid13846876\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13846876 \rtlch\fcs1 \af0\afs20\alang1025 \ltrch\fcs0 \fs24\lang2057\langfe2057\cgrid\langnp2057\langfenp2057 {_x000d__x000a_\rtlch\fcs1 \af0 \ltrch\fcs0 \insrsid10093344\charrsid6492227 ##\cell ##}{\rtlch\fcs1 \af0\afs24 \ltrch\fcs0 \insrsid10093344\charrsid6492227 \cell }\pard\plain \ltrpar\ql \li0\ri0\widctlpar\intbl\wrapdefault\aspalpha\aspnum\faauto\adjustright\rin0\lin0 _x000d__x000a_\rtlch\fcs1 \af0\afs20\alang1025 \ltrch\fcs0 \fs24\lang2057\langfe2057\cgrid\langnp2057\langfenp2057 {\rtlch\fcs1 \af0 \ltrch\fcs0 \insrsid10093344\charrsid6492227 \trowd \irow2\irowband2\lastrow \ltrrow_x000d__x000a_\ts11\trqc\trgaph340\trleft-340\trftsWidth3\trwWidth9752\trftsWidthB3\trpaddl340\trpaddr340\trpaddfl3\trpaddft3\trpaddfb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0093344 \rtlch\fcs1 \af0\afs20\alang1025 \ltrch\fcs0 \fs24\lang2057\langfe2057\cgrid\langnp2057\langfenp2057 {\rtlch\fcs1 \af0 \ltrch\fcs0 _x000d__x000a_\insrsid10093344\charrsid6492227 Or. }{\rtlch\fcs1 \af0 \ltrch\fcs0 \cs17\v\fs20\cf9\loch\af1\hich\af1\dbch\af31501\insrsid10093344\charrsid6492227 \hich\af1\dbch\af31501\loch\f1 &lt;Original&gt;}{\rtlch\fcs1 \af0 \ltrch\fcs0 \insrsid10093344\charrsid6492227 #}_x000d__x000a_{\rtlch\fcs1 \af1 \ltrch\fcs0 \cs18\v\f1\fs20\cf15\insrsid10093344\charrsid6492227 MNU[ORLANGONE][ORLANGMORE]@CHOICE@ORLANGMNU}{\rtlch\fcs1 \af0 \ltrch\fcs0 \insrsid10093344\charrsid6492227 #}{\rtlch\fcs1 \af0 \ltrch\fcs0 _x000d__x000a_\cs17\v\fs20\cf9\loch\af1\hich\af1\dbch\af31501\insrsid10093344\charrsid6492227 \hich\af1\dbch\af31501\loch\f1 &lt;/Original&gt;}{\rtlch\fcs1 \af0 \ltrch\fcs0 \insrsid10093344\charrsid6492227 _x000d__x000a_\par }\pard\plain \ltrpar\ql \li0\ri0\widctlpar\wrapdefault\aspalpha\aspnum\faauto\adjustright\rin0\lin0\itap0\pararsid10093344 \rtlch\fcs1 \af0\afs20\alang1025 \ltrch\fcs0 \fs24\lang2057\langfe2057\cgrid\langnp2057\langfenp2057 {\rtlch\fcs1 \af0 \ltrch\fcs0 _x000d__x000a_\cs17\v\fs20\cf9\loch\af1\hich\af1\dbch\af31501\insrsid10093344\charrsid6492227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9_x000d__x000a_dc469d4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649118 HideTWBExt;}{\s16\ql \li0\ri0\sa120\nowidctlpar\wrapdefault\aspalpha\aspnum\faauto\adjustright\rin0\lin0\itap0 \rtlch\fcs1 \af0\afs20\alang1025 \ltrch\fcs0 _x000d__x000a_\fs24\lang2057\langfe2057\cgrid\langnp2057\langfenp2057 \sbasedon0 \snext16 \spriority0 \styrsid10649118 Normal6a;}{\s17\qr \li0\ri0\sb240\sa240\nowidctlpar\wrapdefault\aspalpha\aspnum\faauto\adjustright\rin0\lin0\itap0 \rtlch\fcs1 \af0\afs20\alang1025 _x000d__x000a_\ltrch\fcs0 \fs24\lang2057\langfe2057\cgrid\langnp2057\langfenp2057 \sbasedon0 \snext17 \spriority0 \styrsid10649118 AmOrLang;}{\s18\qc \li0\ri0\sa240\nowidctlpar\wrapdefault\aspalpha\aspnum\faauto\adjustright\rin0\lin0\itap0 \rtlch\fcs1 _x000d__x000a_\af0\afs20\alang1025 \ltrch\fcs0 \i\fs24\lang2057\langfe2057\cgrid\langnp2057\langfenp2057 \sbasedon0 \snext18 \spriority0 \styrsid10649118 AmColumnHeading;}{\s1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19 \spriority0 \styrsid10649118 AmNumberTabs;}{\s20\ql \li0\ri0\sb240\nowidctlpar\wrapdefault\aspalpha\aspnum\faauto\adjustright\rin0\lin0\itap0 \rtlch\fcs1 _x000d__x000a_\af0\afs20\alang1025 \ltrch\fcs0 \b\fs24\lang2057\langfe2057\cgrid\langnp2057\langfenp2057 \sbasedon0 \snext20 \spriority0 \styrsid10649118 NormalBold12b;}{\s21\ql \li0\ri0\nowidctlpar\wrapdefault\aspalpha\aspnum\faauto\adjustright\rin0\lin0\itap0 _x000d__x000a_\rtlch\fcs1 \af0\afs20\alang1025 \ltrch\fcs0 \b\fs24\lang2057\langfe2057\cgrid\langnp2057\langfenp2057 \sbasedon0 \snext21 \spriority0 \styrsid10649118 NormalBold;}}{\*\rsidtbl \rsid24658\rsid358857\rsid735077\rsid787282\rsid2892074\rsid3622648_x000d__x000a_\rsid4666813\rsid5708216\rsid6510302\rsid6641733\rsid7553164\rsid8465581\rsid8681905\rsid8724649\rsid9636012\rsid9862312\rsid10649118\rsid11215221\rsid11370291\rsid11434737\rsid11607138\rsid11824949\rsid12154954\rsid14424199\rsid15204470\rsid15285974_x000d__x000a_\rsid15535219\rsid15950462\rsid16324206\rsid16662270}{\mmathPr\mmathFont34\mbrkBin0\mbrkBinSub0\msmallFrac0\mdispDef1\mlMargin0\mrMargin0\mdefJc1\mwrapIndent1440\mintLim0\mnaryLim1}{\info{\author FELIX Karina}{\operator FELIX Karina}_x000d__x000a_{\creatim\yr2019\mo7\dy11\hr18\min59}{\revtim\yr2019\mo7\dy11\hr18\min59}{\version1}{\edmins0}{\nofpages1}{\nofwords28}{\nofchars160}{\*\company European Parliament}{\nofcharsws187}{\vern97}}{\*\xmlnstbl {\xmlns1 http://schemas.microsoft.com/office/word/2_x000d__x000a_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64911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651030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6510302 \chftnsepc _x000d__x000a_\par }}{\*\aftnsep \ltrpar \pard\plain \ltrpar\ql \li0\ri0\widctlpar\wrapdefault\aspalpha\aspnum\faauto\adjustright\rin0\lin0\itap0 \rtlch\fcs1 \af0\afs20\alang1025 \ltrch\fcs0 \fs24\lang2057\langfe2057\cgrid\langnp2057\langfenp2057 {\rtlch\fcs1 \af0 _x000d__x000a_\ltrch\fcs0 \insrsid6510302 \chftnsep _x000d__x000a_\par }}{\*\aftnsepc \ltrpar \pard\plain \ltrpar\ql \li0\ri0\widctlpar\wrapdefault\aspalpha\aspnum\faauto\adjustright\rin0\lin0\itap0 \rtlch\fcs1 \af0\afs20\alang1025 \ltrch\fcs0 \fs24\lang2057\langfe2057\cgrid\langnp2057\langfenp2057 {\rtlch\fcs1 \af0 _x000d__x000a_\ltrch\fcs0 \insrsid651030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9\ql \li0\ri0\sb240\keepn\nowidctlpar\tx879\tx936\tx1021\tx1077\tx1134\tx1191\tx1247\tx1304\tx1361\tx1418\tx1474\tx1531\tx1588\tx1644\tx1701\tx1758\tx1814\tx1871\tx2070\tx2126\tx3374\tx3430\wrapdefault\aspalpha\aspnum\faauto\adjustright\rin0_x000d__x000a_\lin0\itap0\pararsid10649118 \rtlch\fcs1 \af0\afs20\alang1025 \ltrch\fcs0 \b\fs24\lang2057\langfe2057\cgrid\langnp2057\langfenp2057 {\rtlch\fcs1 \af0 \ltrch\fcs0 \cs15\b0\v\f1\fs20\cf9\lang1045\langfe2057\langnp1045\insrsid10649118\charrsid289861 _x000d__x000a_{\*\bkmkstart restart}&lt;Amend&gt;}{\rtlch\fcs1 \af0 \ltrch\fcs0 \lang1045\langfe2057\langnp1045\insrsid10649118\charrsid289861 [ZAMENDMENT]\tab \tab }{\rtlch\fcs1 \af0 \ltrch\fcs0 _x000d__x000a_\cs15\b0\v\f1\fs20\cf9\lang1045\langfe2057\langnp1045\insrsid10649118\charrsid289861 &lt;NumAm&gt;}{\rtlch\fcs1 \af0 \ltrch\fcs0 \lang1045\langfe2057\langnp1045\insrsid10649118\charrsid289861 [ZNRAM]}{\rtlch\fcs1 \af0 \ltrch\fcs0 _x000d__x000a_\cs15\b0\v\f1\fs20\cf9\lang1045\langfe2057\langnp1045\insrsid10649118\charrsid289861 &lt;/NumAm&gt;}{\rtlch\fcs1 \af0 \ltrch\fcs0 \lang1045\langfe2057\langnp1045\insrsid10649118\charrsid289861 _x000d__x000a_\par }\pard\plain \ltrpar\s20\ql \li0\ri0\sb240\keepn\nowidctlpar\wrapdefault\aspalpha\aspnum\faauto\adjustright\rin0\lin0\itap0\pararsid10649118 \rtlch\fcs1 \af0\afs20\alang1025 \ltrch\fcs0 \b\fs24\lang2057\langfe2057\cgrid\langnp2057\langfenp2057 {_x000d__x000a_\rtlch\fcs1 \af0 \ltrch\fcs0 \cs15\b0\v\f1\fs20\cf9\lang1045\langfe2057\langnp1045\insrsid10649118\charrsid12145901 &lt;DocAmend&gt;}{\rtlch\fcs1 \af0 \ltrch\fcs0 \lang1045\langfe2057\langnp1045\insrsid10649118\charrsid12145901 [ZIMPLACT]}{\rtlch\fcs1 \af0 _x000d__x000a_\ltrch\fcs0 \cs15\b0\v\f1\fs20\cf9\lang1045\langfe2057\langnp1045\insrsid10649118\charrsid12145901 &lt;/DocAmend&gt;}{\rtlch\fcs1 \af0 \ltrch\fcs0 \lang1045\langfe2057\langnp1045\insrsid10649118\charrsid12145901 _x000d__x000a_\par }\pard\plain \ltrpar\s21\ql \li0\ri0\nowidctlpar\wrapdefault\aspalpha\aspnum\faauto\adjustright\rin0\lin0\itap0\pararsid10649118 \rtlch\fcs1 \af0\afs20\alang1025 \ltrch\fcs0 \b\fs24\lang2057\langfe2057\cgrid\langnp2057\langfenp2057 {\rtlch\fcs1 \af0 _x000d__x000a_\ltrch\fcs0 \cs15\b0\v\f1\fs20\cf9\lang1045\langfe2057\langnp1045\insrsid10649118\charrsid12145901 &lt;Article&gt;}{\rtlch\fcs1 \af0 \ltrch\fcs0 \lang1045\langfe2057\langnp1045\insrsid10649118\charrsid12145901 [ZAMPART]}{\rtlch\fcs1 \af0 \ltrch\fcs0 _x000d__x000a_\cs15\b0\v\f1\fs20\cf9\lang1045\langfe2057\langnp1045\insrsid10649118\charrsid12145901 &lt;/Article&gt;}{\rtlch\fcs1 \af0 \ltrch\fcs0 \lang1045\langfe2057\langnp1045\insrsid10649118\charrsid12145901 _x000d__x000a_\par \ltrrow}\trowd \irow0\irowband0\ltrrow\ts11\trqc\trgaph340\trleft-340\trftsWidth3\trwWidth9752\trftsWidthB3\trpaddl340\trpaddr340\trpaddfl3\trpaddft3\trpaddfb3\trpaddfr3\tblrsid13846876\tblind0\tblindtype3 \clvertalt\clbrdrt\brdrtbl \clbrdrl\brdrtbl _x000d__x000a_\clbrdrb\brdrtbl \clbrdrr\brdrtbl \cltxlrtb\clftsWidth3\clwWidth9752\clshdrawnil \cellx9412\pard\plain \ltrpar\ql \li0\ri0\keepn\widctlpar\intbl\wrapdefault\aspalpha\aspnum\faauto\adjustright\rin0\lin0\pararsid13846876 \rtlch\fcs1 \af0\afs20\alang1025 _x000d__x000a_\ltrch\fcs0 \fs24\lang2057\langfe2057\cgrid\langnp2057\langfenp2057 {\rtlch\fcs1 \af0 \ltrch\fcs0 \lang1045\langfe2057\langnp1045\insrsid10649118\charrsid12145901 \cell }\pard\plain \ltrpar_x000d__x000a_\ql \li0\ri0\widctlpar\intbl\wrapdefault\aspalpha\aspnum\faauto\adjustright\rin0\lin0 \rtlch\fcs1 \af0\afs20\alang1025 \ltrch\fcs0 \fs24\lang2057\langfe2057\cgrid\langnp2057\langfenp2057 {\rtlch\fcs1 \af0 \ltrch\fcs0 _x000d__x000a_\lang1045\langfe2057\langnp1045\insrsid10649118\charrsid12145901 \trowd \irow0\irowband0\ltrrow_x000d__x000a_\ts11\trqc\trgaph340\trleft-340\trftsWidth3\trwWidth9752\trftsWidthB3\trpaddl340\trpaddr340\trpaddfl3\trpaddft3\trpaddfb3\trpaddfr3\tblrsid1384687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8\qc \li0\ri0\sa240\keepn\nowidctlpar\intbl\wrapdefault\aspalpha\aspnum\faauto\adjustright\rin0\lin0\pararsid13846876 \rtlch\fcs1 \af0\afs20\alang1025 \ltrch\fcs0 \i\fs24\lang2057\langfe2057\cgrid\langnp2057\langfenp2057 {\rtlch\fcs1 \af0 \ltrch\fcs0 _x000d__x000a_\insrsid10649118\charrsid16342938 [ZLEFT]\cell [ZRIGHT]\cell }\pard\plain \ltrpar\ql \li0\ri0\widctlpar\intbl\wrapdefault\aspalpha\aspnum\faauto\adjustright\rin0\lin0 \rtlch\fcs1 \af0\afs20\alang1025 \ltrch\fcs0 _x000d__x000a_\fs24\lang2057\langfe2057\cgrid\langnp2057\langfenp2057 {\rtlch\fcs1 \af0 \ltrch\fcs0 \insrsid10649118\charrsid16342938 \trowd \irow1\irowband1\ltrrow_x000d__x000a_\ts11\trqc\trgaph340\trleft-340\trftsWidth3\trwWidth9752\trftsWidthB3\trpaddl340\trpaddr340\trpaddfl3\trpaddft3\trpaddfb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3846876 \rtlch\fcs1 \af0\afs20\alang1025 \ltrch\fcs0 \fs24\lang2057\langfe2057\cgrid\langnp2057\langfenp2057 {\rtlch\fcs1 \af0 \ltrch\fcs0 _x000d__x000a_\insrsid10649118\charrsid16342938 [ZTEXTL]\cell [ZTEXTR]}{\rtlch\fcs1 \af0\afs24 \ltrch\fcs0 \insrsid10649118\charrsid16342938 \cell }\pard\plain \ltrpar\ql \li0\ri0\widctlpar\intbl\wrapdefault\aspalpha\aspnum\faauto\adjustright\rin0\lin0 \rtlch\fcs1 _x000d__x000a_\af0\afs20\alang1025 \ltrch\fcs0 \fs24\lang2057\langfe2057\cgrid\langnp2057\langfenp2057 {\rtlch\fcs1 \af0 \ltrch\fcs0 \insrsid10649118\charrsid16342938 \trowd \irow2\irowband2\lastrow \ltrrow_x000d__x000a_\ts11\trqc\trgaph340\trleft-340\trftsWidth3\trwWidth9752\trftsWidthB3\trpaddl340\trpaddr340\trpaddfl3\trpaddft3\trpaddfb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7\qr \li0\ri0\sb240\sa240\nowidctlpar\wrapdefault\aspalpha\aspnum\faauto\adjustright\rin0\lin0\itap0\pararsid10649118 \rtlch\fcs1 \af0\afs20\alang1025 \ltrch\fcs0 \fs24\lang2057\langfe2057\cgrid\langnp2057\langfenp2057 {\rtlch\fcs1 \af0 \ltrch\fcs0 _x000d__x000a_\insrsid10649118\charrsid16342938 Or. }{\rtlch\fcs1 \af0 \ltrch\fcs0 \cs15\v\f1\fs20\cf9\insrsid10649118\charrsid16342938 &lt;Original&gt;}{\rtlch\fcs1 \af0 \ltrch\fcs0 \insrsid10649118\charrsid16342938 [ZORLANG]}{\rtlch\fcs1 \af0 \ltrch\fcs0 _x000d__x000a_\cs15\v\f1\fs20\cf9\insrsid10649118\charrsid16342938 &lt;/Original&gt;}{\rtlch\fcs1 \af0 \ltrch\fcs0 \insrsid10649118\charrsid16342938 _x000d__x000a_\par }\pard\plain \ltrpar\ql \li0\ri0\widctlpar\wrapdefault\aspalpha\aspnum\faauto\adjustright\rin0\lin0\itap0\pararsid10649118 \rtlch\fcs1 \af0\afs20\alang1025 \ltrch\fcs0 \fs24\lang2057\langfe2057\cgrid\langnp2057\langfenp2057 {\rtlch\fcs1 \af0 \ltrch\fcs0 _x000d__x000a_\cs15\v\f1\fs20\cf9\insrsid10649118\charrsid1634293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2_x000d__x000a_56f30938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ERIALNRMNU" w:val=" 2"/>
    <w:docVar w:name="strDocTypeID" w:val="RE_RightScrutinyMod"/>
    <w:docVar w:name="strSubDir" w:val="1209"/>
    <w:docVar w:name="TXTLANGUE" w:val="ET"/>
    <w:docVar w:name="TXTLANGUEMIN" w:val="et"/>
    <w:docVar w:name="TXTNRB" w:val="0202/2020"/>
    <w:docVar w:name="TXTNRD" w:val="066992/01"/>
    <w:docVar w:name="TXTNRPE" w:val="647.699"/>
    <w:docVar w:name="TXTNRRSP" w:val="2020/2670"/>
    <w:docVar w:name="TXTPEorAP" w:val="PE"/>
    <w:docVar w:name="TXTROUTE" w:val="RE\1209041ET.docx"/>
    <w:docVar w:name="TXTTITLE" w:val="partially granting an authorisation under Regulation (EC) No 1907/2006 of the European Parliament and of the Council (REACHLaw Ltd) for certain uses of chromium trioxide"/>
    <w:docVar w:name="TXTVERSION" w:val="01-00"/>
  </w:docVars>
  <w:rsids>
    <w:rsidRoot w:val="00631043"/>
    <w:rsid w:val="00010AD7"/>
    <w:rsid w:val="00043FAC"/>
    <w:rsid w:val="0004654B"/>
    <w:rsid w:val="00046C45"/>
    <w:rsid w:val="000527F7"/>
    <w:rsid w:val="00052F75"/>
    <w:rsid w:val="00061CE7"/>
    <w:rsid w:val="00072E0B"/>
    <w:rsid w:val="0007392C"/>
    <w:rsid w:val="00076E4D"/>
    <w:rsid w:val="001000F2"/>
    <w:rsid w:val="0010633C"/>
    <w:rsid w:val="00142A55"/>
    <w:rsid w:val="0014682D"/>
    <w:rsid w:val="00151A1D"/>
    <w:rsid w:val="00155256"/>
    <w:rsid w:val="00165D1C"/>
    <w:rsid w:val="001B54D2"/>
    <w:rsid w:val="00224911"/>
    <w:rsid w:val="002470EE"/>
    <w:rsid w:val="00264419"/>
    <w:rsid w:val="002A7B2C"/>
    <w:rsid w:val="002B52B9"/>
    <w:rsid w:val="002D33A2"/>
    <w:rsid w:val="002D630A"/>
    <w:rsid w:val="002E58E9"/>
    <w:rsid w:val="002F7483"/>
    <w:rsid w:val="00324F86"/>
    <w:rsid w:val="0034160F"/>
    <w:rsid w:val="00345F15"/>
    <w:rsid w:val="003545A6"/>
    <w:rsid w:val="00363F98"/>
    <w:rsid w:val="00376C58"/>
    <w:rsid w:val="003771D7"/>
    <w:rsid w:val="003800ED"/>
    <w:rsid w:val="00380C24"/>
    <w:rsid w:val="0039345D"/>
    <w:rsid w:val="00397F0A"/>
    <w:rsid w:val="003A1059"/>
    <w:rsid w:val="003A2BDD"/>
    <w:rsid w:val="003A7B88"/>
    <w:rsid w:val="003B6782"/>
    <w:rsid w:val="003E4DF2"/>
    <w:rsid w:val="003F5C4E"/>
    <w:rsid w:val="00414C68"/>
    <w:rsid w:val="00463FF2"/>
    <w:rsid w:val="00466BAD"/>
    <w:rsid w:val="00477360"/>
    <w:rsid w:val="00483DB8"/>
    <w:rsid w:val="004A2DFA"/>
    <w:rsid w:val="004D3E37"/>
    <w:rsid w:val="004E5157"/>
    <w:rsid w:val="004E7525"/>
    <w:rsid w:val="00532CA3"/>
    <w:rsid w:val="00544CC3"/>
    <w:rsid w:val="00545E11"/>
    <w:rsid w:val="00552C71"/>
    <w:rsid w:val="00573CBC"/>
    <w:rsid w:val="005B6F1C"/>
    <w:rsid w:val="005F34DB"/>
    <w:rsid w:val="00600216"/>
    <w:rsid w:val="00607B8A"/>
    <w:rsid w:val="0061033D"/>
    <w:rsid w:val="00622B27"/>
    <w:rsid w:val="00631043"/>
    <w:rsid w:val="006332B4"/>
    <w:rsid w:val="00642791"/>
    <w:rsid w:val="00656D5C"/>
    <w:rsid w:val="00660010"/>
    <w:rsid w:val="006716B0"/>
    <w:rsid w:val="0067693D"/>
    <w:rsid w:val="006A6DB2"/>
    <w:rsid w:val="006C2335"/>
    <w:rsid w:val="006C2CB2"/>
    <w:rsid w:val="006F0BF0"/>
    <w:rsid w:val="00734B55"/>
    <w:rsid w:val="00796474"/>
    <w:rsid w:val="007B4250"/>
    <w:rsid w:val="007B564A"/>
    <w:rsid w:val="007C7298"/>
    <w:rsid w:val="007D2B27"/>
    <w:rsid w:val="00804D21"/>
    <w:rsid w:val="0080513C"/>
    <w:rsid w:val="00842D39"/>
    <w:rsid w:val="00854994"/>
    <w:rsid w:val="008925EE"/>
    <w:rsid w:val="00892D0D"/>
    <w:rsid w:val="008D238C"/>
    <w:rsid w:val="008E3D03"/>
    <w:rsid w:val="008E4269"/>
    <w:rsid w:val="008F5327"/>
    <w:rsid w:val="008F748A"/>
    <w:rsid w:val="008F778C"/>
    <w:rsid w:val="00900F9D"/>
    <w:rsid w:val="009128A8"/>
    <w:rsid w:val="00930A84"/>
    <w:rsid w:val="00971CBC"/>
    <w:rsid w:val="00973ED7"/>
    <w:rsid w:val="009819BF"/>
    <w:rsid w:val="009B2284"/>
    <w:rsid w:val="009B53ED"/>
    <w:rsid w:val="009B7FA7"/>
    <w:rsid w:val="009C4DC3"/>
    <w:rsid w:val="009D1B95"/>
    <w:rsid w:val="009E597E"/>
    <w:rsid w:val="009E7444"/>
    <w:rsid w:val="00A042CC"/>
    <w:rsid w:val="00A05063"/>
    <w:rsid w:val="00A139D8"/>
    <w:rsid w:val="00A166A7"/>
    <w:rsid w:val="00A2170A"/>
    <w:rsid w:val="00A353DC"/>
    <w:rsid w:val="00A543E6"/>
    <w:rsid w:val="00A549F4"/>
    <w:rsid w:val="00A64F55"/>
    <w:rsid w:val="00A81762"/>
    <w:rsid w:val="00A87554"/>
    <w:rsid w:val="00A87F1E"/>
    <w:rsid w:val="00A91776"/>
    <w:rsid w:val="00AB0C11"/>
    <w:rsid w:val="00AF416F"/>
    <w:rsid w:val="00B245B1"/>
    <w:rsid w:val="00B345FB"/>
    <w:rsid w:val="00B415D8"/>
    <w:rsid w:val="00B64A97"/>
    <w:rsid w:val="00B70448"/>
    <w:rsid w:val="00B71803"/>
    <w:rsid w:val="00B83B36"/>
    <w:rsid w:val="00B954ED"/>
    <w:rsid w:val="00BB74A8"/>
    <w:rsid w:val="00BE1D45"/>
    <w:rsid w:val="00BE7861"/>
    <w:rsid w:val="00BE798C"/>
    <w:rsid w:val="00C30FF5"/>
    <w:rsid w:val="00C4452F"/>
    <w:rsid w:val="00C53632"/>
    <w:rsid w:val="00C9663C"/>
    <w:rsid w:val="00C97BDD"/>
    <w:rsid w:val="00CB62ED"/>
    <w:rsid w:val="00CC7CEA"/>
    <w:rsid w:val="00D3495C"/>
    <w:rsid w:val="00D3563F"/>
    <w:rsid w:val="00D527CC"/>
    <w:rsid w:val="00D53182"/>
    <w:rsid w:val="00D66E93"/>
    <w:rsid w:val="00D673D8"/>
    <w:rsid w:val="00DC788C"/>
    <w:rsid w:val="00DD2ADD"/>
    <w:rsid w:val="00DE7B1E"/>
    <w:rsid w:val="00DF278B"/>
    <w:rsid w:val="00DF7FE9"/>
    <w:rsid w:val="00E31D7C"/>
    <w:rsid w:val="00E4276B"/>
    <w:rsid w:val="00E51325"/>
    <w:rsid w:val="00E61130"/>
    <w:rsid w:val="00E76310"/>
    <w:rsid w:val="00E85740"/>
    <w:rsid w:val="00EA3808"/>
    <w:rsid w:val="00EB23FF"/>
    <w:rsid w:val="00F33CE7"/>
    <w:rsid w:val="00F403DB"/>
    <w:rsid w:val="00F50956"/>
    <w:rsid w:val="00F6073B"/>
    <w:rsid w:val="00F85714"/>
    <w:rsid w:val="00F870C7"/>
    <w:rsid w:val="00F9151F"/>
    <w:rsid w:val="00F95F9A"/>
    <w:rsid w:val="00FA6E65"/>
    <w:rsid w:val="00FC70BB"/>
    <w:rsid w:val="00FC7371"/>
    <w:rsid w:val="00FD13B8"/>
    <w:rsid w:val="00FE71DD"/>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44CE49-DF01-49A0-8DA8-33D2980B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7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C7CEA"/>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4E7525"/>
    <w:pPr>
      <w:ind w:left="1417"/>
    </w:pPr>
    <w:rPr>
      <w:b/>
    </w:rPr>
  </w:style>
  <w:style w:type="paragraph" w:customStyle="1" w:styleId="CoverNormal12a">
    <w:name w:val="CoverNormal12a"/>
    <w:basedOn w:val="Normal"/>
    <w:rsid w:val="00264419"/>
    <w:pPr>
      <w:spacing w:after="240"/>
      <w:ind w:left="1418"/>
    </w:pPr>
  </w:style>
  <w:style w:type="paragraph" w:customStyle="1" w:styleId="CoverBold24a">
    <w:name w:val="CoverBold24a"/>
    <w:basedOn w:val="Normal"/>
    <w:rsid w:val="00264419"/>
    <w:pPr>
      <w:spacing w:after="480"/>
      <w:ind w:left="1418"/>
    </w:pPr>
    <w:rPr>
      <w:b/>
    </w:rPr>
  </w:style>
  <w:style w:type="paragraph" w:customStyle="1" w:styleId="CoverNormal">
    <w:name w:val="CoverNormal"/>
    <w:basedOn w:val="Normal"/>
    <w:pPr>
      <w:ind w:left="1418"/>
    </w:pPr>
  </w:style>
  <w:style w:type="paragraph" w:customStyle="1" w:styleId="CoverReference">
    <w:name w:val="CoverReference"/>
    <w:basedOn w:val="Normal"/>
    <w:rsid w:val="008F748A"/>
    <w:pPr>
      <w:spacing w:before="1080"/>
      <w:jc w:val="right"/>
    </w:pPr>
    <w:rPr>
      <w:rFonts w:ascii="Arial" w:hAnsi="Arial" w:cs="Arial"/>
      <w:b/>
    </w:rPr>
  </w:style>
  <w:style w:type="paragraph" w:customStyle="1" w:styleId="CoverDocType24a">
    <w:name w:val="CoverDocType24a"/>
    <w:basedOn w:val="Normal"/>
    <w:rsid w:val="0039345D"/>
    <w:pPr>
      <w:spacing w:after="480"/>
      <w:ind w:left="1418"/>
    </w:pPr>
    <w:rPr>
      <w:rFonts w:ascii="Arial" w:hAnsi="Arial"/>
      <w:b/>
      <w:sz w:val="48"/>
    </w:rPr>
  </w:style>
  <w:style w:type="paragraph" w:styleId="Header">
    <w:name w:val="header"/>
    <w:basedOn w:val="Normal"/>
    <w:link w:val="HeaderChar"/>
    <w:semiHidden/>
    <w:rsid w:val="00930A84"/>
    <w:pPr>
      <w:tabs>
        <w:tab w:val="center" w:pos="4513"/>
        <w:tab w:val="right" w:pos="9026"/>
      </w:tabs>
    </w:pPr>
  </w:style>
  <w:style w:type="paragraph" w:customStyle="1" w:styleId="AmOrLang">
    <w:name w:val="AmOrLang"/>
    <w:basedOn w:val="Normal"/>
    <w:rsid w:val="00D3495C"/>
    <w:pPr>
      <w:spacing w:before="240" w:after="240"/>
      <w:jc w:val="right"/>
    </w:pPr>
  </w:style>
  <w:style w:type="paragraph" w:customStyle="1" w:styleId="AmColumnHeading">
    <w:name w:val="AmColumnHeading"/>
    <w:basedOn w:val="Normal"/>
    <w:rsid w:val="00D3495C"/>
    <w:pPr>
      <w:spacing w:after="240"/>
      <w:jc w:val="center"/>
    </w:pPr>
    <w:rPr>
      <w:i/>
    </w:rPr>
  </w:style>
  <w:style w:type="paragraph" w:customStyle="1" w:styleId="AmNumberTabs">
    <w:name w:val="AmNumberTabs"/>
    <w:basedOn w:val="Normal"/>
    <w:rsid w:val="00D3495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3495C"/>
    <w:pPr>
      <w:spacing w:before="240"/>
    </w:pPr>
    <w:rPr>
      <w:b/>
    </w:rPr>
  </w:style>
  <w:style w:type="table" w:styleId="TableGrid">
    <w:name w:val="Table Grid"/>
    <w:basedOn w:val="TableNormal"/>
    <w:rsid w:val="0014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42A55"/>
    <w:pPr>
      <w:jc w:val="center"/>
    </w:pPr>
    <w:rPr>
      <w:rFonts w:ascii="Arial" w:hAnsi="Arial" w:cs="Arial"/>
      <w:i/>
      <w:sz w:val="22"/>
      <w:szCs w:val="22"/>
    </w:rPr>
  </w:style>
  <w:style w:type="paragraph" w:customStyle="1" w:styleId="LineTop">
    <w:name w:val="LineTop"/>
    <w:basedOn w:val="Normal"/>
    <w:next w:val="Normal"/>
    <w:rsid w:val="00142A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8F748A"/>
    <w:pPr>
      <w:pBdr>
        <w:bottom w:val="single" w:sz="4" w:space="1" w:color="auto"/>
      </w:pBdr>
      <w:spacing w:after="240"/>
      <w:jc w:val="center"/>
    </w:pPr>
    <w:rPr>
      <w:rFonts w:ascii="Arial" w:hAnsi="Arial" w:cs="Arial"/>
      <w:sz w:val="16"/>
      <w:szCs w:val="16"/>
    </w:rPr>
  </w:style>
  <w:style w:type="paragraph" w:customStyle="1" w:styleId="CoverNormal24a">
    <w:name w:val="CoverNormal24a"/>
    <w:basedOn w:val="Normal"/>
    <w:rsid w:val="008F5327"/>
    <w:pPr>
      <w:spacing w:after="480"/>
      <w:ind w:left="1417"/>
    </w:pPr>
  </w:style>
  <w:style w:type="paragraph" w:customStyle="1" w:styleId="EPName">
    <w:name w:val="EPName"/>
    <w:basedOn w:val="Normal"/>
    <w:rsid w:val="00A543E6"/>
    <w:pPr>
      <w:spacing w:before="80" w:after="80"/>
    </w:pPr>
    <w:rPr>
      <w:rFonts w:ascii="Arial Narrow" w:hAnsi="Arial Narrow" w:cs="Arial"/>
      <w:b/>
      <w:sz w:val="32"/>
      <w:szCs w:val="22"/>
    </w:rPr>
  </w:style>
  <w:style w:type="paragraph" w:customStyle="1" w:styleId="EPTerm">
    <w:name w:val="EPTerm"/>
    <w:basedOn w:val="Normal"/>
    <w:next w:val="Normal"/>
    <w:rsid w:val="00A543E6"/>
    <w:pPr>
      <w:spacing w:after="80"/>
    </w:pPr>
    <w:rPr>
      <w:rFonts w:ascii="Arial" w:hAnsi="Arial" w:cs="Arial"/>
      <w:sz w:val="20"/>
      <w:szCs w:val="22"/>
    </w:rPr>
  </w:style>
  <w:style w:type="paragraph" w:customStyle="1" w:styleId="EPLogo">
    <w:name w:val="EPLogo"/>
    <w:basedOn w:val="Normal"/>
    <w:qFormat/>
    <w:rsid w:val="00A543E6"/>
    <w:pPr>
      <w:jc w:val="right"/>
    </w:pPr>
  </w:style>
  <w:style w:type="paragraph" w:customStyle="1" w:styleId="CoverDate">
    <w:name w:val="CoverDate"/>
    <w:basedOn w:val="Normal"/>
    <w:rsid w:val="008F748A"/>
    <w:pPr>
      <w:spacing w:before="240" w:after="1200"/>
    </w:pPr>
  </w:style>
  <w:style w:type="paragraph" w:customStyle="1" w:styleId="NormalBold">
    <w:name w:val="NormalBold"/>
    <w:basedOn w:val="Normal"/>
    <w:rsid w:val="00264419"/>
    <w:rPr>
      <w:b/>
    </w:rPr>
  </w:style>
  <w:style w:type="paragraph" w:customStyle="1" w:styleId="EPFooter">
    <w:name w:val="EPFooter"/>
    <w:basedOn w:val="Normal"/>
    <w:rsid w:val="0039345D"/>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30A84"/>
    <w:rPr>
      <w:sz w:val="24"/>
    </w:rPr>
  </w:style>
  <w:style w:type="paragraph" w:styleId="FootnoteText">
    <w:name w:val="footnote text"/>
    <w:basedOn w:val="Normal"/>
    <w:link w:val="FootnoteTextChar"/>
    <w:uiPriority w:val="99"/>
    <w:rsid w:val="007B4250"/>
    <w:rPr>
      <w:sz w:val="20"/>
    </w:rPr>
  </w:style>
  <w:style w:type="character" w:customStyle="1" w:styleId="FootnoteTextChar">
    <w:name w:val="Footnote Text Char"/>
    <w:basedOn w:val="DefaultParagraphFont"/>
    <w:link w:val="FootnoteText"/>
    <w:uiPriority w:val="99"/>
    <w:rsid w:val="007B4250"/>
  </w:style>
  <w:style w:type="character" w:styleId="FootnoteReference">
    <w:name w:val="footnote reference"/>
    <w:basedOn w:val="DefaultParagraphFont"/>
    <w:uiPriority w:val="99"/>
    <w:rsid w:val="007B4250"/>
    <w:rPr>
      <w:vertAlign w:val="superscript"/>
    </w:rPr>
  </w:style>
  <w:style w:type="character" w:styleId="Hyperlink">
    <w:name w:val="Hyperlink"/>
    <w:unhideWhenUsed/>
    <w:rsid w:val="007B4250"/>
    <w:rPr>
      <w:color w:val="0563C1"/>
      <w:u w:val="single"/>
    </w:rPr>
  </w:style>
  <w:style w:type="paragraph" w:customStyle="1" w:styleId="Normal12Hanging">
    <w:name w:val="Normal12Hanging"/>
    <w:basedOn w:val="Normal"/>
    <w:rsid w:val="007B4250"/>
    <w:pPr>
      <w:autoSpaceDN w:val="0"/>
      <w:spacing w:after="240"/>
      <w:ind w:left="567" w:hanging="567"/>
    </w:pPr>
  </w:style>
  <w:style w:type="character" w:customStyle="1" w:styleId="FootnoteReference1">
    <w:name w:val="Footnote Reference1"/>
    <w:rsid w:val="007B4250"/>
    <w:rPr>
      <w:color w:val="000000"/>
      <w:sz w:val="20"/>
      <w:vertAlign w:val="superscript"/>
    </w:rPr>
  </w:style>
  <w:style w:type="paragraph" w:styleId="NormalWeb">
    <w:name w:val="Normal (Web)"/>
    <w:basedOn w:val="Normal"/>
    <w:unhideWhenUsed/>
    <w:rsid w:val="007B4250"/>
    <w:pPr>
      <w:widowControl/>
      <w:suppressAutoHyphens/>
      <w:autoSpaceDN w:val="0"/>
      <w:spacing w:after="150"/>
    </w:pPr>
    <w:rPr>
      <w:kern w:val="3"/>
      <w:szCs w:val="24"/>
    </w:rPr>
  </w:style>
  <w:style w:type="paragraph" w:customStyle="1" w:styleId="FootnoteTextA">
    <w:name w:val="Footnote Text A"/>
    <w:rsid w:val="007B4250"/>
    <w:pPr>
      <w:widowControl w:val="0"/>
      <w:autoSpaceDN w:val="0"/>
    </w:pPr>
    <w:rPr>
      <w:rFonts w:eastAsia="ヒラギノ角ゴ Pro W3"/>
      <w:color w:val="000000"/>
    </w:rPr>
  </w:style>
  <w:style w:type="character" w:customStyle="1" w:styleId="outputecli">
    <w:name w:val="outputecli"/>
    <w:rsid w:val="007B4250"/>
  </w:style>
  <w:style w:type="paragraph" w:styleId="Footer">
    <w:name w:val="footer"/>
    <w:basedOn w:val="Normal"/>
    <w:link w:val="FooterChar"/>
    <w:semiHidden/>
    <w:rsid w:val="007B4250"/>
    <w:pPr>
      <w:tabs>
        <w:tab w:val="center" w:pos="4513"/>
        <w:tab w:val="right" w:pos="9026"/>
      </w:tabs>
    </w:pPr>
  </w:style>
  <w:style w:type="character" w:customStyle="1" w:styleId="FooterChar">
    <w:name w:val="Footer Char"/>
    <w:basedOn w:val="DefaultParagraphFont"/>
    <w:link w:val="Footer"/>
    <w:semiHidden/>
    <w:rsid w:val="007B42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ha.europa.eu/documents/10162/70ae9192-4c86-4e68-9021-0a90f7b56444" TargetMode="External"/><Relationship Id="rId3" Type="http://schemas.openxmlformats.org/officeDocument/2006/relationships/hyperlink" Target="https://echa.europa.eu/documents/10162/d05d7ddc-67af-b7db-3c5c-e95b2d3f8165" TargetMode="External"/><Relationship Id="rId7" Type="http://schemas.openxmlformats.org/officeDocument/2006/relationships/hyperlink" Target="https://echa.europa.eu/documents/10162/7dd2ade6-bb47-4080-8124-a97335f9d2b8" TargetMode="External"/><Relationship Id="rId2" Type="http://schemas.openxmlformats.org/officeDocument/2006/relationships/hyperlink" Target="https://echa.europa.eu/documents/10162/c4fd2e61-4592-49e8-1e0b-34892be42ce7" TargetMode="External"/><Relationship Id="rId1" Type="http://schemas.openxmlformats.org/officeDocument/2006/relationships/hyperlink" Target="https://echa.europa.eu/documents/10162/5dab062f-8e37-9dae-40bd-25fa2ca625be" TargetMode="External"/><Relationship Id="rId6" Type="http://schemas.openxmlformats.org/officeDocument/2006/relationships/hyperlink" Target="https://echa.europa.eu/documents/10162/13640/3rd_a_xiv_recommendation_20dec2011_en.pdf" TargetMode="External"/><Relationship Id="rId5" Type="http://schemas.openxmlformats.org/officeDocument/2006/relationships/hyperlink" Target="https://echa.europa.eu/documents/10162/6b11ec66-9d90-400a-a61a-90de9a0fd8b1" TargetMode="External"/><Relationship Id="rId4" Type="http://schemas.openxmlformats.org/officeDocument/2006/relationships/hyperlink" Target="https://echa.europa.eu/documents/10162/d198c14b-0eca-ef10-5444-33313c7742b0" TargetMode="External"/><Relationship Id="rId9" Type="http://schemas.openxmlformats.org/officeDocument/2006/relationships/hyperlink" Target="https://www.baua.de/EN/Service/Publications/Report/Gd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C2F35265.dotm</Template>
  <TotalTime>0</TotalTime>
  <Pages>10</Pages>
  <Words>2412</Words>
  <Characters>17454</Characters>
  <Application>Microsoft Office Word</Application>
  <DocSecurity>0</DocSecurity>
  <Lines>918</Lines>
  <Paragraphs>620</Paragraphs>
  <ScaleCrop>false</ScaleCrop>
  <HeadingPairs>
    <vt:vector size="2" baseType="variant">
      <vt:variant>
        <vt:lpstr>Title</vt:lpstr>
      </vt:variant>
      <vt:variant>
        <vt:i4>1</vt:i4>
      </vt:variant>
    </vt:vector>
  </HeadingPairs>
  <TitlesOfParts>
    <vt:vector size="1" baseType="lpstr">
      <vt:lpstr>RE_RightScrutinyMod</vt:lpstr>
    </vt:vector>
  </TitlesOfParts>
  <Company/>
  <LinksUpToDate>false</LinksUpToDate>
  <CharactersWithSpaces>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RE_RightScrutinyMod</dc:title>
  <dc:subject/>
  <dc:creator>LUTOVS Vladimirs</dc:creator>
  <cp:keywords/>
  <cp:lastModifiedBy>LEVERTAND Reet</cp:lastModifiedBy>
  <cp:revision>2</cp:revision>
  <cp:lastPrinted>2004-11-19T15:29:00Z</cp:lastPrinted>
  <dcterms:created xsi:type="dcterms:W3CDTF">2020-07-06T09:59:00Z</dcterms:created>
  <dcterms:modified xsi:type="dcterms:W3CDTF">2020-07-06T09:59:00Z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1209041</vt:lpwstr>
  </property>
  <property fmtid="{D5CDD505-2E9C-101B-9397-08002B2CF9AE}" pid="5" name="&lt;Type&gt;">
    <vt:lpwstr>RE</vt:lpwstr>
  </property>
  <property fmtid="{D5CDD505-2E9C-101B-9397-08002B2CF9AE}" pid="6" name="&lt;ModelCod&gt;">
    <vt:lpwstr>\\eiciLUXpr1\pdocep$\DocEP\DOCS\General\RE\RE_ImplAct\RE_RightScrutinyMod.dotx(17/04/2020 19:29:08)</vt:lpwstr>
  </property>
  <property fmtid="{D5CDD505-2E9C-101B-9397-08002B2CF9AE}" pid="7" name="&lt;ModelTra&gt;">
    <vt:lpwstr>\\eiciLUXpr1\pdocep$\DocEP\TRANSFIL\EN\RE_RightScrutinyMod.EN(11/03/2020 10:31:01)</vt:lpwstr>
  </property>
  <property fmtid="{D5CDD505-2E9C-101B-9397-08002B2CF9AE}" pid="8" name="&lt;Model&gt;">
    <vt:lpwstr>RE_RightScrutinyMod</vt:lpwstr>
  </property>
  <property fmtid="{D5CDD505-2E9C-101B-9397-08002B2CF9AE}" pid="9" name="FooterPath">
    <vt:lpwstr>RE\1209041ET.docx</vt:lpwstr>
  </property>
  <property fmtid="{D5CDD505-2E9C-101B-9397-08002B2CF9AE}" pid="10" name="PE number">
    <vt:lpwstr>647.699</vt:lpwstr>
  </property>
  <property fmtid="{D5CDD505-2E9C-101B-9397-08002B2CF9AE}" pid="11" name="Bookout">
    <vt:lpwstr>OK - 2020/07/06 11:50</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