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750D7" w:rsidRPr="00E3105D" w14:paraId="58D1BD5C" w14:textId="77777777" w:rsidTr="00C85D0F">
        <w:trPr>
          <w:trHeight w:hRule="exact" w:val="1418"/>
        </w:trPr>
        <w:tc>
          <w:tcPr>
            <w:tcW w:w="6804" w:type="dxa"/>
            <w:shd w:val="clear" w:color="auto" w:fill="auto"/>
            <w:vAlign w:val="center"/>
          </w:tcPr>
          <w:p w14:paraId="6BE82BD7" w14:textId="77777777" w:rsidR="005750D7" w:rsidRPr="00E3105D" w:rsidRDefault="00815D56" w:rsidP="00C85D0F">
            <w:pPr>
              <w:pStyle w:val="EPName"/>
            </w:pPr>
            <w:r w:rsidRPr="00E3105D">
              <w:t>European Parliament</w:t>
            </w:r>
          </w:p>
          <w:p w14:paraId="44E6B571" w14:textId="77777777" w:rsidR="005750D7" w:rsidRPr="00E3105D" w:rsidRDefault="000D5558" w:rsidP="000D5558">
            <w:pPr>
              <w:pStyle w:val="EPTerm"/>
            </w:pPr>
            <w:r w:rsidRPr="00E3105D">
              <w:t>2019-2024</w:t>
            </w:r>
          </w:p>
        </w:tc>
        <w:tc>
          <w:tcPr>
            <w:tcW w:w="2268" w:type="dxa"/>
            <w:shd w:val="clear" w:color="auto" w:fill="auto"/>
          </w:tcPr>
          <w:p w14:paraId="61CB8C49" w14:textId="77777777" w:rsidR="005750D7" w:rsidRPr="00E3105D" w:rsidRDefault="005750D7" w:rsidP="00C85D0F">
            <w:pPr>
              <w:pStyle w:val="EPLogo"/>
            </w:pPr>
            <w:r w:rsidRPr="00E3105D">
              <w:drawing>
                <wp:inline distT="0" distB="0" distL="0" distR="0" wp14:anchorId="19C30030" wp14:editId="68EB01D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15A6165" w14:textId="77777777" w:rsidR="001F70F5" w:rsidRPr="00E3105D" w:rsidRDefault="001F70F5" w:rsidP="001F70F5">
      <w:pPr>
        <w:pStyle w:val="LineTop"/>
      </w:pPr>
    </w:p>
    <w:p w14:paraId="0357138C" w14:textId="77777777" w:rsidR="001F70F5" w:rsidRPr="00E3105D" w:rsidRDefault="00815D56" w:rsidP="001F70F5">
      <w:pPr>
        <w:pStyle w:val="EPBody"/>
      </w:pPr>
      <w:r w:rsidRPr="00E3105D">
        <w:t>Plenary sitting</w:t>
      </w:r>
    </w:p>
    <w:p w14:paraId="3E9589A6" w14:textId="77777777" w:rsidR="00744C9F" w:rsidRPr="00E3105D" w:rsidRDefault="00744C9F" w:rsidP="00744C9F">
      <w:pPr>
        <w:pStyle w:val="LineBottom"/>
      </w:pPr>
    </w:p>
    <w:p w14:paraId="09CE7597" w14:textId="77777777" w:rsidR="00744C9F" w:rsidRPr="00E3105D" w:rsidRDefault="00744C9F" w:rsidP="00744C9F">
      <w:pPr>
        <w:pStyle w:val="CoverReference"/>
      </w:pPr>
      <w:r w:rsidRPr="00E3105D">
        <w:rPr>
          <w:rStyle w:val="HideTWBExt"/>
          <w:b w:val="0"/>
          <w:noProof w:val="0"/>
        </w:rPr>
        <w:t>&lt;NoDocSe&gt;</w:t>
      </w:r>
      <w:r w:rsidRPr="00E3105D">
        <w:t>B9</w:t>
      </w:r>
      <w:r w:rsidRPr="00E3105D">
        <w:noBreakHyphen/>
        <w:t>0172/2021</w:t>
      </w:r>
      <w:r w:rsidRPr="00E3105D">
        <w:rPr>
          <w:rStyle w:val="HideTWBExt"/>
          <w:b w:val="0"/>
          <w:noProof w:val="0"/>
        </w:rPr>
        <w:t>&lt;/NoDocSe&gt;</w:t>
      </w:r>
    </w:p>
    <w:p w14:paraId="5081D2A2" w14:textId="77777777" w:rsidR="00744C9F" w:rsidRPr="00E3105D" w:rsidRDefault="00744C9F" w:rsidP="00744C9F">
      <w:pPr>
        <w:pStyle w:val="CoverDate"/>
      </w:pPr>
      <w:r w:rsidRPr="00E3105D">
        <w:rPr>
          <w:rStyle w:val="HideTWBExt"/>
          <w:noProof w:val="0"/>
        </w:rPr>
        <w:t>&lt;Date&gt;</w:t>
      </w:r>
      <w:r w:rsidRPr="00E3105D">
        <w:rPr>
          <w:rStyle w:val="HideTWBInt"/>
        </w:rPr>
        <w:t>{08/03/2021}</w:t>
      </w:r>
      <w:r w:rsidRPr="00E3105D">
        <w:t>8.3.2021</w:t>
      </w:r>
      <w:r w:rsidRPr="00E3105D">
        <w:rPr>
          <w:rStyle w:val="HideTWBExt"/>
          <w:noProof w:val="0"/>
        </w:rPr>
        <w:t>&lt;/Date&gt;</w:t>
      </w:r>
    </w:p>
    <w:p w14:paraId="1F7A7435" w14:textId="77777777" w:rsidR="000412B1" w:rsidRPr="00E3105D" w:rsidRDefault="000412B1">
      <w:pPr>
        <w:pStyle w:val="CoverDocType24a"/>
      </w:pPr>
      <w:r w:rsidRPr="00E3105D">
        <w:rPr>
          <w:rStyle w:val="HideTWBExt"/>
          <w:b w:val="0"/>
          <w:noProof w:val="0"/>
        </w:rPr>
        <w:t>&lt;TitreType&gt;</w:t>
      </w:r>
      <w:r w:rsidRPr="00E3105D">
        <w:t>MOTION FOR A RESOLUTION</w:t>
      </w:r>
      <w:r w:rsidRPr="00E3105D">
        <w:rPr>
          <w:rStyle w:val="HideTWBExt"/>
          <w:b w:val="0"/>
          <w:noProof w:val="0"/>
        </w:rPr>
        <w:t>&lt;/TitreType&gt;</w:t>
      </w:r>
    </w:p>
    <w:p w14:paraId="37C8E98D" w14:textId="77777777" w:rsidR="000412B1" w:rsidRPr="00E3105D" w:rsidRDefault="000412B1">
      <w:pPr>
        <w:pStyle w:val="CoverNormal12a"/>
      </w:pPr>
      <w:r w:rsidRPr="00E3105D">
        <w:rPr>
          <w:rStyle w:val="HideTWBExt"/>
          <w:noProof w:val="0"/>
        </w:rPr>
        <w:t>&lt;TitreRecueil&gt;</w:t>
      </w:r>
      <w:r w:rsidRPr="00E3105D">
        <w:t>pursuant to Rule 143 of the Rules of Procedure</w:t>
      </w:r>
      <w:r w:rsidRPr="00E3105D">
        <w:rPr>
          <w:rStyle w:val="HideTWBExt"/>
          <w:noProof w:val="0"/>
        </w:rPr>
        <w:t>&lt;/TitreRecueil&gt;</w:t>
      </w:r>
    </w:p>
    <w:p w14:paraId="31B486F6" w14:textId="29D4A0AA" w:rsidR="000A6B85" w:rsidRPr="00E3105D" w:rsidRDefault="000A6B85" w:rsidP="00A07592">
      <w:pPr>
        <w:pStyle w:val="CoverNormal24a"/>
      </w:pPr>
      <w:r w:rsidRPr="00E3105D">
        <w:rPr>
          <w:rStyle w:val="HideTWBExt"/>
          <w:noProof w:val="0"/>
        </w:rPr>
        <w:t>&lt;Titre&gt;</w:t>
      </w:r>
      <w:r w:rsidRPr="00E3105D">
        <w:t>on the restitution of funds allocated to Turkey under the pre-accession instrument</w:t>
      </w:r>
      <w:r w:rsidR="00A06783">
        <w:t>,</w:t>
      </w:r>
      <w:r w:rsidRPr="00E3105D">
        <w:t xml:space="preserve"> now that the pre-acce</w:t>
      </w:r>
      <w:r w:rsidR="00A06783">
        <w:t xml:space="preserve">ssion process has been halted, </w:t>
      </w:r>
      <w:r w:rsidRPr="00E3105D">
        <w:t>and the removal of the aforementioned programme for Turkey from the current multiannual financial framework (MFF)</w:t>
      </w:r>
      <w:r w:rsidRPr="00E3105D">
        <w:rPr>
          <w:rStyle w:val="HideTWBExt"/>
          <w:noProof w:val="0"/>
        </w:rPr>
        <w:t>&lt;/Titre&gt;</w:t>
      </w:r>
    </w:p>
    <w:p w14:paraId="75AA62CE" w14:textId="77777777" w:rsidR="000412B1" w:rsidRPr="00E3105D" w:rsidRDefault="000412B1" w:rsidP="00491B75">
      <w:pPr>
        <w:pStyle w:val="CoverBold"/>
      </w:pPr>
      <w:r w:rsidRPr="00E3105D">
        <w:rPr>
          <w:rStyle w:val="HideTWBExt"/>
          <w:b w:val="0"/>
          <w:noProof w:val="0"/>
        </w:rPr>
        <w:t>&lt;Depute&gt;</w:t>
      </w:r>
      <w:r w:rsidRPr="00E3105D">
        <w:t>Hélène Laporte, Mazaly Aguilar, Mathilde Androuët, Jordan Bardella, Annika Bruna, Jorge Buxadé Villalba, Carlo Fidanza, Emmanouil Fragkos, Roman Haider, Herve Juvin, Gilles Lebreton, Georg Mayer, Margarita de la Pisa Carrión, Jérôme Rivière, Hermann Tertsch, Tom Vandendriessche</w:t>
      </w:r>
      <w:r w:rsidRPr="00E3105D">
        <w:rPr>
          <w:rStyle w:val="HideTWBExt"/>
          <w:b w:val="0"/>
          <w:noProof w:val="0"/>
          <w:color w:val="auto"/>
        </w:rPr>
        <w:t>&lt;/Depute&gt;</w:t>
      </w:r>
    </w:p>
    <w:p w14:paraId="249D7811" w14:textId="77777777" w:rsidR="000412B1" w:rsidRPr="00E3105D" w:rsidRDefault="000412B1">
      <w:pPr>
        <w:pStyle w:val="NormalBold12a"/>
      </w:pPr>
      <w:r w:rsidRPr="00E3105D">
        <w:br w:type="page"/>
      </w:r>
      <w:r w:rsidRPr="00E3105D">
        <w:lastRenderedPageBreak/>
        <w:t>B9</w:t>
      </w:r>
      <w:r w:rsidRPr="00E3105D">
        <w:noBreakHyphen/>
        <w:t>0172/2021</w:t>
      </w:r>
    </w:p>
    <w:p w14:paraId="4813E823" w14:textId="3E11ED07" w:rsidR="000A6B85" w:rsidRPr="00E3105D" w:rsidRDefault="00815D56" w:rsidP="00C46BA9">
      <w:pPr>
        <w:pStyle w:val="NormalBold"/>
      </w:pPr>
      <w:r w:rsidRPr="00E3105D">
        <w:t>Motion for a European Parliament resolution on the restitution of funds allocated to Turkey under the pre-accession instrument</w:t>
      </w:r>
      <w:r w:rsidR="00A06783">
        <w:t>,</w:t>
      </w:r>
      <w:r w:rsidRPr="00E3105D">
        <w:t xml:space="preserve"> now that the pre-acce</w:t>
      </w:r>
      <w:r w:rsidR="00A06783">
        <w:t>ssion process has been halted</w:t>
      </w:r>
      <w:r w:rsidRPr="00E3105D">
        <w:t>, and the removal of the aforementioned programme for Turkey from the current multiannual financial framework (MFF)</w:t>
      </w:r>
    </w:p>
    <w:p w14:paraId="3EBD56E3" w14:textId="77777777" w:rsidR="000412B1" w:rsidRPr="00E3105D" w:rsidRDefault="00815D56">
      <w:pPr>
        <w:pStyle w:val="EPComma"/>
      </w:pPr>
      <w:r w:rsidRPr="00E3105D">
        <w:rPr>
          <w:i/>
        </w:rPr>
        <w:t>The European Parliament</w:t>
      </w:r>
      <w:r w:rsidRPr="00E3105D">
        <w:t>,</w:t>
      </w:r>
    </w:p>
    <w:p w14:paraId="33CDB17B" w14:textId="00103CA1" w:rsidR="008A4D13" w:rsidRPr="00E3105D" w:rsidRDefault="008A4D13" w:rsidP="00ED2A42">
      <w:pPr>
        <w:pStyle w:val="NormalHanging12a"/>
      </w:pPr>
      <w:r w:rsidRPr="00E3105D">
        <w:t>–</w:t>
      </w:r>
      <w:r w:rsidRPr="00E3105D">
        <w:tab/>
        <w:t>having regard to Article 21 of Council Regulation (EC) No 1085/2006 of 17 July 2006,</w:t>
      </w:r>
    </w:p>
    <w:p w14:paraId="00BB29F2" w14:textId="2DC1E606" w:rsidR="00ED2A42" w:rsidRPr="00E3105D" w:rsidRDefault="000412B1" w:rsidP="00ED2A42">
      <w:pPr>
        <w:pStyle w:val="NormalHanging12a"/>
      </w:pPr>
      <w:r w:rsidRPr="00E3105D">
        <w:t>–</w:t>
      </w:r>
      <w:r w:rsidRPr="00E3105D">
        <w:tab/>
        <w:t>having regard to Rule 143 of its Rules of Procedure,</w:t>
      </w:r>
    </w:p>
    <w:p w14:paraId="16E4A439" w14:textId="1C4ECDE1" w:rsidR="00ED2A42" w:rsidRPr="00E3105D" w:rsidRDefault="008A4D13" w:rsidP="00ED2A42">
      <w:pPr>
        <w:pStyle w:val="NormalHanging12a"/>
      </w:pPr>
      <w:r w:rsidRPr="00E3105D">
        <w:t>A.</w:t>
      </w:r>
      <w:r w:rsidRPr="00E3105D">
        <w:tab/>
        <w:t>whereas Regulation (EC) No 1085/2006 stipulates that aid is to be suspended in the event of non-compliance with democratic principles;</w:t>
      </w:r>
    </w:p>
    <w:p w14:paraId="5C7CC987" w14:textId="1ED0C751" w:rsidR="00ED2A42" w:rsidRPr="00E3105D" w:rsidRDefault="008A4D13" w:rsidP="00ED2A42">
      <w:pPr>
        <w:pStyle w:val="NormalHanging12a"/>
      </w:pPr>
      <w:r w:rsidRPr="00E3105D">
        <w:t>B.</w:t>
      </w:r>
      <w:r w:rsidRPr="00E3105D">
        <w:tab/>
        <w:t xml:space="preserve">whereas </w:t>
      </w:r>
      <w:r w:rsidR="00A06783">
        <w:t>European Court of Auditors Special Report No 07/2018</w:t>
      </w:r>
      <w:r w:rsidRPr="00E3105D">
        <w:t xml:space="preserve"> concludes that the funds spent have </w:t>
      </w:r>
      <w:r w:rsidR="00A06783">
        <w:t>d</w:t>
      </w:r>
      <w:r w:rsidR="00521A2A">
        <w:t>one little</w:t>
      </w:r>
      <w:r w:rsidR="00A06783">
        <w:t xml:space="preserve"> to address</w:t>
      </w:r>
      <w:r w:rsidRPr="00E3105D">
        <w:t xml:space="preserve"> a whole series of fundamental needs; </w:t>
      </w:r>
    </w:p>
    <w:p w14:paraId="3A4C25AF" w14:textId="1CF5BA5C" w:rsidR="00ED2A42" w:rsidRPr="00E3105D" w:rsidRDefault="008A4D13" w:rsidP="00ED2A42">
      <w:pPr>
        <w:pStyle w:val="NormalHanging12a"/>
      </w:pPr>
      <w:r w:rsidRPr="00E3105D">
        <w:t>C.</w:t>
      </w:r>
      <w:r w:rsidRPr="00E3105D">
        <w:tab/>
        <w:t xml:space="preserve">whereas Turkey received EUR 4.5 billion from the pre-accession instrument for the 2007-2013 period and roughly EUR 3.5 billion for the 2014-2020 period; </w:t>
      </w:r>
    </w:p>
    <w:p w14:paraId="164E8072" w14:textId="46763C94" w:rsidR="00ED2A42" w:rsidRPr="00E3105D" w:rsidRDefault="008A4D13" w:rsidP="00ED2A42">
      <w:pPr>
        <w:pStyle w:val="NormalHanging12a"/>
      </w:pPr>
      <w:r w:rsidRPr="00E3105D">
        <w:t>D.</w:t>
      </w:r>
      <w:r w:rsidRPr="00E3105D">
        <w:tab/>
        <w:t>whereas, in June 2019, the Council of the</w:t>
      </w:r>
      <w:r w:rsidR="00F56561">
        <w:t xml:space="preserve"> European Union announced</w:t>
      </w:r>
      <w:bookmarkStart w:id="0" w:name="_GoBack"/>
      <w:bookmarkEnd w:id="0"/>
      <w:r w:rsidRPr="00E3105D">
        <w:t xml:space="preserve"> that the accession negotiations with Turkey had come to a standstill, and no progress has been made since</w:t>
      </w:r>
      <w:r w:rsidR="00A06783">
        <w:t xml:space="preserve"> then</w:t>
      </w:r>
      <w:r w:rsidRPr="00E3105D">
        <w:t>;</w:t>
      </w:r>
    </w:p>
    <w:p w14:paraId="5CA24F08" w14:textId="2C4FADE3" w:rsidR="00ED2A42" w:rsidRPr="00E3105D" w:rsidRDefault="008A4D13" w:rsidP="00ED2A42">
      <w:pPr>
        <w:pStyle w:val="NormalHanging12a"/>
      </w:pPr>
      <w:r w:rsidRPr="00E3105D">
        <w:t>E.</w:t>
      </w:r>
      <w:r w:rsidRPr="00E3105D">
        <w:tab/>
        <w:t xml:space="preserve">whereas it is highly unlikely that </w:t>
      </w:r>
      <w:r w:rsidR="00A06783">
        <w:t xml:space="preserve">Turkey will ever join </w:t>
      </w:r>
      <w:r w:rsidRPr="00E3105D">
        <w:t>the European Union;</w:t>
      </w:r>
    </w:p>
    <w:p w14:paraId="59BED9E5" w14:textId="760C95FC" w:rsidR="00ED2A42" w:rsidRPr="00E3105D" w:rsidRDefault="00ED2A42" w:rsidP="00ED2A42">
      <w:pPr>
        <w:pStyle w:val="NormalHanging12a"/>
      </w:pPr>
      <w:r w:rsidRPr="00E3105D">
        <w:t>1.</w:t>
      </w:r>
      <w:r w:rsidRPr="00E3105D">
        <w:tab/>
        <w:t>Instructs the Commission to request the recovery of funds that were not required because accession to the EU did not come about;</w:t>
      </w:r>
    </w:p>
    <w:p w14:paraId="09BA06ED" w14:textId="77777777" w:rsidR="00ED2A42" w:rsidRPr="00E3105D" w:rsidRDefault="00ED2A42" w:rsidP="00ED2A42">
      <w:pPr>
        <w:pStyle w:val="NormalHanging12a"/>
      </w:pPr>
      <w:r w:rsidRPr="00E3105D">
        <w:t>2.</w:t>
      </w:r>
      <w:r w:rsidRPr="00E3105D">
        <w:tab/>
        <w:t>Instructs the Commission also to request the recovery of funds used negligently;</w:t>
      </w:r>
    </w:p>
    <w:p w14:paraId="40A878AE" w14:textId="77777777" w:rsidR="00ED2A42" w:rsidRPr="00E3105D" w:rsidRDefault="00ED2A42" w:rsidP="00ED2A42">
      <w:pPr>
        <w:pStyle w:val="NormalHanging12a"/>
      </w:pPr>
      <w:r w:rsidRPr="00E3105D">
        <w:t>3.</w:t>
      </w:r>
      <w:r w:rsidRPr="00E3105D">
        <w:tab/>
        <w:t>Instructs its President to forward this resolution to the Council, the European Council and the Commission.</w:t>
      </w:r>
    </w:p>
    <w:p w14:paraId="1A2A8919" w14:textId="77777777" w:rsidR="009E0216" w:rsidRPr="00E3105D" w:rsidRDefault="009E0216" w:rsidP="00ED2A42">
      <w:pPr>
        <w:pStyle w:val="NormalHanging12a"/>
      </w:pPr>
    </w:p>
    <w:sectPr w:rsidR="009E0216" w:rsidRPr="00E3105D" w:rsidSect="00E3105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A98D" w14:textId="77777777" w:rsidR="00815D56" w:rsidRPr="00E3105D" w:rsidRDefault="00815D56">
      <w:r w:rsidRPr="00E3105D">
        <w:separator/>
      </w:r>
    </w:p>
  </w:endnote>
  <w:endnote w:type="continuationSeparator" w:id="0">
    <w:p w14:paraId="28A1812F" w14:textId="77777777" w:rsidR="00815D56" w:rsidRPr="00E3105D" w:rsidRDefault="00815D56">
      <w:r w:rsidRPr="00E310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EE78" w14:textId="7E72974B" w:rsidR="00E3105D" w:rsidRPr="00E3105D" w:rsidRDefault="00E3105D" w:rsidP="00E3105D">
    <w:pPr>
      <w:pStyle w:val="EPFooter"/>
    </w:pPr>
    <w:r w:rsidRPr="00E3105D">
      <w:t>PE</w:t>
    </w:r>
    <w:r w:rsidRPr="00E3105D">
      <w:rPr>
        <w:rStyle w:val="HideTWBExt"/>
        <w:noProof w:val="0"/>
      </w:rPr>
      <w:t>&lt;NoPE&gt;</w:t>
    </w:r>
    <w:r w:rsidRPr="00E3105D">
      <w:t>689.047</w:t>
    </w:r>
    <w:r w:rsidRPr="00E3105D">
      <w:rPr>
        <w:rStyle w:val="HideTWBExt"/>
        <w:noProof w:val="0"/>
      </w:rPr>
      <w:t>&lt;/NoPE&gt;&lt;Version&gt;</w:t>
    </w:r>
    <w:r w:rsidRPr="00E3105D">
      <w:t>v01-00</w:t>
    </w:r>
    <w:r w:rsidRPr="00E3105D">
      <w:rPr>
        <w:rStyle w:val="HideTWBExt"/>
        <w:noProof w:val="0"/>
      </w:rPr>
      <w:t>&lt;/Version&gt;</w:t>
    </w:r>
    <w:r w:rsidRPr="00E3105D">
      <w:tab/>
    </w:r>
    <w:r w:rsidRPr="00E3105D">
      <w:fldChar w:fldCharType="begin"/>
    </w:r>
    <w:r w:rsidRPr="00E3105D">
      <w:instrText xml:space="preserve"> PAGE  \* MERGEFORMAT </w:instrText>
    </w:r>
    <w:r w:rsidRPr="00E3105D">
      <w:fldChar w:fldCharType="separate"/>
    </w:r>
    <w:r w:rsidR="000A57C0">
      <w:rPr>
        <w:noProof/>
      </w:rPr>
      <w:t>2</w:t>
    </w:r>
    <w:r w:rsidRPr="00E3105D">
      <w:fldChar w:fldCharType="end"/>
    </w:r>
    <w:r w:rsidRPr="00E3105D">
      <w:t>/</w:t>
    </w:r>
    <w:fldSimple w:instr=" NUMPAGES  \* MERGEFORMAT ">
      <w:r w:rsidR="000A57C0">
        <w:rPr>
          <w:noProof/>
        </w:rPr>
        <w:t>2</w:t>
      </w:r>
    </w:fldSimple>
    <w:r w:rsidRPr="00E3105D">
      <w:tab/>
    </w:r>
    <w:r w:rsidRPr="00E3105D">
      <w:rPr>
        <w:rStyle w:val="HideTWBExt"/>
        <w:noProof w:val="0"/>
      </w:rPr>
      <w:t>&lt;PathFdR&gt;</w:t>
    </w:r>
    <w:r w:rsidRPr="00E3105D">
      <w:t>RE\1226348EN.docx</w:t>
    </w:r>
    <w:r w:rsidRPr="00E3105D">
      <w:rPr>
        <w:rStyle w:val="HideTWBExt"/>
        <w:noProof w:val="0"/>
      </w:rPr>
      <w:t>&lt;/PathFdR&gt;</w:t>
    </w:r>
  </w:p>
  <w:p w14:paraId="1B405BA7" w14:textId="66BD3207" w:rsidR="00A07592" w:rsidRPr="00E3105D" w:rsidRDefault="00E3105D" w:rsidP="00E3105D">
    <w:pPr>
      <w:pStyle w:val="EPFooter2"/>
    </w:pPr>
    <w:r w:rsidRPr="00E3105D">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1ACB" w14:textId="30C3A10C" w:rsidR="00E3105D" w:rsidRPr="00E3105D" w:rsidRDefault="00E3105D" w:rsidP="00E3105D">
    <w:pPr>
      <w:pStyle w:val="EPFooter"/>
    </w:pPr>
    <w:r w:rsidRPr="00E3105D">
      <w:rPr>
        <w:rStyle w:val="HideTWBExt"/>
        <w:noProof w:val="0"/>
      </w:rPr>
      <w:t>&lt;PathFdR&gt;</w:t>
    </w:r>
    <w:r w:rsidRPr="00E3105D">
      <w:t>RE\1226348EN.docx</w:t>
    </w:r>
    <w:r w:rsidRPr="00E3105D">
      <w:rPr>
        <w:rStyle w:val="HideTWBExt"/>
        <w:noProof w:val="0"/>
      </w:rPr>
      <w:t>&lt;/PathFdR&gt;</w:t>
    </w:r>
    <w:r w:rsidRPr="00E3105D">
      <w:tab/>
    </w:r>
    <w:r w:rsidRPr="00E3105D">
      <w:fldChar w:fldCharType="begin"/>
    </w:r>
    <w:r w:rsidRPr="00E3105D">
      <w:instrText xml:space="preserve"> PAGE  \* MERGEFORMAT </w:instrText>
    </w:r>
    <w:r w:rsidRPr="00E3105D">
      <w:fldChar w:fldCharType="separate"/>
    </w:r>
    <w:r w:rsidR="000A57C0">
      <w:rPr>
        <w:noProof/>
      </w:rPr>
      <w:t>2</w:t>
    </w:r>
    <w:r w:rsidRPr="00E3105D">
      <w:fldChar w:fldCharType="end"/>
    </w:r>
    <w:r w:rsidRPr="00E3105D">
      <w:t>/</w:t>
    </w:r>
    <w:fldSimple w:instr=" NUMPAGES  \* MERGEFORMAT ">
      <w:r w:rsidR="000A57C0">
        <w:rPr>
          <w:noProof/>
        </w:rPr>
        <w:t>2</w:t>
      </w:r>
    </w:fldSimple>
    <w:r w:rsidRPr="00E3105D">
      <w:tab/>
      <w:t>PE</w:t>
    </w:r>
    <w:r w:rsidRPr="00E3105D">
      <w:rPr>
        <w:rStyle w:val="HideTWBExt"/>
        <w:noProof w:val="0"/>
      </w:rPr>
      <w:t>&lt;NoPE&gt;</w:t>
    </w:r>
    <w:r w:rsidRPr="00E3105D">
      <w:t>689.047</w:t>
    </w:r>
    <w:r w:rsidRPr="00E3105D">
      <w:rPr>
        <w:rStyle w:val="HideTWBExt"/>
        <w:noProof w:val="0"/>
      </w:rPr>
      <w:t>&lt;/NoPE&gt;&lt;Version&gt;</w:t>
    </w:r>
    <w:r w:rsidRPr="00E3105D">
      <w:t>v01-00</w:t>
    </w:r>
    <w:r w:rsidRPr="00E3105D">
      <w:rPr>
        <w:rStyle w:val="HideTWBExt"/>
        <w:noProof w:val="0"/>
      </w:rPr>
      <w:t>&lt;/Version&gt;</w:t>
    </w:r>
  </w:p>
  <w:p w14:paraId="1EBE52DF" w14:textId="14A5F8FD" w:rsidR="00A07592" w:rsidRPr="00E3105D" w:rsidRDefault="00E3105D" w:rsidP="00E3105D">
    <w:pPr>
      <w:pStyle w:val="EPFooter2"/>
    </w:pPr>
    <w:r w:rsidRPr="00E3105D">
      <w:tab/>
    </w:r>
    <w:r w:rsidRPr="00E3105D">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DDF5" w14:textId="77777777" w:rsidR="00E3105D" w:rsidRPr="00E3105D" w:rsidRDefault="00E3105D" w:rsidP="00E3105D">
    <w:pPr>
      <w:pStyle w:val="EPFooter"/>
    </w:pPr>
    <w:r w:rsidRPr="00E3105D">
      <w:rPr>
        <w:rStyle w:val="HideTWBExt"/>
        <w:noProof w:val="0"/>
      </w:rPr>
      <w:t>&lt;PathFdR&gt;</w:t>
    </w:r>
    <w:r w:rsidRPr="00E3105D">
      <w:t>RE\1226348EN.docx</w:t>
    </w:r>
    <w:r w:rsidRPr="00E3105D">
      <w:rPr>
        <w:rStyle w:val="HideTWBExt"/>
        <w:noProof w:val="0"/>
      </w:rPr>
      <w:t>&lt;/PathFdR&gt;</w:t>
    </w:r>
    <w:r w:rsidRPr="00E3105D">
      <w:tab/>
    </w:r>
    <w:r w:rsidRPr="00E3105D">
      <w:tab/>
      <w:t>PE</w:t>
    </w:r>
    <w:r w:rsidRPr="00E3105D">
      <w:rPr>
        <w:rStyle w:val="HideTWBExt"/>
        <w:noProof w:val="0"/>
      </w:rPr>
      <w:t>&lt;NoPE&gt;</w:t>
    </w:r>
    <w:r w:rsidRPr="00E3105D">
      <w:t>689.047</w:t>
    </w:r>
    <w:r w:rsidRPr="00E3105D">
      <w:rPr>
        <w:rStyle w:val="HideTWBExt"/>
        <w:noProof w:val="0"/>
      </w:rPr>
      <w:t>&lt;/NoPE&gt;&lt;Version&gt;</w:t>
    </w:r>
    <w:r w:rsidRPr="00E3105D">
      <w:t>v01-00</w:t>
    </w:r>
    <w:r w:rsidRPr="00E3105D">
      <w:rPr>
        <w:rStyle w:val="HideTWBExt"/>
        <w:noProof w:val="0"/>
      </w:rPr>
      <w:t>&lt;/Version&gt;</w:t>
    </w:r>
  </w:p>
  <w:p w14:paraId="08C87886" w14:textId="530CBE97" w:rsidR="00A07592" w:rsidRPr="00E3105D" w:rsidRDefault="00E3105D" w:rsidP="00E3105D">
    <w:pPr>
      <w:pStyle w:val="EPFooter2"/>
    </w:pPr>
    <w:r w:rsidRPr="00E3105D">
      <w:t>EN</w:t>
    </w:r>
    <w:r w:rsidRPr="00E3105D">
      <w:tab/>
    </w:r>
    <w:r w:rsidRPr="00E3105D">
      <w:rPr>
        <w:b w:val="0"/>
        <w:i/>
        <w:color w:val="C0C0C0"/>
        <w:sz w:val="22"/>
      </w:rPr>
      <w:t>United in diversity</w:t>
    </w:r>
    <w:r w:rsidRPr="00E3105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8142B" w14:textId="77777777" w:rsidR="00815D56" w:rsidRPr="00E3105D" w:rsidRDefault="00815D56">
      <w:r w:rsidRPr="00E3105D">
        <w:separator/>
      </w:r>
    </w:p>
  </w:footnote>
  <w:footnote w:type="continuationSeparator" w:id="0">
    <w:p w14:paraId="3F9D3EB8" w14:textId="77777777" w:rsidR="00815D56" w:rsidRPr="00E3105D" w:rsidRDefault="00815D56">
      <w:r w:rsidRPr="00E310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47D1" w14:textId="77777777" w:rsidR="00A06783" w:rsidRDefault="00A0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B02D" w14:textId="77777777" w:rsidR="00A06783" w:rsidRDefault="00A0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0773" w14:textId="77777777" w:rsidR="00A06783" w:rsidRDefault="00A0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RE_Motions"/>
    <w:docVar w:name="strSubDir" w:val="1226"/>
    <w:docVar w:name="TXTLANGUE" w:val="EN"/>
    <w:docVar w:name="TXTLANGUEMIN" w:val="en"/>
    <w:docVar w:name="TXTNRB" w:val="0172/2021"/>
    <w:docVar w:name="TXTNRPE" w:val="689.047"/>
    <w:docVar w:name="TXTPEorAP" w:val="PE"/>
    <w:docVar w:name="TXTROUTE" w:val="RE\1226348EN.docx"/>
    <w:docVar w:name="TXTTITLE" w:val="la restitution des fonds alloués à la Turquie dans le cadre de l’Instrument de Pré-adhésion, compte tenu d’une volonté de pré-adhesion obsolète désormais à l’arrêt, d’une suppression dudit programme dans l’actuel CFP."/>
    <w:docVar w:name="TXTVERSION" w:val="01-00"/>
  </w:docVars>
  <w:rsids>
    <w:rsidRoot w:val="00815D56"/>
    <w:rsid w:val="00000FD2"/>
    <w:rsid w:val="000124FB"/>
    <w:rsid w:val="000412B1"/>
    <w:rsid w:val="000533A9"/>
    <w:rsid w:val="0006169B"/>
    <w:rsid w:val="00064883"/>
    <w:rsid w:val="0008008E"/>
    <w:rsid w:val="000A57C0"/>
    <w:rsid w:val="000A6B85"/>
    <w:rsid w:val="000D5558"/>
    <w:rsid w:val="001059C3"/>
    <w:rsid w:val="001552C4"/>
    <w:rsid w:val="00174AD1"/>
    <w:rsid w:val="00187D9D"/>
    <w:rsid w:val="001B66B3"/>
    <w:rsid w:val="001F68B6"/>
    <w:rsid w:val="001F70F5"/>
    <w:rsid w:val="00216E78"/>
    <w:rsid w:val="00244E57"/>
    <w:rsid w:val="002D775F"/>
    <w:rsid w:val="00330510"/>
    <w:rsid w:val="003809E3"/>
    <w:rsid w:val="00491B75"/>
    <w:rsid w:val="00493C74"/>
    <w:rsid w:val="004E5768"/>
    <w:rsid w:val="00521A2A"/>
    <w:rsid w:val="005750D7"/>
    <w:rsid w:val="005C43FA"/>
    <w:rsid w:val="005F6AC2"/>
    <w:rsid w:val="00616049"/>
    <w:rsid w:val="00624660"/>
    <w:rsid w:val="00641954"/>
    <w:rsid w:val="00645AF5"/>
    <w:rsid w:val="00667D71"/>
    <w:rsid w:val="006E4AD9"/>
    <w:rsid w:val="00744C9F"/>
    <w:rsid w:val="00755F71"/>
    <w:rsid w:val="007603B6"/>
    <w:rsid w:val="0079095D"/>
    <w:rsid w:val="0079119A"/>
    <w:rsid w:val="007A1CBE"/>
    <w:rsid w:val="007E176C"/>
    <w:rsid w:val="00815D56"/>
    <w:rsid w:val="00836653"/>
    <w:rsid w:val="008450C6"/>
    <w:rsid w:val="0088655A"/>
    <w:rsid w:val="008A4D13"/>
    <w:rsid w:val="008D08D4"/>
    <w:rsid w:val="008F547D"/>
    <w:rsid w:val="00931C2C"/>
    <w:rsid w:val="00932577"/>
    <w:rsid w:val="00941EBE"/>
    <w:rsid w:val="00957BE4"/>
    <w:rsid w:val="00975A15"/>
    <w:rsid w:val="009E0216"/>
    <w:rsid w:val="00A06783"/>
    <w:rsid w:val="00A07592"/>
    <w:rsid w:val="00A40090"/>
    <w:rsid w:val="00A4761B"/>
    <w:rsid w:val="00A72EA5"/>
    <w:rsid w:val="00AD2BB8"/>
    <w:rsid w:val="00AE2DC2"/>
    <w:rsid w:val="00B563D5"/>
    <w:rsid w:val="00B76F1D"/>
    <w:rsid w:val="00BC4AB5"/>
    <w:rsid w:val="00BE030F"/>
    <w:rsid w:val="00BE1D57"/>
    <w:rsid w:val="00BF6483"/>
    <w:rsid w:val="00C2517B"/>
    <w:rsid w:val="00C40132"/>
    <w:rsid w:val="00C46BA9"/>
    <w:rsid w:val="00C55BEB"/>
    <w:rsid w:val="00DE1B65"/>
    <w:rsid w:val="00E00140"/>
    <w:rsid w:val="00E16CE1"/>
    <w:rsid w:val="00E3105D"/>
    <w:rsid w:val="00E54A13"/>
    <w:rsid w:val="00ED2A42"/>
    <w:rsid w:val="00F00D6D"/>
    <w:rsid w:val="00F11738"/>
    <w:rsid w:val="00F56561"/>
    <w:rsid w:val="00FA19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DB632"/>
  <w15:chartTrackingRefBased/>
  <w15:docId w15:val="{CEB82CD7-4DF6-4DEC-A4C8-18AA89C7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E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46BA9"/>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3809E3"/>
    <w:pPr>
      <w:ind w:left="1417"/>
    </w:pPr>
    <w:rPr>
      <w:b/>
    </w:rPr>
  </w:style>
  <w:style w:type="paragraph" w:customStyle="1" w:styleId="CoverNormal12a">
    <w:name w:val="CoverNormal12a"/>
    <w:basedOn w:val="Normal"/>
    <w:rsid w:val="00DE1B65"/>
    <w:pPr>
      <w:spacing w:after="240"/>
      <w:ind w:left="1418"/>
    </w:pPr>
  </w:style>
  <w:style w:type="paragraph" w:customStyle="1" w:styleId="CoverNormal24a">
    <w:name w:val="CoverNormal24a"/>
    <w:basedOn w:val="Normal"/>
    <w:rsid w:val="00DE1B65"/>
    <w:pPr>
      <w:spacing w:after="480"/>
      <w:ind w:left="1417"/>
    </w:pPr>
  </w:style>
  <w:style w:type="paragraph" w:customStyle="1" w:styleId="CoverDocType24a">
    <w:name w:val="CoverDocType24a"/>
    <w:basedOn w:val="Normal"/>
    <w:rsid w:val="001552C4"/>
    <w:pPr>
      <w:spacing w:after="480"/>
      <w:ind w:left="1418"/>
    </w:pPr>
    <w:rPr>
      <w:rFonts w:ascii="Arial" w:hAnsi="Arial"/>
      <w:b/>
      <w:sz w:val="48"/>
    </w:rPr>
  </w:style>
  <w:style w:type="paragraph" w:styleId="Header">
    <w:name w:val="header"/>
    <w:basedOn w:val="Normal"/>
    <w:link w:val="HeaderChar"/>
    <w:semiHidden/>
    <w:rsid w:val="00BE1D57"/>
    <w:pPr>
      <w:tabs>
        <w:tab w:val="center" w:pos="4513"/>
        <w:tab w:val="right" w:pos="9026"/>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F70F5"/>
    <w:pPr>
      <w:jc w:val="center"/>
    </w:pPr>
    <w:rPr>
      <w:rFonts w:ascii="Arial" w:hAnsi="Arial" w:cs="Arial"/>
      <w:i/>
      <w:sz w:val="22"/>
      <w:szCs w:val="22"/>
    </w:rPr>
  </w:style>
  <w:style w:type="paragraph" w:customStyle="1" w:styleId="LineTop">
    <w:name w:val="LineTop"/>
    <w:basedOn w:val="Normal"/>
    <w:next w:val="Normal"/>
    <w:rsid w:val="001F70F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44C9F"/>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1059C3"/>
    <w:pPr>
      <w:spacing w:before="80" w:after="80"/>
    </w:pPr>
    <w:rPr>
      <w:rFonts w:ascii="Arial Narrow" w:hAnsi="Arial Narrow" w:cs="Arial"/>
      <w:b/>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CoverReference">
    <w:name w:val="CoverReference"/>
    <w:basedOn w:val="Normal"/>
    <w:rsid w:val="00744C9F"/>
    <w:pPr>
      <w:spacing w:before="1080"/>
      <w:jc w:val="right"/>
    </w:pPr>
    <w:rPr>
      <w:rFonts w:ascii="Arial" w:hAnsi="Arial" w:cs="Arial"/>
      <w:b/>
    </w:rPr>
  </w:style>
  <w:style w:type="paragraph" w:customStyle="1" w:styleId="CoverDate">
    <w:name w:val="CoverDate"/>
    <w:basedOn w:val="Normal"/>
    <w:rsid w:val="00744C9F"/>
    <w:pPr>
      <w:spacing w:before="240" w:after="1200"/>
    </w:pPr>
  </w:style>
  <w:style w:type="paragraph" w:customStyle="1" w:styleId="EPFooter">
    <w:name w:val="EPFooter"/>
    <w:basedOn w:val="Normal"/>
    <w:rsid w:val="001552C4"/>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BE1D57"/>
    <w:rPr>
      <w:sz w:val="24"/>
    </w:rPr>
  </w:style>
  <w:style w:type="paragraph" w:customStyle="1" w:styleId="stitle-article-norm">
    <w:name w:val="stitle-article-norm"/>
    <w:basedOn w:val="Normal"/>
    <w:rsid w:val="00ED2A42"/>
    <w:pPr>
      <w:widowControl/>
      <w:spacing w:before="100" w:beforeAutospacing="1" w:after="100" w:afterAutospacing="1"/>
    </w:pPr>
    <w:rPr>
      <w:szCs w:val="24"/>
      <w:lang w:bidi="he-IL"/>
    </w:rPr>
  </w:style>
  <w:style w:type="paragraph" w:styleId="Footer">
    <w:name w:val="footer"/>
    <w:basedOn w:val="Normal"/>
    <w:link w:val="FooterChar"/>
    <w:semiHidden/>
    <w:rsid w:val="00ED2A42"/>
    <w:pPr>
      <w:tabs>
        <w:tab w:val="center" w:pos="4513"/>
        <w:tab w:val="right" w:pos="9026"/>
      </w:tabs>
    </w:pPr>
  </w:style>
  <w:style w:type="character" w:customStyle="1" w:styleId="FooterChar">
    <w:name w:val="Footer Char"/>
    <w:basedOn w:val="DefaultParagraphFont"/>
    <w:link w:val="Footer"/>
    <w:semiHidden/>
    <w:rsid w:val="00ED2A42"/>
    <w:rPr>
      <w:sz w:val="24"/>
      <w:lang w:val="en-GB"/>
    </w:rPr>
  </w:style>
  <w:style w:type="paragraph" w:styleId="BalloonText">
    <w:name w:val="Balloon Text"/>
    <w:basedOn w:val="Normal"/>
    <w:link w:val="BalloonTextChar"/>
    <w:semiHidden/>
    <w:unhideWhenUsed/>
    <w:rsid w:val="007E176C"/>
    <w:rPr>
      <w:rFonts w:ascii="Segoe UI" w:hAnsi="Segoe UI" w:cs="Segoe UI"/>
      <w:sz w:val="18"/>
      <w:szCs w:val="18"/>
    </w:rPr>
  </w:style>
  <w:style w:type="character" w:customStyle="1" w:styleId="BalloonTextChar">
    <w:name w:val="Balloon Text Char"/>
    <w:basedOn w:val="DefaultParagraphFont"/>
    <w:link w:val="BalloonText"/>
    <w:semiHidden/>
    <w:rsid w:val="007E176C"/>
    <w:rPr>
      <w:rFonts w:ascii="Segoe UI" w:hAnsi="Segoe UI" w:cs="Segoe UI"/>
      <w:sz w:val="18"/>
      <w:szCs w:val="18"/>
      <w:lang w:val="en-GB"/>
    </w:rPr>
  </w:style>
  <w:style w:type="character" w:styleId="CommentReference">
    <w:name w:val="annotation reference"/>
    <w:basedOn w:val="DefaultParagraphFont"/>
    <w:rsid w:val="00493C74"/>
    <w:rPr>
      <w:sz w:val="16"/>
      <w:szCs w:val="16"/>
    </w:rPr>
  </w:style>
  <w:style w:type="paragraph" w:styleId="CommentText">
    <w:name w:val="annotation text"/>
    <w:basedOn w:val="Normal"/>
    <w:link w:val="CommentTextChar"/>
    <w:rsid w:val="00493C74"/>
    <w:rPr>
      <w:sz w:val="20"/>
    </w:rPr>
  </w:style>
  <w:style w:type="character" w:customStyle="1" w:styleId="CommentTextChar">
    <w:name w:val="Comment Text Char"/>
    <w:basedOn w:val="DefaultParagraphFont"/>
    <w:link w:val="CommentText"/>
    <w:rsid w:val="00493C74"/>
    <w:rPr>
      <w:lang w:val="en-GB"/>
    </w:rPr>
  </w:style>
  <w:style w:type="paragraph" w:styleId="CommentSubject">
    <w:name w:val="annotation subject"/>
    <w:basedOn w:val="CommentText"/>
    <w:next w:val="CommentText"/>
    <w:link w:val="CommentSubjectChar"/>
    <w:semiHidden/>
    <w:unhideWhenUsed/>
    <w:rsid w:val="00493C74"/>
    <w:rPr>
      <w:b/>
      <w:bCs/>
    </w:rPr>
  </w:style>
  <w:style w:type="character" w:customStyle="1" w:styleId="CommentSubjectChar">
    <w:name w:val="Comment Subject Char"/>
    <w:basedOn w:val="CommentTextChar"/>
    <w:link w:val="CommentSubject"/>
    <w:semiHidden/>
    <w:rsid w:val="00493C74"/>
    <w:rPr>
      <w:b/>
      <w:bCs/>
      <w:lang w:val="en-GB"/>
    </w:rPr>
  </w:style>
  <w:style w:type="paragraph" w:styleId="Revision">
    <w:name w:val="Revision"/>
    <w:hidden/>
    <w:uiPriority w:val="99"/>
    <w:semiHidden/>
    <w:rsid w:val="00493C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1851</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MARTÍNEZ BENITO Sara</dc:creator>
  <cp:keywords/>
  <dc:description/>
  <cp:lastModifiedBy>WALKER Andrew</cp:lastModifiedBy>
  <cp:revision>2</cp:revision>
  <cp:lastPrinted>2021-03-09T08:25:00Z</cp:lastPrinted>
  <dcterms:created xsi:type="dcterms:W3CDTF">2021-03-18T14:17:00Z</dcterms:created>
  <dcterms:modified xsi:type="dcterms:W3CDTF">2021-03-18T14:17:00Z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1226348</vt:lpwstr>
  </property>
  <property fmtid="{D5CDD505-2E9C-101B-9397-08002B2CF9AE}" pid="5" name="&lt;Type&gt;">
    <vt:lpwstr>RE</vt:lpwstr>
  </property>
  <property fmtid="{D5CDD505-2E9C-101B-9397-08002B2CF9AE}" pid="6" name="&lt;ModelCod&gt;">
    <vt:lpwstr>\\eiciLUXpr1\pdocep$\DocEP\DOCS\General\RE\RE_Motions.dotx(17/04/2020 18:29:05)</vt:lpwstr>
  </property>
  <property fmtid="{D5CDD505-2E9C-101B-9397-08002B2CF9AE}" pid="7" name="&lt;ModelTra&gt;">
    <vt:lpwstr>\\eiciLUXpr1\pdocep$\DocEP\TRANSFIL\FR\RE_Motions.FR(24/10/2019 15:45:12)</vt:lpwstr>
  </property>
  <property fmtid="{D5CDD505-2E9C-101B-9397-08002B2CF9AE}" pid="8" name="&lt;Model&gt;">
    <vt:lpwstr>RE_Motions</vt:lpwstr>
  </property>
  <property fmtid="{D5CDD505-2E9C-101B-9397-08002B2CF9AE}" pid="9" name="FooterPath">
    <vt:lpwstr>RE\1226348EN.docx</vt:lpwstr>
  </property>
  <property fmtid="{D5CDD505-2E9C-101B-9397-08002B2CF9AE}" pid="10" name="PE number">
    <vt:lpwstr>689.047</vt:lpwstr>
  </property>
  <property fmtid="{D5CDD505-2E9C-101B-9397-08002B2CF9AE}" pid="11" name="Bookout">
    <vt:lpwstr>OK - 2021/03/18 15:17</vt:lpwstr>
  </property>
  <property fmtid="{D5CDD505-2E9C-101B-9397-08002B2CF9AE}" pid="12" name="SDLStudio">
    <vt:lpwstr/>
  </property>
  <property fmtid="{D5CDD505-2E9C-101B-9397-08002B2CF9AE}" pid="13" name="&lt;Extension&gt;">
    <vt:lpwstr>EN</vt:lpwstr>
  </property>
</Properties>
</file>