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Eiropas Parlaments</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15019"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{BUDG}</w:t>
      </w:r>
      <w:r>
        <w:t>Budžeta komiteja</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2020/0101</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(COD)</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20/07/2020</w:t>
      </w:r>
      <w:r>
        <w:rPr>
          <w:rStyle w:val="HideTWBInt"/>
        </w:rPr>
        <w:t>}</w:t>
      </w:r>
      <w:r>
        <w:t>20.7.2020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GROZĪJUMI Nr.</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17 - 96</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Atzinuma projekts</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Karlo Ressler</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PE653.948v01-00</w:t>
      </w:r>
      <w:r>
        <w:t>)</w:t>
      </w:r>
      <w:r>
        <w:rPr>
          <w:rStyle w:val="HideTWBExt"/>
        </w:rPr>
        <w:t>&lt;/</w:t>
      </w:r>
      <w:r>
        <w:rPr>
          <w:rStyle w:val="HideTWBExt"/>
        </w:rPr>
        <w:t>DocRefPE</w:t>
      </w:r>
      <w:r>
        <w:rPr>
          <w:rStyle w:val="HideTWBExt"/>
        </w:rPr>
        <w:t>&gt;</w:t>
      </w:r>
    </w:p>
    <w:p>
      <w:pPr>
        <w:pStyle w:val="CoverNormal24a"/>
      </w:pPr>
      <w:r>
        <w:rPr>
          <w:rStyle w:val="HideTWBExt"/>
        </w:rPr>
        <w:t>&lt;</w:t>
      </w:r>
      <w:r>
        <w:rPr>
          <w:rStyle w:val="HideTWBExt"/>
        </w:rPr>
        <w:t>Titre</w:t>
      </w:r>
      <w:r>
        <w:rPr>
          <w:rStyle w:val="HideTWBExt"/>
        </w:rPr>
        <w:t>&gt;</w:t>
      </w:r>
      <w:r>
        <w:t>Priekšlikums, ar ko Regulu (ES) Nr. 1303/2013 groza attiecībā uz ārkārtas papildu resursiem un īstenošanas kārtību mērķim “Investīcijas izaugsmei un nodarbinātībai”, lai palīdzētu veicināt ar Covid-19 pandēmiju saistītās krīzes seku pārvarēšanu un sagatavoties zaļai, digitālai un noturīgai ekonomikas atveseļošanai (REACT-EU)</w:t>
      </w:r>
      <w:r>
        <w:rPr>
          <w:rStyle w:val="HideTWBExt"/>
        </w:rPr>
        <w:t>&lt;/</w:t>
      </w:r>
      <w:r>
        <w:rPr>
          <w:rStyle w:val="HideTWBExt"/>
        </w:rPr>
        <w:t>Titre</w:t>
      </w:r>
      <w:r>
        <w:rPr>
          <w:rStyle w:val="HideTWBExt"/>
        </w:rPr>
        <w:t>&gt;</w:t>
      </w:r>
    </w:p>
    <w:p>
      <w:pPr>
        <w:pStyle w:val="CoverNormal"/>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CoverNormal24a"/>
      </w:pPr>
      <w:r>
        <w:rPr>
          <w:rStyle w:val="HideTWBExt"/>
        </w:rPr>
        <w:t>&lt;</w:t>
      </w:r>
      <w:r>
        <w:rPr>
          <w:rStyle w:val="HideTWBExt"/>
        </w:rPr>
        <w:t>DocRef</w:t>
      </w:r>
      <w:r>
        <w:rPr>
          <w:rStyle w:val="HideTWBExt"/>
        </w:rPr>
        <w:t>&gt;</w:t>
      </w:r>
      <w:r>
        <w:t>(</w:t>
      </w:r>
      <w:r>
        <w:t>COM(2020)0451</w:t>
      </w:r>
      <w:r>
        <w:t xml:space="preserve"> – </w:t>
      </w:r>
      <w:r>
        <w:t>C9-0149/2020</w:t>
      </w:r>
      <w:r>
        <w:t xml:space="preserve"> – </w:t>
      </w:r>
      <w:r>
        <w:t>2020/0101(COD)</w:t>
      </w:r>
      <w:r>
        <w:t>)</w:t>
      </w:r>
      <w:r>
        <w:rPr>
          <w:rStyle w:val="HideTWBExt"/>
        </w:rPr>
        <w:t>&lt;/</w:t>
      </w:r>
      <w:r>
        <w:rPr>
          <w:rStyle w:val="HideTWBExt"/>
        </w:rPr>
        <w:t>DocRef</w:t>
      </w:r>
      <w:r>
        <w:rPr>
          <w:rStyle w:val="HideTWBExt"/>
        </w:rPr>
        <w:t>&gt;</w:t>
      </w:r>
    </w:p>
    <w:p>
      <w:r>
        <w:br w:type="page"/>
      </w:r>
      <w:r>
        <w:t>AM_Com_LegOpinion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Covid-19 pandēmijas seku dēļ dalībvalstis ir saskārušās ar vēl nepieredzētu krīzi. Krīze kavē izaugsmi dalībvalstīs, savukārt tas saasina nopietno likviditātes iztrūkumu, jo veselības aprūpes sistēmās un citās ekonomikas nozarēs pēkšņi nepieciešamas ievērojami lielākas publiskās investīcijas. Tādējādi ir izveidojusies ārkārtas situācija, kas jārisina ar īpašiem pasākumiem.</w:t>
            </w:r>
          </w:p>
        </w:tc>
        <w:tc>
          <w:tcPr>
            <w:tcW w:w="4876" w:type="dxa"/>
            <w:vAlign w:val="top"/>
          </w:tcPr>
          <w:p>
            <w:pPr>
              <w:pStyle w:val="Normal6a"/>
            </w:pPr>
            <w:r>
              <w:t>(1)</w:t>
            </w:r>
            <w:r>
              <w:tab/>
            </w:r>
            <w:r>
              <w:t>Covid-19 pandēmijas seku dēļ dalībvalstis ir saskārušās ar vēl nepieredzētu krīzi. Krīze kavē izaugsmi dalībvalstīs, savukārt tas saasina nopietno likviditātes iztrūkumu, jo veselības aprūpes sistēmās un citās ekonomikas nozarēs pēkšņi nepieciešamas ievērojami lielākas publiskās investīcijas. Tādējādi ir izveidojusies ārkārtas situācija, kas jārisina ar īpašiem pasākumiem</w:t>
            </w:r>
            <w:r>
              <w:rPr>
                <w:rFonts w:ascii="Times New Roman" w:eastAsia="Times New Roman" w:hAnsi="Times New Roman" w:cs="Times New Roman"/>
                <w:b/>
                <w:i/>
                <w:strike w:val="0"/>
                <w:color w:val="auto"/>
                <w:sz w:val="24"/>
                <w:highlight w:val="none"/>
                <w:u w:val="none" w:color="auto"/>
                <w:vertAlign w:val="baseline"/>
              </w:rPr>
              <w:t>, kuru nolūks ir atbalstīt noturīgu izaugsmi un kvalitatīvu un ilgtspējīgu darbvietu radīšanu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Covid-19 </w:t>
            </w:r>
            <w:r>
              <w:rPr>
                <w:rFonts w:ascii="Times New Roman" w:eastAsia="Times New Roman" w:hAnsi="Times New Roman" w:cs="Times New Roman"/>
                <w:b/>
                <w:i/>
                <w:strike w:val="0"/>
                <w:color w:val="auto"/>
                <w:sz w:val="24"/>
                <w:highlight w:val="none"/>
                <w:u w:val="none" w:color="auto"/>
                <w:vertAlign w:val="baseline"/>
              </w:rPr>
              <w:t>pandēmijas</w:t>
            </w:r>
            <w:r>
              <w:t xml:space="preserve"> seku dēļ dalībvalstis ir saskārušās ar vēl nepieredzētu krīzi. Krīze kavē izaugsmi dalībvalstīs, savukārt tas saasina nopietno likviditātes iztrūkumu, jo veselības aprūpes sistēmās un citās ekonomikas nozarēs pēkšņi nepieciešamas ievērojami lielākas publiskās investīcijas. Tādējādi ir izveidojusies ārkārtas situācija, kas jārisina ar īpašiem pasākumiem.</w:t>
            </w:r>
          </w:p>
        </w:tc>
        <w:tc>
          <w:tcPr>
            <w:tcW w:w="4876" w:type="dxa"/>
            <w:vAlign w:val="top"/>
          </w:tcPr>
          <w:p>
            <w:pPr>
              <w:pStyle w:val="Normal6a"/>
            </w:pPr>
            <w:r>
              <w:t>(1)</w:t>
            </w:r>
            <w:r>
              <w:tab/>
            </w:r>
            <w:r>
              <w:t xml:space="preserve">Covid-19 seku dēļ dalībvalstis ir saskārušās ar vēl nepieredzētu </w:t>
            </w:r>
            <w:r>
              <w:rPr>
                <w:rFonts w:ascii="Times New Roman" w:eastAsia="Times New Roman" w:hAnsi="Times New Roman" w:cs="Times New Roman"/>
                <w:b/>
                <w:i/>
                <w:strike w:val="0"/>
                <w:color w:val="auto"/>
                <w:sz w:val="24"/>
                <w:highlight w:val="none"/>
                <w:u w:val="none" w:color="auto"/>
                <w:vertAlign w:val="baseline"/>
              </w:rPr>
              <w:t>pandēmiju un sociālekonomisku</w:t>
            </w:r>
            <w:r>
              <w:t xml:space="preserve"> krīzi. Krīze kavē izaugsmi dalībvalstīs, savukārt tas saasina nopietno likviditātes iztrūkumu, jo veselības aprūpes sistēmās un citās ekonomikas nozarēs</w:t>
            </w:r>
            <w:r>
              <w:rPr>
                <w:rFonts w:ascii="Times New Roman" w:eastAsia="Times New Roman" w:hAnsi="Times New Roman" w:cs="Times New Roman"/>
                <w:b/>
                <w:i/>
                <w:strike w:val="0"/>
                <w:color w:val="auto"/>
                <w:sz w:val="24"/>
                <w:highlight w:val="none"/>
                <w:u w:val="none" w:color="auto"/>
                <w:vertAlign w:val="baseline"/>
              </w:rPr>
              <w:t>, kā arī sociālās krīzes seku mazināšanas nolūkā</w:t>
            </w:r>
            <w:r>
              <w:t xml:space="preserve"> pēkšņi nepieciešamas ievērojami lielākas publiskās investīcijas. Tādējādi ir izveidojusies ārkārtas situācija, kas jārisina ar īpašiem pasākumiem.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Lai reaģētu uz krīzes ietekmi un dotu lielāku elastību no Eiropas Reģionālās attīstības fonda (ERAF), Eiropas Sociālā fonda (ESF) un Kohēzijas fonda (turpmāk “fondi”) un Eiropas Jūrlietu un zivsaimniecības fonda (EJZF) atbalstīto darbības programmu īstenošanā, 2020. gada 30. martā tika grozīta Regula (ES) Nr. 1303/2013 un Regula (ES) Nr. 1301/2013. Tomēr, tā kā nopietnā negatīvā ietekme uz Savienības ekonomiku un sabiedrību pieņēmās spēkā, abas regulas 2020. gada 23. aprīlī tika grozītas vēlreiz, lai nodrošinātu ārkārtēju papildu elastību un tādējādi dalībvalstīm dotu iespēju koncentrēties uz vajadzīgo rīcību šajā nepieredzētajā krīzē, palielinot iespēju mobilizēt fondu neizmantoto atbalstu un vienkāršojot procedurālās prasības, kas saistītas ar programmu īstenošanu un revīzijām.</w:t>
            </w:r>
          </w:p>
        </w:tc>
        <w:tc>
          <w:tcPr>
            <w:tcW w:w="4876" w:type="dxa"/>
            <w:vAlign w:val="top"/>
          </w:tcPr>
          <w:p>
            <w:pPr>
              <w:pStyle w:val="Normal6a"/>
            </w:pPr>
            <w:r>
              <w:t>(2)</w:t>
            </w:r>
            <w:r>
              <w:tab/>
            </w:r>
            <w:r>
              <w:t xml:space="preserve">Lai reaģētu uz krīzes ietekmi un dotu lielāku elastību no Eiropas Reģionālās attīstības fonda (ERAF), Eiropas Sociālā fonda (ESF) un Kohēzijas fonda (turpmāk “fondi”) un Eiropas Jūrlietu un zivsaimniecības fonda (EJZF) atbalstīto darbības programmu īstenošanā, 2020. gada 30. martā tika grozīta Regula (ES) Nr. 1303/2013 un Regula (ES) Nr. 1301/2013. Tomēr, tā kā nopietnā negatīvā ietekme uz Savienības ekonomiku un sabiedrību pieņēmās spēkā, abas regulas 2020. gada 23. aprīlī tika grozītas vēlreiz, lai nodrošinātu ārkārtēju papildu elastību un tādējādi dalībvalstīm dotu iespēju koncentrēties uz vajadzīgo rīcību šajā nepieredzētajā krīzē, palielinot iespēju mobilizēt fondu neizmantoto atbalstu un vienkāršojot procedurālās prasības, kas saistītas ar programmu īstenošanu un revīzijām. </w:t>
            </w:r>
            <w:r>
              <w:rPr>
                <w:rFonts w:ascii="Times New Roman" w:eastAsia="Times New Roman" w:hAnsi="Times New Roman" w:cs="Times New Roman"/>
                <w:b/>
                <w:i/>
                <w:strike w:val="0"/>
                <w:color w:val="auto"/>
                <w:sz w:val="24"/>
                <w:highlight w:val="none"/>
                <w:u w:val="none" w:color="auto"/>
                <w:vertAlign w:val="baseline"/>
              </w:rPr>
              <w:t>Šai elastībai vajadzētu būt pagaidu pasākumam un saistītai tikai ar reaģēšanu uz koronavīrusu;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58 272 800 000</w:t>
            </w:r>
            <w:r>
              <w:t xml:space="preserve">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c>
          <w:tcPr>
            <w:tcW w:w="4876" w:type="dxa"/>
            <w:vAlign w:val="top"/>
          </w:tcPr>
          <w:p>
            <w:pPr>
              <w:pStyle w:val="Normal6a"/>
            </w:pPr>
            <w:r>
              <w:t>(5)</w:t>
            </w:r>
            <w:r>
              <w:tab/>
            </w:r>
            <w:r>
              <w:t xml:space="preserve">Lai atbalstītu dalībvalstis un reģionus, kurus visvairāk skāruši ar Covid-19 pandēmiju saistītie krīzes seku </w:t>
            </w:r>
            <w:r>
              <w:rPr>
                <w:rFonts w:ascii="Times New Roman" w:eastAsia="Times New Roman" w:hAnsi="Times New Roman" w:cs="Times New Roman"/>
                <w:b/>
                <w:i/>
                <w:strike w:val="0"/>
                <w:color w:val="auto"/>
                <w:sz w:val="24"/>
                <w:highlight w:val="none"/>
                <w:u w:val="none" w:color="auto"/>
                <w:vertAlign w:val="baseline"/>
              </w:rPr>
              <w:t>un jo īpaši tās sociālās ietekmes</w:t>
            </w:r>
            <w:r>
              <w:t xml:space="preserve">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58 272 800 000</w:t>
            </w:r>
            <w:r>
              <w:t>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w:t>
            </w:r>
            <w:r>
              <w:rPr>
                <w:rFonts w:ascii="Times New Roman" w:eastAsia="Times New Roman" w:hAnsi="Times New Roman" w:cs="Times New Roman"/>
                <w:b/>
                <w:i/>
                <w:strike w:val="0"/>
                <w:color w:val="auto"/>
                <w:sz w:val="24"/>
                <w:highlight w:val="none"/>
                <w:u w:val="none" w:color="auto"/>
                <w:vertAlign w:val="baseline"/>
              </w:rPr>
              <w:t>, īpašu uzmanību pievēršot vistrūcīgākajām personām, piemēram, bezpajumtniekiem un institucionalizētām personām, kuras dalībvalstu statistikas biroju apsekojumi parasti nesasniedz;</w:t>
            </w:r>
            <w:r>
              <w:t xml:space="preserve"> </w:t>
            </w:r>
            <w:r>
              <w:rPr>
                <w:rFonts w:ascii="Times New Roman" w:eastAsia="Times New Roman" w:hAnsi="Times New Roman" w:cs="Times New Roman"/>
                <w:b/>
                <w:i/>
                <w:strike w:val="0"/>
                <w:color w:val="auto"/>
                <w:sz w:val="24"/>
                <w:highlight w:val="none"/>
                <w:u w:val="none" w:color="auto"/>
                <w:vertAlign w:val="baseline"/>
              </w:rPr>
              <w:t>šajā nolūkā dati būtu jāvāc, iesaistoties nevalstiskajām organizācijām, kas darbojas nabadzības un sociālās atstumtības apkarošanas jomā</w:t>
            </w:r>
            <w:r>
              <w:t>.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58 272 800 000</w:t>
            </w:r>
            <w:r>
              <w:t xml:space="preserve">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w:t>
            </w:r>
            <w:r>
              <w:rPr>
                <w:rFonts w:ascii="Times New Roman" w:eastAsia="Times New Roman" w:hAnsi="Times New Roman" w:cs="Times New Roman"/>
                <w:b/>
                <w:i/>
                <w:strike w:val="0"/>
                <w:color w:val="auto"/>
                <w:sz w:val="24"/>
                <w:highlight w:val="none"/>
                <w:u w:val="none" w:color="auto"/>
                <w:vertAlign w:val="baseline"/>
              </w:rPr>
              <w:t>kas pieejami līdz 2021. gada 19. oktobrim</w:t>
            </w:r>
            <w:r>
              <w:t>, lai sadalītu papildu resursu 2022. gada daļu.</w:t>
            </w:r>
          </w:p>
        </w:tc>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w:t>
            </w:r>
            <w:r>
              <w:rPr>
                <w:rFonts w:ascii="Times New Roman" w:eastAsia="Times New Roman" w:hAnsi="Times New Roman" w:cs="Times New Roman"/>
                <w:b/>
                <w:i/>
                <w:strike w:val="0"/>
                <w:color w:val="auto"/>
                <w:sz w:val="24"/>
                <w:highlight w:val="none"/>
                <w:u w:val="none" w:color="auto"/>
                <w:vertAlign w:val="baseline"/>
              </w:rPr>
              <w:t>tikai</w:t>
            </w:r>
            <w:r>
              <w:t xml:space="preserve">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58 272 800 000</w:t>
            </w:r>
            <w:r>
              <w:t xml:space="preserve">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w:t>
            </w:r>
            <w:r>
              <w:rPr>
                <w:rFonts w:ascii="Times New Roman" w:eastAsia="Times New Roman" w:hAnsi="Times New Roman" w:cs="Times New Roman"/>
                <w:b/>
                <w:i/>
                <w:strike w:val="0"/>
                <w:color w:val="auto"/>
                <w:sz w:val="24"/>
                <w:highlight w:val="none"/>
                <w:u w:val="none" w:color="auto"/>
                <w:vertAlign w:val="baseline"/>
              </w:rPr>
              <w:t>un balstoties uz Komisijas īstenošanas ziņojumu, kurā novērtēta instrumenta efektivitāte, lietderība un ietekme koronavīrusa krīzes risināšanā</w:t>
            </w:r>
            <w:r>
              <w:t>, lai sadalītu papildu resursu 2022. gada daļu.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Olivier Chastel</w:t>
      </w:r>
      <w:r>
        <w:t xml:space="preserve">, </w:t>
      </w:r>
      <w:r>
        <w:t>Nicolae Ştefănuță</w:t>
      </w:r>
      <w:r>
        <w:t xml:space="preserve">, </w:t>
      </w:r>
      <w:r>
        <w:t>Moritz Körner</w:t>
      </w:r>
      <w:r>
        <w:t xml:space="preserve">, </w:t>
      </w:r>
      <w:r>
        <w:t>Valérie Hayer</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58 272 800 000</w:t>
            </w:r>
            <w:r>
              <w:t xml:space="preserve">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58 272 800 000</w:t>
            </w:r>
            <w:r>
              <w:t>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w:t>
            </w:r>
            <w:r>
              <w:rPr>
                <w:rFonts w:ascii="Times New Roman" w:eastAsia="Times New Roman" w:hAnsi="Times New Roman" w:cs="Times New Roman"/>
                <w:b/>
                <w:i/>
                <w:strike w:val="0"/>
                <w:color w:val="auto"/>
                <w:sz w:val="24"/>
                <w:highlight w:val="none"/>
                <w:u w:val="none" w:color="auto"/>
                <w:vertAlign w:val="baseline"/>
              </w:rPr>
              <w:t>, piešķirot papildu 5 miljardus EUR saistību apropriācijās</w:t>
            </w:r>
            <w:r>
              <w:t>,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58 272 800 000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58 272 800 000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w:t>
            </w:r>
            <w:r>
              <w:rPr>
                <w:rFonts w:ascii="Times New Roman" w:eastAsia="Times New Roman" w:hAnsi="Times New Roman" w:cs="Times New Roman"/>
                <w:b/>
                <w:i/>
                <w:strike w:val="0"/>
                <w:color w:val="auto"/>
                <w:sz w:val="24"/>
                <w:highlight w:val="none"/>
                <w:u w:val="none" w:color="auto"/>
                <w:vertAlign w:val="baseline"/>
              </w:rPr>
              <w:t>deleģētajā aktā</w:t>
            </w:r>
            <w:r>
              <w:t xml:space="preserve">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Hélène Laporte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58 272 800 000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58 272 800 000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w:t>
            </w:r>
            <w:r>
              <w:rPr>
                <w:rFonts w:ascii="Times New Roman" w:eastAsia="Times New Roman" w:hAnsi="Times New Roman" w:cs="Times New Roman"/>
                <w:b/>
                <w:i/>
                <w:strike w:val="0"/>
                <w:color w:val="auto"/>
                <w:sz w:val="24"/>
                <w:highlight w:val="none"/>
                <w:u w:val="none" w:color="auto"/>
                <w:vertAlign w:val="baseline"/>
              </w:rPr>
              <w:t>jo īpaši salām,</w:t>
            </w:r>
            <w:r>
              <w:t xml:space="preserve">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Victor Negrescu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w:t>
            </w:r>
            <w:r>
              <w:rPr>
                <w:rFonts w:ascii="Times New Roman" w:eastAsia="Times New Roman" w:hAnsi="Times New Roman" w:cs="Times New Roman"/>
                <w:b/>
                <w:i/>
                <w:strike w:val="0"/>
                <w:color w:val="auto"/>
                <w:sz w:val="24"/>
                <w:highlight w:val="none"/>
                <w:u w:val="none" w:color="auto"/>
                <w:vertAlign w:val="baseline"/>
              </w:rPr>
              <w:t>saistībām</w:t>
            </w:r>
            <w:r>
              <w:t xml:space="preserve"> no struktūrfondiem attiecībā uz mērķi “Investīcijas izaugsmei un nodarbinātībai” 2020., 2021. un 2022. gadam būtu </w:t>
            </w:r>
            <w:r>
              <w:rPr>
                <w:rFonts w:ascii="Times New Roman" w:eastAsia="Times New Roman" w:hAnsi="Times New Roman" w:cs="Times New Roman"/>
                <w:b/>
                <w:i/>
                <w:strike w:val="0"/>
                <w:color w:val="auto"/>
                <w:sz w:val="24"/>
                <w:highlight w:val="none"/>
                <w:u w:val="none" w:color="auto"/>
                <w:vertAlign w:val="baseline"/>
              </w:rPr>
              <w:t>jādara pieejama</w:t>
            </w:r>
            <w:r>
              <w:t xml:space="preserve"> ārkārtēja papildu summa 58 272 800 000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w:t>
            </w:r>
            <w:r>
              <w:rPr>
                <w:rFonts w:ascii="Times New Roman" w:eastAsia="Times New Roman" w:hAnsi="Times New Roman" w:cs="Times New Roman"/>
                <w:b/>
                <w:i/>
                <w:strike w:val="0"/>
                <w:color w:val="auto"/>
                <w:sz w:val="24"/>
                <w:highlight w:val="none"/>
                <w:u w:val="none" w:color="auto"/>
                <w:vertAlign w:val="baseline"/>
              </w:rPr>
              <w:t>šīm dalībvalstīm un reģioniem</w:t>
            </w:r>
            <w:r>
              <w:t xml:space="preserve"> budžeta </w:t>
            </w:r>
            <w:r>
              <w:rPr>
                <w:rFonts w:ascii="Times New Roman" w:eastAsia="Times New Roman" w:hAnsi="Times New Roman" w:cs="Times New Roman"/>
                <w:b/>
                <w:i/>
                <w:strike w:val="0"/>
                <w:color w:val="auto"/>
                <w:sz w:val="24"/>
                <w:highlight w:val="none"/>
                <w:u w:val="none" w:color="auto"/>
                <w:vertAlign w:val="baseline"/>
              </w:rPr>
              <w:t>saistībās</w:t>
            </w:r>
            <w:r>
              <w:t xml:space="preserve"> no struktūrfondiem attiecībā uz mērķi “Investīcijas izaugsmei un nodarbinātībai” 2020., 2021. un 2022. gadam būtu </w:t>
            </w:r>
            <w:r>
              <w:rPr>
                <w:rFonts w:ascii="Times New Roman" w:eastAsia="Times New Roman" w:hAnsi="Times New Roman" w:cs="Times New Roman"/>
                <w:b/>
                <w:i/>
                <w:strike w:val="0"/>
                <w:color w:val="auto"/>
                <w:sz w:val="24"/>
                <w:highlight w:val="none"/>
                <w:u w:val="none" w:color="auto"/>
                <w:vertAlign w:val="baseline"/>
              </w:rPr>
              <w:t>jāsadala</w:t>
            </w:r>
            <w:r>
              <w:t xml:space="preserve"> ārkārtēja papildu summa 58 272 800 000 EUR apmērā (pašreizējās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Lai atbalstītu dalībvalstis un reģionus, kurus visvairāk skāruši ar Covid-19 pandēmiju saistītie krīzes seku pārvarēšanas pasākumi un kuri gatavojas zaļai, digitālai un noturīgai ekonomikas atveseļošanai, budžeta saistībām no struktūrfondiem attiecībā uz mērķi “Investīcijas izaugsmei un nodarbinātībai”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58 272 800 000</w:t>
            </w:r>
            <w:r>
              <w:t xml:space="preserve"> EUR apmērā (</w:t>
            </w:r>
            <w:r>
              <w:rPr>
                <w:rFonts w:ascii="Times New Roman" w:eastAsia="Times New Roman" w:hAnsi="Times New Roman" w:cs="Times New Roman"/>
                <w:b/>
                <w:i/>
                <w:strike w:val="0"/>
                <w:color w:val="auto"/>
                <w:sz w:val="24"/>
                <w:highlight w:val="none"/>
                <w:u w:val="none" w:color="auto"/>
                <w:vertAlign w:val="baseline"/>
              </w:rPr>
              <w:t>pašreizējās</w:t>
            </w:r>
            <w:r>
              <w:t xml:space="preserve">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c>
          <w:tcPr>
            <w:tcW w:w="4876" w:type="dxa"/>
            <w:vAlign w:val="top"/>
          </w:tcPr>
          <w:p>
            <w:pPr>
              <w:pStyle w:val="Normal6a"/>
            </w:pPr>
            <w:r>
              <w:t>(5)</w:t>
            </w:r>
            <w:r>
              <w:tab/>
            </w:r>
            <w:r>
              <w:t>Lai atbalstītu dalībvalstis un reģionus, kurus visvairāk skāruši ar Covid-19 pandēmiju saistītie krīzes seku pārvarēšanas pasākumi un kuri gatavojas zaļai, digitālai</w:t>
            </w:r>
            <w:r>
              <w:rPr>
                <w:rFonts w:ascii="Times New Roman" w:eastAsia="Times New Roman" w:hAnsi="Times New Roman" w:cs="Times New Roman"/>
                <w:b/>
                <w:i/>
                <w:strike w:val="0"/>
                <w:color w:val="auto"/>
                <w:sz w:val="24"/>
                <w:highlight w:val="none"/>
                <w:u w:val="none" w:color="auto"/>
                <w:vertAlign w:val="baseline"/>
              </w:rPr>
              <w:t>, sociālai</w:t>
            </w:r>
            <w:r>
              <w:t xml:space="preserve"> un noturīgai ekonomikas atveseļošanai, budžeta saistībām no struktūrfondiem attiecībā uz mērķi “Investīcijas izaugsmei un nodarbinātībai” 2020., 2021. un 2022. gadam būtu jādara pieejama ārkārtēja papildu summa </w:t>
            </w:r>
            <w:r>
              <w:rPr>
                <w:rFonts w:ascii="Times New Roman" w:eastAsia="Times New Roman" w:hAnsi="Times New Roman" w:cs="Times New Roman"/>
                <w:b/>
                <w:i/>
                <w:strike w:val="0"/>
                <w:color w:val="auto"/>
                <w:sz w:val="24"/>
                <w:highlight w:val="none"/>
                <w:u w:val="none" w:color="auto"/>
                <w:vertAlign w:val="baseline"/>
              </w:rPr>
              <w:t>54 806 498 104</w:t>
            </w:r>
            <w:r>
              <w:t xml:space="preserve"> EUR apmērā (</w:t>
            </w:r>
            <w:r>
              <w:rPr>
                <w:rFonts w:ascii="Times New Roman" w:eastAsia="Times New Roman" w:hAnsi="Times New Roman" w:cs="Times New Roman"/>
                <w:b/>
                <w:i/>
                <w:strike w:val="0"/>
                <w:color w:val="auto"/>
                <w:sz w:val="24"/>
                <w:highlight w:val="none"/>
                <w:u w:val="none" w:color="auto"/>
                <w:vertAlign w:val="baseline"/>
              </w:rPr>
              <w:t>2018. gada</w:t>
            </w:r>
            <w:r>
              <w:t xml:space="preserve"> cenās), lai ar esošo darbības programmu palīdzību resursi ātri nonāktu reālajā ekonomikā. Resursi 2020. gadam izriet no ekonomiskajai, sociālajai un teritoriālajai kohēzijai pieejamo resursu palielināšanas daudzgadu finanšu shēmā 2014.–2020. gadam, savukārt resursi 2021. un 2022. gadam tiek nodrošināti no Eiropas Savienības Atveseļošanas instrumenta. Daļa no šiem papildu resursiem būtu jāatvēl tehniskajai palīdzībai pēc Komisijas iniciatīvas. Komisijai būtu jānosaka atlikušo papildu resursu sadalījums katrai dalībvalstij, izmantojot piešķiršanas metodi, kuras pamatā ir jaunākie pieejamie objektīvie statistikas dati par dalībvalstu relatīvo labklājību un to, cik lielā mērā pašreizējā krīze ietekmē to ekonomiku un sabiedrību. Piešķiršanas metodē būtu papildus jāiekļauj īpaša summa tālākajiem reģioniem, ņemot vērā to ekonomikas un sabiedrības īpašo neaizsargātību. Lai atspoguļotu krīzes seku mainīgo raksturu, 2021. gadā sadalījums būtu jāpārskata, pamatojoties uz to pašu piešķiršanas metodi, kurā izmantoti jaunākie statistikas dati, kas pieejami līdz 2021. gada 19. oktobrim, lai sadalītu papildu resursu 2022. gada daļu.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Italic6a"/>
            </w:pPr>
            <w:r>
              <w:t>(Šis grozījums (t.i., formulējuma “sagatavoties zaļai, digitālai un noturīgai ekonomikas atveseļošanai” papildināšana ar vārdu “sociālai”) attiecas uz visu tekstu, tostarp tā nosaukumu.</w:t>
            </w:r>
            <w:r>
              <w:t xml:space="preserve"> Tā pieņemšanas gadījumā vajadzēs veikt atbilstošas izmaiņas visā tekstā.)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5.a apsvērums (jauns)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ekonomikas atveseļošanā no Covid-19 izraisītās krīzes ekonomiski mazāk attīstītām vietējām teritorijām, jo īpaši laukos, ir lielas grūtības izmantot ES finansējumu.</w:t>
            </w:r>
            <w:r>
              <w:t xml:space="preserve"> </w:t>
            </w:r>
            <w:r>
              <w:rPr>
                <w:rFonts w:ascii="Times New Roman" w:eastAsia="Times New Roman" w:hAnsi="Times New Roman" w:cs="Times New Roman"/>
                <w:b/>
                <w:i/>
                <w:strike w:val="0"/>
                <w:color w:val="auto"/>
                <w:sz w:val="24"/>
                <w:highlight w:val="none"/>
                <w:u w:val="none" w:color="auto"/>
                <w:vertAlign w:val="baseline"/>
              </w:rPr>
              <w:t>Tāpēc ir būtiski nepieciešams, lai Komisija sniegtu tehnisko un administratīvo palīdzību apvidiem, kurus krīze skārusi vissmagāk, lai nodrošinātu, ka ar REACT-EU piešķirtais ES finansējums tiek izmantots gan lietderīgi, gan efektīvi.</w:t>
            </w:r>
            <w:r>
              <w:t xml:space="preserve"> </w:t>
            </w:r>
            <w:r>
              <w:rPr>
                <w:rFonts w:ascii="Times New Roman" w:eastAsia="Times New Roman" w:hAnsi="Times New Roman" w:cs="Times New Roman"/>
                <w:b/>
                <w:i/>
                <w:strike w:val="0"/>
                <w:color w:val="auto"/>
                <w:sz w:val="24"/>
                <w:highlight w:val="none"/>
                <w:u w:val="none" w:color="auto"/>
                <w:vertAlign w:val="baseline"/>
              </w:rPr>
              <w:t>Šāda palīdzība būs arī drošības pasākums, kas palīdzēs nepieļaut to, ka kohēzijas politikas īstenošanā tiek iesaistīti konkrēto valstu iekšpolitiskie faktori.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Hélène Laporte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6.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Uz šo regulu attiecas horizontālie finanšu noteikumi, ko Eiropas Parlaments un Padome pieņēmuši, pamatojoties uz Līguma par Eiropas Savienības darbību 322. pantu. Šie noteikumi ir noteikti Finanšu regulā, un tie jo īpaši paredz kārtību, kādā tiek veidots budžets un nodrošināta tā izpilde, izmantojot dotācijas, iepirkumu, godalgas un netiešu pārvaldību, un arī finanšu dalībnieku atbildības kontroli. </w:t>
            </w:r>
            <w:r>
              <w:rPr>
                <w:rFonts w:ascii="Times New Roman" w:eastAsia="Times New Roman" w:hAnsi="Times New Roman" w:cs="Times New Roman"/>
                <w:b/>
                <w:i/>
                <w:strike w:val="0"/>
                <w:color w:val="auto"/>
                <w:sz w:val="24"/>
                <w:highlight w:val="none"/>
                <w:u w:val="none" w:color="auto"/>
                <w:vertAlign w:val="baseline"/>
              </w:rPr>
              <w:t>Noteikumi, kas pieņemti, pamatojoties uz LESD 322. pantu, attiecas arī uz Savienības budžeta aizsardzību gadījumos, kad dalībvalstīs vērojami vispārēji tiesiskuma trūkumi, jo tiesiskuma ievērošana ir būtisks priekšnoteikums pareizai finanšu pārvaldībai un ES finansējuma rezultativitātei.</w:t>
            </w:r>
          </w:p>
        </w:tc>
        <w:tc>
          <w:tcPr>
            <w:tcW w:w="4876" w:type="dxa"/>
            <w:vAlign w:val="top"/>
          </w:tcPr>
          <w:p>
            <w:pPr>
              <w:pStyle w:val="Normal6a"/>
            </w:pPr>
            <w:r>
              <w:t>(6)</w:t>
            </w:r>
            <w:r>
              <w:tab/>
            </w:r>
            <w:r>
              <w:t>Uz šo regulu attiecas horizontālie finanšu noteikumi, ko Eiropas Parlaments un Padome pieņēmuši, pamatojoties uz Līguma par Eiropas Savienības darbību 322. pantu. Šie noteikumi ir noteikti Finanšu regulā, un tie jo īpaši paredz kārtību, kādā tiek veidots budžets un nodrošināta tā izpilde, izmantojot dotācijas, iepirkumu, godalgas un netiešu pārvaldību, un arī finanšu dalībnieku atbildības kontroli.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Valérie Hayer</w:t>
      </w:r>
      <w:r>
        <w:t xml:space="preserve">, </w:t>
      </w:r>
      <w:r>
        <w:t>Olivier Chastel</w:t>
      </w:r>
      <w:r>
        <w:t xml:space="preserve">, </w:t>
      </w:r>
      <w:r>
        <w:t>Moritz Körner</w:t>
      </w:r>
      <w:r>
        <w:t xml:space="preserve">, </w:t>
      </w:r>
      <w:r>
        <w:t>Nicolae Ştefănuță</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6.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Uz šo regulu attiecas horizontālie finanšu noteikumi, ko Eiropas Parlaments un Padome </w:t>
            </w:r>
            <w:r>
              <w:rPr>
                <w:rFonts w:ascii="Times New Roman" w:eastAsia="Times New Roman" w:hAnsi="Times New Roman" w:cs="Times New Roman"/>
                <w:b/>
                <w:i/>
                <w:strike w:val="0"/>
                <w:color w:val="auto"/>
                <w:sz w:val="24"/>
                <w:highlight w:val="none"/>
                <w:u w:val="none" w:color="auto"/>
                <w:vertAlign w:val="baseline"/>
              </w:rPr>
              <w:t>pieņēmuši</w:t>
            </w:r>
            <w:r>
              <w:t xml:space="preserve">, pamatojoties uz Līguma par Eiropas Savienības darbību 322. pantu. Šie noteikumi ir </w:t>
            </w:r>
            <w:r>
              <w:rPr>
                <w:rFonts w:ascii="Times New Roman" w:eastAsia="Times New Roman" w:hAnsi="Times New Roman" w:cs="Times New Roman"/>
                <w:b/>
                <w:i/>
                <w:strike w:val="0"/>
                <w:color w:val="auto"/>
                <w:sz w:val="24"/>
                <w:highlight w:val="none"/>
                <w:u w:val="none" w:color="auto"/>
                <w:vertAlign w:val="baseline"/>
              </w:rPr>
              <w:t>noteikti</w:t>
            </w:r>
            <w:r>
              <w:t xml:space="preserve"> Finanšu regulā</w:t>
            </w:r>
            <w:r>
              <w:rPr>
                <w:rFonts w:ascii="Times New Roman" w:eastAsia="Times New Roman" w:hAnsi="Times New Roman" w:cs="Times New Roman"/>
                <w:b/>
                <w:i/>
                <w:strike w:val="0"/>
                <w:color w:val="auto"/>
                <w:sz w:val="24"/>
                <w:highlight w:val="none"/>
                <w:u w:val="none" w:color="auto"/>
                <w:vertAlign w:val="baseline"/>
              </w:rPr>
              <w:t>, un tie</w:t>
            </w:r>
            <w:r>
              <w:t xml:space="preserve"> jo īpaši </w:t>
            </w:r>
            <w:r>
              <w:rPr>
                <w:rFonts w:ascii="Times New Roman" w:eastAsia="Times New Roman" w:hAnsi="Times New Roman" w:cs="Times New Roman"/>
                <w:b/>
                <w:i/>
                <w:strike w:val="0"/>
                <w:color w:val="auto"/>
                <w:sz w:val="24"/>
                <w:highlight w:val="none"/>
                <w:u w:val="none" w:color="auto"/>
                <w:vertAlign w:val="baseline"/>
              </w:rPr>
              <w:t>paredz kārtību, kādā tiek veidots budžets un nodrošināta tā izpilde</w:t>
            </w:r>
            <w:r>
              <w:t xml:space="preserve">, izmantojot dotācijas, iepirkumu, godalgas </w:t>
            </w:r>
            <w:r>
              <w:rPr>
                <w:rFonts w:ascii="Times New Roman" w:eastAsia="Times New Roman" w:hAnsi="Times New Roman" w:cs="Times New Roman"/>
                <w:b/>
                <w:i/>
                <w:strike w:val="0"/>
                <w:color w:val="auto"/>
                <w:sz w:val="24"/>
                <w:highlight w:val="none"/>
                <w:u w:val="none" w:color="auto"/>
                <w:vertAlign w:val="baseline"/>
              </w:rPr>
              <w:t>un</w:t>
            </w:r>
            <w:r>
              <w:t xml:space="preserve"> netiešu </w:t>
            </w:r>
            <w:r>
              <w:rPr>
                <w:rFonts w:ascii="Times New Roman" w:eastAsia="Times New Roman" w:hAnsi="Times New Roman" w:cs="Times New Roman"/>
                <w:b/>
                <w:i/>
                <w:strike w:val="0"/>
                <w:color w:val="auto"/>
                <w:sz w:val="24"/>
                <w:highlight w:val="none"/>
                <w:u w:val="none" w:color="auto"/>
                <w:vertAlign w:val="baseline"/>
              </w:rPr>
              <w:t>pārvaldību, un arī</w:t>
            </w:r>
            <w:r>
              <w:t xml:space="preserve"> finanšu dalībnieku atbildības </w:t>
            </w:r>
            <w:r>
              <w:rPr>
                <w:rFonts w:ascii="Times New Roman" w:eastAsia="Times New Roman" w:hAnsi="Times New Roman" w:cs="Times New Roman"/>
                <w:b/>
                <w:i/>
                <w:strike w:val="0"/>
                <w:color w:val="auto"/>
                <w:sz w:val="24"/>
                <w:highlight w:val="none"/>
                <w:u w:val="none" w:color="auto"/>
                <w:vertAlign w:val="baseline"/>
              </w:rPr>
              <w:t>kontroli</w:t>
            </w:r>
            <w:r>
              <w:t xml:space="preserve">. Noteikumi, kas pieņemti, pamatojoties uz LESD 322. pantu, attiecas arī uz Savienības budžeta aizsardzību </w:t>
            </w:r>
            <w:r>
              <w:rPr>
                <w:rFonts w:ascii="Times New Roman" w:eastAsia="Times New Roman" w:hAnsi="Times New Roman" w:cs="Times New Roman"/>
                <w:b/>
                <w:i/>
                <w:strike w:val="0"/>
                <w:color w:val="auto"/>
                <w:sz w:val="24"/>
                <w:highlight w:val="none"/>
                <w:u w:val="none" w:color="auto"/>
                <w:vertAlign w:val="baseline"/>
              </w:rPr>
              <w:t>gadījumos, kad dalībvalstīs vērojami vispārēji tiesiskuma trūkumi, jo tiesiskuma</w:t>
            </w:r>
            <w:r>
              <w:t xml:space="preserve"> ievērošana ir būtisks </w:t>
            </w:r>
            <w:r>
              <w:rPr>
                <w:rFonts w:ascii="Times New Roman" w:eastAsia="Times New Roman" w:hAnsi="Times New Roman" w:cs="Times New Roman"/>
                <w:b/>
                <w:i/>
                <w:strike w:val="0"/>
                <w:color w:val="auto"/>
                <w:sz w:val="24"/>
                <w:highlight w:val="none"/>
                <w:u w:val="none" w:color="auto"/>
                <w:vertAlign w:val="baseline"/>
              </w:rPr>
              <w:t>priekšnoteikums pareizai</w:t>
            </w:r>
            <w:r>
              <w:t xml:space="preserve"> finanšu </w:t>
            </w:r>
            <w:r>
              <w:rPr>
                <w:rFonts w:ascii="Times New Roman" w:eastAsia="Times New Roman" w:hAnsi="Times New Roman" w:cs="Times New Roman"/>
                <w:b/>
                <w:i/>
                <w:strike w:val="0"/>
                <w:color w:val="auto"/>
                <w:sz w:val="24"/>
                <w:highlight w:val="none"/>
                <w:u w:val="none" w:color="auto"/>
                <w:vertAlign w:val="baseline"/>
              </w:rPr>
              <w:t>pārvaldībai un</w:t>
            </w:r>
            <w:r>
              <w:t xml:space="preserve"> ES finansējuma </w:t>
            </w:r>
            <w:r>
              <w:rPr>
                <w:rFonts w:ascii="Times New Roman" w:eastAsia="Times New Roman" w:hAnsi="Times New Roman" w:cs="Times New Roman"/>
                <w:b/>
                <w:i/>
                <w:strike w:val="0"/>
                <w:color w:val="auto"/>
                <w:sz w:val="24"/>
                <w:highlight w:val="none"/>
                <w:u w:val="none" w:color="auto"/>
                <w:vertAlign w:val="baseline"/>
              </w:rPr>
              <w:t>rezultativitātei</w:t>
            </w:r>
            <w:r>
              <w:t>.</w:t>
            </w:r>
          </w:p>
        </w:tc>
        <w:tc>
          <w:tcPr>
            <w:tcW w:w="4876" w:type="dxa"/>
            <w:vAlign w:val="top"/>
          </w:tcPr>
          <w:p>
            <w:pPr>
              <w:pStyle w:val="Normal6a"/>
            </w:pPr>
            <w:r>
              <w:t>(6)</w:t>
            </w:r>
            <w:r>
              <w:tab/>
            </w:r>
            <w:r>
              <w:t xml:space="preserve">Uz šo regulu attiecas horizontālie finanšu noteikumi, ko </w:t>
            </w:r>
            <w:r>
              <w:rPr>
                <w:rFonts w:ascii="Times New Roman" w:eastAsia="Times New Roman" w:hAnsi="Times New Roman" w:cs="Times New Roman"/>
                <w:b/>
                <w:i/>
                <w:strike w:val="0"/>
                <w:color w:val="auto"/>
                <w:sz w:val="24"/>
                <w:highlight w:val="none"/>
                <w:u w:val="none" w:color="auto"/>
                <w:vertAlign w:val="baseline"/>
              </w:rPr>
              <w:t>pieņēmis</w:t>
            </w:r>
            <w:r>
              <w:t xml:space="preserve"> Eiropas Parlaments un Padome, pamatojoties uz Līguma par Eiropas Savienības darbību 322. pantu. Šie noteikumi ir </w:t>
            </w:r>
            <w:r>
              <w:rPr>
                <w:rFonts w:ascii="Times New Roman" w:eastAsia="Times New Roman" w:hAnsi="Times New Roman" w:cs="Times New Roman"/>
                <w:b/>
                <w:i/>
                <w:strike w:val="0"/>
                <w:color w:val="auto"/>
                <w:sz w:val="24"/>
                <w:highlight w:val="none"/>
                <w:u w:val="none" w:color="auto"/>
                <w:vertAlign w:val="baseline"/>
              </w:rPr>
              <w:t>paredzēti</w:t>
            </w:r>
            <w:r>
              <w:t xml:space="preserve"> Finanšu regulā </w:t>
            </w:r>
            <w:r>
              <w:rPr>
                <w:rFonts w:ascii="Times New Roman" w:eastAsia="Times New Roman" w:hAnsi="Times New Roman" w:cs="Times New Roman"/>
                <w:b/>
                <w:i/>
                <w:strike w:val="0"/>
                <w:color w:val="auto"/>
                <w:sz w:val="24"/>
                <w:highlight w:val="none"/>
                <w:u w:val="none" w:color="auto"/>
                <w:vertAlign w:val="baseline"/>
              </w:rPr>
              <w:t>un</w:t>
            </w:r>
            <w:r>
              <w:t xml:space="preserve"> jo īpaši </w:t>
            </w:r>
            <w:r>
              <w:rPr>
                <w:rFonts w:ascii="Times New Roman" w:eastAsia="Times New Roman" w:hAnsi="Times New Roman" w:cs="Times New Roman"/>
                <w:b/>
                <w:i/>
                <w:strike w:val="0"/>
                <w:color w:val="auto"/>
                <w:sz w:val="24"/>
                <w:highlight w:val="none"/>
                <w:u w:val="none" w:color="auto"/>
                <w:vertAlign w:val="baseline"/>
              </w:rPr>
              <w:t>nosaka procedūru budžeta izveidei un izpildei</w:t>
            </w:r>
            <w:r>
              <w:t>, izmantojot dotācijas, iepirkumu, godalgas</w:t>
            </w:r>
            <w:r>
              <w:rPr>
                <w:rFonts w:ascii="Times New Roman" w:eastAsia="Times New Roman" w:hAnsi="Times New Roman" w:cs="Times New Roman"/>
                <w:b/>
                <w:i/>
                <w:strike w:val="0"/>
                <w:color w:val="auto"/>
                <w:sz w:val="24"/>
                <w:highlight w:val="none"/>
                <w:u w:val="none" w:color="auto"/>
                <w:vertAlign w:val="baseline"/>
              </w:rPr>
              <w:t>,</w:t>
            </w:r>
            <w:r>
              <w:t xml:space="preserve"> netiešu </w:t>
            </w:r>
            <w:r>
              <w:rPr>
                <w:rFonts w:ascii="Times New Roman" w:eastAsia="Times New Roman" w:hAnsi="Times New Roman" w:cs="Times New Roman"/>
                <w:b/>
                <w:i/>
                <w:strike w:val="0"/>
                <w:color w:val="auto"/>
                <w:sz w:val="24"/>
                <w:highlight w:val="none"/>
                <w:u w:val="none" w:color="auto"/>
                <w:vertAlign w:val="baseline"/>
              </w:rPr>
              <w:t>izpildi, un paredz</w:t>
            </w:r>
            <w:r>
              <w:t xml:space="preserve"> finanšu dalībnieku atbildības </w:t>
            </w:r>
            <w:r>
              <w:rPr>
                <w:rFonts w:ascii="Times New Roman" w:eastAsia="Times New Roman" w:hAnsi="Times New Roman" w:cs="Times New Roman"/>
                <w:b/>
                <w:i/>
                <w:strike w:val="0"/>
                <w:color w:val="auto"/>
                <w:sz w:val="24"/>
                <w:highlight w:val="none"/>
                <w:u w:val="none" w:color="auto"/>
                <w:vertAlign w:val="baseline"/>
              </w:rPr>
              <w:t>pārbaudes</w:t>
            </w:r>
            <w:r>
              <w:t xml:space="preserve">. Noteikumi, kas </w:t>
            </w:r>
            <w:r>
              <w:rPr>
                <w:rFonts w:ascii="Times New Roman" w:eastAsia="Times New Roman" w:hAnsi="Times New Roman" w:cs="Times New Roman"/>
                <w:b/>
                <w:i/>
                <w:strike w:val="0"/>
                <w:color w:val="auto"/>
                <w:sz w:val="24"/>
                <w:highlight w:val="none"/>
                <w:u w:val="none" w:color="auto"/>
                <w:vertAlign w:val="baseline"/>
              </w:rPr>
              <w:t>ir</w:t>
            </w:r>
            <w:r>
              <w:t xml:space="preserve"> pieņemti, pamatojoties uz LESD 322. pantu, attiecas arī uz Savienības budžeta aizsardzību </w:t>
            </w:r>
            <w:r>
              <w:rPr>
                <w:rFonts w:ascii="Times New Roman" w:eastAsia="Times New Roman" w:hAnsi="Times New Roman" w:cs="Times New Roman"/>
                <w:b/>
                <w:i/>
                <w:strike w:val="0"/>
                <w:color w:val="auto"/>
                <w:sz w:val="24"/>
                <w:highlight w:val="none"/>
                <w:u w:val="none" w:color="auto"/>
                <w:vertAlign w:val="baseline"/>
              </w:rPr>
              <w:t>vispārēju trūkumu gadījumā attiecībā uz tiesiskas valsts principa piemērošanu dalībvalstīs, jo tiesiskas valsts principa</w:t>
            </w:r>
            <w:r>
              <w:t xml:space="preserve"> ievērošana ir būtisks </w:t>
            </w:r>
            <w:r>
              <w:rPr>
                <w:rFonts w:ascii="Times New Roman" w:eastAsia="Times New Roman" w:hAnsi="Times New Roman" w:cs="Times New Roman"/>
                <w:b/>
                <w:i/>
                <w:strike w:val="0"/>
                <w:color w:val="auto"/>
                <w:sz w:val="24"/>
                <w:highlight w:val="none"/>
                <w:u w:val="none" w:color="auto"/>
                <w:vertAlign w:val="baseline"/>
              </w:rPr>
              <w:t>pareizas</w:t>
            </w:r>
            <w:r>
              <w:t xml:space="preserve"> finanšu </w:t>
            </w:r>
            <w:r>
              <w:rPr>
                <w:rFonts w:ascii="Times New Roman" w:eastAsia="Times New Roman" w:hAnsi="Times New Roman" w:cs="Times New Roman"/>
                <w:b/>
                <w:i/>
                <w:strike w:val="0"/>
                <w:color w:val="auto"/>
                <w:sz w:val="24"/>
                <w:highlight w:val="none"/>
                <w:u w:val="none" w:color="auto"/>
                <w:vertAlign w:val="baseline"/>
              </w:rPr>
              <w:t>pārvaldības un efektīva</w:t>
            </w:r>
            <w:r>
              <w:t xml:space="preserve"> ES finansējuma </w:t>
            </w:r>
            <w:r>
              <w:rPr>
                <w:rFonts w:ascii="Times New Roman" w:eastAsia="Times New Roman" w:hAnsi="Times New Roman" w:cs="Times New Roman"/>
                <w:b/>
                <w:i/>
                <w:strike w:val="0"/>
                <w:color w:val="auto"/>
                <w:sz w:val="24"/>
                <w:highlight w:val="none"/>
                <w:u w:val="none" w:color="auto"/>
                <w:vertAlign w:val="baseline"/>
              </w:rPr>
              <w:t>priekšnoteikums.</w:t>
            </w:r>
            <w:r>
              <w:t xml:space="preserve"> </w:t>
            </w:r>
            <w:r>
              <w:rPr>
                <w:rFonts w:ascii="Times New Roman" w:eastAsia="Times New Roman" w:hAnsi="Times New Roman" w:cs="Times New Roman"/>
                <w:b/>
                <w:i/>
                <w:strike w:val="0"/>
                <w:color w:val="auto"/>
                <w:sz w:val="24"/>
                <w:highlight w:val="none"/>
                <w:u w:val="none" w:color="auto"/>
                <w:vertAlign w:val="baseline"/>
              </w:rPr>
              <w:t>Turklāt elastīgums ar REACT-EU piešķirto līdzekļu tērēšanā rada vajadzību pēc tēriņu pārbaudes instrumentiem, kas sniedzas tālāk par dalībvalstu pašnovērtējumu, tāpēc šiem tēriņiem jāpiemēro Komisijas, OLAF, EPPO un Revīzijas palātas pārraudzība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Mario Furore</w:t>
      </w:r>
      <w:r>
        <w:t xml:space="preserve">, </w:t>
      </w:r>
      <w:r>
        <w:t>Tiziana Beghin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6.a apsvērums (jauns)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(6a)</w:t>
            </w:r>
            <w:r>
              <w:tab/>
            </w:r>
            <w:r>
              <w:rPr>
                <w:rFonts w:ascii="Times New Roman" w:eastAsia="Times New Roman" w:hAnsi="Times New Roman" w:cs="Times New Roman"/>
                <w:b/>
                <w:i/>
                <w:strike w:val="0"/>
                <w:color w:val="auto"/>
                <w:sz w:val="24"/>
                <w:highlight w:val="none"/>
                <w:u w:val="none" w:color="auto"/>
                <w:vertAlign w:val="baseline"/>
              </w:rPr>
              <w:t>Dalībvalstu izdevumi projektu līdzfinansēšanai saistībā ar šīs regulas piemērošanu būtu jāizslēdz no valsts budžeta deficīta aprēķiniem Stabilitātes un izaugsmes pakta ietvaros.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7.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 xml:space="preserve">Lai dalībvalstis varētu </w:t>
            </w:r>
            <w:r>
              <w:rPr>
                <w:rFonts w:ascii="Times New Roman" w:eastAsia="Times New Roman" w:hAnsi="Times New Roman" w:cs="Times New Roman"/>
                <w:b/>
                <w:i/>
                <w:strike w:val="0"/>
                <w:color w:val="auto"/>
                <w:sz w:val="24"/>
                <w:highlight w:val="none"/>
                <w:u w:val="none" w:color="auto"/>
                <w:vertAlign w:val="baseline"/>
              </w:rPr>
              <w:t>maksimāli</w:t>
            </w:r>
            <w:r>
              <w:t xml:space="preserve"> elastīgi pielāgot ar Covid-19 pandēmiju saistītās krīzes seku pārvarēšanas pasākumus </w:t>
            </w:r>
            <w:r>
              <w:rPr>
                <w:rFonts w:ascii="Times New Roman" w:eastAsia="Times New Roman" w:hAnsi="Times New Roman" w:cs="Times New Roman"/>
                <w:b/>
                <w:i/>
                <w:strike w:val="0"/>
                <w:color w:val="auto"/>
                <w:sz w:val="24"/>
                <w:highlight w:val="none"/>
                <w:u w:val="none" w:color="auto"/>
                <w:vertAlign w:val="baseline"/>
              </w:rPr>
              <w:t>vai</w:t>
            </w:r>
            <w:r>
              <w:t xml:space="preserve"> sagatavoties zaļai, digitālai un noturīgai ekonomikas atveseļošanai, Komisijai piešķīrumi būtu jānosaka dalībvalstu līmenī. Turklāt būtu jāparedz arī iespēja jebkādus papildu resursus izmantot vistrūcīgāko iedzīvotāju atbalstam. Tāpat būtu jānosaka maksimālās robežas attiecībā uz piešķīrumu tehniskajai palīdzībai pēc dalībvalstu iniciatīvas, vienlaikus nodrošinot dalībvalstīm maksimālu elastību attiecībā uz palīdzības sadalījumu darbības programmās, ko atbalsta no ERAF vai ESF</w:t>
            </w:r>
            <w:r>
              <w:rPr>
                <w:rFonts w:ascii="Times New Roman" w:eastAsia="Times New Roman" w:hAnsi="Times New Roman" w:cs="Times New Roman"/>
                <w:b/>
                <w:i/>
                <w:strike w:val="0"/>
                <w:color w:val="auto"/>
                <w:sz w:val="24"/>
                <w:highlight w:val="none"/>
                <w:u w:val="none" w:color="auto"/>
                <w:vertAlign w:val="baseline"/>
              </w:rPr>
              <w:t>. Būtu jāprecizē, ka attiecībā uz papildu resursiem nav nepieciešams ievērot ESF minimālo daļu</w:t>
            </w:r>
            <w:r>
              <w:t>. Ir sagaidāms, ka papildu resursi tiks tērēti ātri, tāpēc saistības, kas ir saistītas ar minētajiem papildu resursiem, būtu jāatceļ tikai darbības programmu slēgšanas brīdī.</w:t>
            </w:r>
          </w:p>
        </w:tc>
        <w:tc>
          <w:tcPr>
            <w:tcW w:w="4876" w:type="dxa"/>
            <w:vAlign w:val="top"/>
          </w:tcPr>
          <w:p>
            <w:pPr>
              <w:pStyle w:val="Normal6a"/>
            </w:pPr>
            <w:r>
              <w:t>(7)</w:t>
            </w:r>
            <w:r>
              <w:tab/>
            </w:r>
            <w:r>
              <w:t xml:space="preserve">Lai dalībvalstis varētu </w:t>
            </w:r>
            <w:r>
              <w:rPr>
                <w:rFonts w:ascii="Times New Roman" w:eastAsia="Times New Roman" w:hAnsi="Times New Roman" w:cs="Times New Roman"/>
                <w:b/>
                <w:i/>
                <w:strike w:val="0"/>
                <w:color w:val="auto"/>
                <w:sz w:val="24"/>
                <w:highlight w:val="none"/>
                <w:u w:val="none" w:color="auto"/>
                <w:vertAlign w:val="baseline"/>
              </w:rPr>
              <w:t>pietiekami</w:t>
            </w:r>
            <w:r>
              <w:t xml:space="preserve"> elastīgi pielāgot ar Covid-19 pandēmiju saistītās krīzes </w:t>
            </w:r>
            <w:r>
              <w:rPr>
                <w:rFonts w:ascii="Times New Roman" w:eastAsia="Times New Roman" w:hAnsi="Times New Roman" w:cs="Times New Roman"/>
                <w:b/>
                <w:i/>
                <w:strike w:val="0"/>
                <w:color w:val="auto"/>
                <w:sz w:val="24"/>
                <w:highlight w:val="none"/>
                <w:u w:val="none" w:color="auto"/>
                <w:vertAlign w:val="baseline"/>
              </w:rPr>
              <w:t>un tās sociālo</w:t>
            </w:r>
            <w:r>
              <w:t xml:space="preserve"> seku pārvarēšanas pasākumus </w:t>
            </w:r>
            <w:r>
              <w:rPr>
                <w:rFonts w:ascii="Times New Roman" w:eastAsia="Times New Roman" w:hAnsi="Times New Roman" w:cs="Times New Roman"/>
                <w:b/>
                <w:i/>
                <w:strike w:val="0"/>
                <w:color w:val="auto"/>
                <w:sz w:val="24"/>
                <w:highlight w:val="none"/>
                <w:u w:val="none" w:color="auto"/>
                <w:vertAlign w:val="baseline"/>
              </w:rPr>
              <w:t>un</w:t>
            </w:r>
            <w:r>
              <w:t xml:space="preserve"> sagatavoties zaļai, digitālai un noturīgai ekonomikas atveseļošanai, Komisijai piešķīrumi būtu jānosaka dalībvalstu līmenī. Turklāt būtu jāparedz arī iespēja jebkādus papildu resursus izmantot vistrūcīgāko iedzīvotāju atbalstam. Tāpat būtu jānosaka maksimālās robežas attiecībā uz piešķīrumu tehniskajai palīdzībai pēc dalībvalstu iniciatīvas, vienlaikus nodrošinot dalībvalstīm maksimālu elastību attiecībā uz palīdzības sadalījumu darbības programmās, ko atbalsta no ERAF vai ESF. Ir sagaidāms, ka papildu resursi tiks tērēti ātri, tāpēc saistības, kas ir saistītas ar minētajiem papildu resursiem, būtu jāatceļ tikai darbības programmu slēgšanas brīdī.</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Martin Hojsík</w:t>
      </w:r>
      <w:r>
        <w:t xml:space="preserve">, </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7.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(7)</w:t>
            </w:r>
            <w:r>
              <w:tab/>
            </w:r>
            <w:r>
              <w:t xml:space="preserve">Lai dalībvalstis varētu maksimāli elastīgi pielāgot ar Covid-19 pandēmiju saistītās krīzes seku pārvarēšanas pasākumus vai sagatavoties zaļai, digitālai un noturīgai ekonomikas atveseļošanai, Komisijai piešķīrumi būtu jānosaka </w:t>
            </w:r>
            <w:r>
              <w:rPr>
                <w:rFonts w:ascii="Times New Roman" w:eastAsia="Times New Roman" w:hAnsi="Times New Roman" w:cs="Times New Roman"/>
                <w:b/>
                <w:i/>
                <w:strike w:val="0"/>
                <w:color w:val="auto"/>
                <w:sz w:val="24"/>
                <w:highlight w:val="none"/>
                <w:u w:val="none" w:color="auto"/>
                <w:vertAlign w:val="baseline"/>
              </w:rPr>
              <w:t>dalībvalstu</w:t>
            </w:r>
            <w:r>
              <w:t xml:space="preserve"> līmenī. Turklāt būtu jāparedz arī iespēja jebkādus papildu resursus izmantot vistrūcīgāko iedzīvotāju atbalstam. Tāpat būtu </w:t>
            </w:r>
            <w:r>
              <w:rPr>
                <w:rFonts w:ascii="Times New Roman" w:eastAsia="Times New Roman" w:hAnsi="Times New Roman" w:cs="Times New Roman"/>
                <w:b/>
                <w:i/>
                <w:strike w:val="0"/>
                <w:color w:val="auto"/>
                <w:sz w:val="24"/>
                <w:highlight w:val="none"/>
                <w:u w:val="none" w:color="auto"/>
                <w:vertAlign w:val="baseline"/>
              </w:rPr>
              <w:t>jānosaka maksimālās robežas</w:t>
            </w:r>
            <w:r>
              <w:t xml:space="preserve"> attiecībā uz piešķīrumu tehniskajai palīdzībai pēc dalībvalstu iniciatīvas, vienlaikus nodrošinot dalībvalstīm maksimālu elastību attiecībā uz palīdzības sadalījumu darbības programmās, ko atbalsta no ERAF vai ESF. Būtu jāprecizē, ka attiecībā uz papildu resursiem nav nepieciešams ievērot ESF minimālo daļu. Ir sagaidāms, ka papildu resursi tiks tērēti ātri, tāpēc saistības, kas ir saistītas ar minētajiem papildu resursiem, būtu jāatceļ tikai darbības programmu slēgšanas brīdī.</w:t>
            </w:r>
          </w:p>
        </w:tc>
        <w:tc>
          <w:tcPr>
            <w:tcW w:w="4876" w:type="dxa"/>
            <w:vAlign w:val="top"/>
          </w:tcPr>
          <w:p>
            <w:pPr>
              <w:pStyle w:val="Normal6a"/>
            </w:pPr>
            <w:r>
              <w:t>(7)</w:t>
            </w:r>
            <w:r>
              <w:tab/>
            </w:r>
            <w:r>
              <w:t xml:space="preserve">Lai dalībvalstis varētu maksimāli elastīgi pielāgot ar Covid-19 pandēmiju saistītās krīzes seku pārvarēšanas pasākumus vai sagatavoties zaļai, digitālai un noturīgai ekonomikas atveseļošanai, Komisijai piešķīrumi būtu jānosaka </w:t>
            </w:r>
            <w:r>
              <w:rPr>
                <w:rFonts w:ascii="Times New Roman" w:eastAsia="Times New Roman" w:hAnsi="Times New Roman" w:cs="Times New Roman"/>
                <w:b/>
                <w:i/>
                <w:strike w:val="0"/>
                <w:color w:val="auto"/>
                <w:sz w:val="24"/>
                <w:highlight w:val="none"/>
                <w:u w:val="none" w:color="auto"/>
                <w:vertAlign w:val="baseline"/>
              </w:rPr>
              <w:t>NUTS-2 reģionu</w:t>
            </w:r>
            <w:r>
              <w:t xml:space="preserve"> līmenī. Turklāt būtu jāparedz arī iespēja jebkādus papildu resursus izmantot vistrūcīgāko iedzīvotāju atbalstam. Tāpat būtu </w:t>
            </w:r>
            <w:r>
              <w:rPr>
                <w:rFonts w:ascii="Times New Roman" w:eastAsia="Times New Roman" w:hAnsi="Times New Roman" w:cs="Times New Roman"/>
                <w:b/>
                <w:i/>
                <w:strike w:val="0"/>
                <w:color w:val="auto"/>
                <w:sz w:val="24"/>
                <w:highlight w:val="none"/>
                <w:u w:val="none" w:color="auto"/>
                <w:vertAlign w:val="baseline"/>
              </w:rPr>
              <w:t>jāparedz elastīgums</w:t>
            </w:r>
            <w:r>
              <w:t xml:space="preserve"> attiecībā uz piešķīrumu tehniskajai palīdzībai pēc dalībvalstu iniciatīvas, vienlaikus nodrošinot dalībvalstīm </w:t>
            </w:r>
            <w:r>
              <w:rPr>
                <w:rFonts w:ascii="Times New Roman" w:eastAsia="Times New Roman" w:hAnsi="Times New Roman" w:cs="Times New Roman"/>
                <w:b/>
                <w:i/>
                <w:strike w:val="0"/>
                <w:color w:val="auto"/>
                <w:sz w:val="24"/>
                <w:highlight w:val="none"/>
                <w:u w:val="none" w:color="auto"/>
                <w:vertAlign w:val="baseline"/>
              </w:rPr>
              <w:t>arī</w:t>
            </w:r>
            <w:r>
              <w:t xml:space="preserve"> maksimālu elastību attiecībā uz palīdzības sadalījumu darbības programmās, ko atbalsta no ERAF vai ESF. Būtu jāprecizē, ka attiecībā uz papildu resursiem nav nepieciešams ievērot ESF minimālo daļu. Ir sagaidāms, ka papildu resursi tiks tērēti ātri, tāpēc saistības, kas ir saistītas ar minētajiem papildu resursiem, būtu jāatceļ tikai darbības programmu slēgšanas brīdī.</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9.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arī turpmāk būtu jāļauj dalībvalstīm izmantot papildu resursus galvenokārt investīcijām veselības aprūpes produktos un pakalpojumos, atbalsta sniegšanai apgrozāmā kapitāla vai investīciju atbalsta veidā MVU vajadzībām, darbībām, kas veicina pāreju uz digitālo un zaļo ekonomiku, infrastruktūrai, ar ko sniedz pamatpakalpojumus iedzīvotājiem, vai ekonomikas atbalsta pasākumiem tiem reģioniem, kuri ir visvairāk atkarīgi no krīzes vissmagāk skartajām nozarēm. Būtu jāatbalsta arī tehniskā palīdzība.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xml:space="preserve">, arī turpmāk būtu jāļauj dalībvalstīm izmantot papildu resursus galvenokārt investīcijām veselības aprūpes produktos un pakalpojumos, </w:t>
            </w:r>
            <w:r>
              <w:rPr>
                <w:rFonts w:ascii="Times New Roman" w:eastAsia="Times New Roman" w:hAnsi="Times New Roman" w:cs="Times New Roman"/>
                <w:b/>
                <w:i/>
                <w:strike w:val="0"/>
                <w:color w:val="auto"/>
                <w:sz w:val="24"/>
                <w:highlight w:val="none"/>
                <w:u w:val="none" w:color="auto"/>
                <w:vertAlign w:val="baseline"/>
              </w:rPr>
              <w:t>nodrošinot maksimālu papildināmību ar programmu "ES Veselība",</w:t>
            </w:r>
            <w:r>
              <w:t xml:space="preserve"> atbalsta sniegšanai apgrozāmā kapitāla vai investīciju atbalsta veidā MVU vajadzībām, darbībām, kas veicina pāreju uz digitālo un zaļo ekonomiku, infrastruktūrai, ar ko sniedz pamatpakalpojumus iedzīvotājiem</w:t>
            </w:r>
            <w:r>
              <w:rPr>
                <w:rFonts w:ascii="Times New Roman" w:eastAsia="Times New Roman" w:hAnsi="Times New Roman" w:cs="Times New Roman"/>
                <w:b/>
                <w:i/>
                <w:strike w:val="0"/>
                <w:color w:val="auto"/>
                <w:sz w:val="24"/>
                <w:highlight w:val="none"/>
                <w:u w:val="none" w:color="auto"/>
                <w:vertAlign w:val="baseline"/>
              </w:rPr>
              <w:t>, sociālās infrastruktūras attīstīšanai</w:t>
            </w:r>
            <w:r>
              <w:t>, vai ekonomikas atbalsta pasākumiem tiem reģioniem, kuri ir visvairāk atkarīgi no krīzes vissmagāk skartajām nozarēm. Būtu jāatbalsta arī tehniskā palīdzība.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5</w:t>
            </w:r>
            <w:r>
              <w:t xml:space="preserve"> </w:t>
            </w:r>
            <w:r>
              <w:t>Eiropas Parlamenta un Padomes Regula (ES)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c>
          <w:tcPr>
            <w:tcW w:w="4876" w:type="dxa"/>
            <w:vAlign w:val="top"/>
          </w:tcPr>
          <w:p>
            <w:pPr>
              <w:pStyle w:val="Normal6a"/>
            </w:pPr>
            <w:r>
              <w:rPr>
                <w:rStyle w:val="Sup"/>
              </w:rPr>
              <w:t>5</w:t>
            </w:r>
            <w:r>
              <w:t xml:space="preserve"> </w:t>
            </w:r>
            <w:r>
              <w:t>Eiropas Parlamenta un Padomes Regula (ES)2020/460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t xml:space="preserve">, </w:t>
      </w:r>
      <w:r>
        <w:t>Olivier Chastel</w:t>
      </w:r>
      <w:r>
        <w:t xml:space="preserve">, </w:t>
      </w:r>
      <w:r>
        <w:t>Valérie Hayer</w:t>
      </w:r>
      <w:r>
        <w:t xml:space="preserve">, </w:t>
      </w:r>
      <w:r>
        <w:t>Moritz Körner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9.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arī turpmāk būtu jāļauj dalībvalstīm izmantot papildu resursus galvenokārt investīcijām veselības aprūpes produktos un pakalpojumos, atbalsta sniegšanai apgrozāmā kapitāla vai investīciju atbalsta veidā MVU vajadzībām, darbībām, kas veicina pāreju uz digitālo un zaļo ekonomiku, infrastruktūrai, ar ko sniedz pamatpakalpojumus iedzīvotājiem, vai ekonomikas atbalsta pasākumiem tiem reģioniem, kuri ir visvairāk atkarīgi no krīzes vissmagāk skartajām nozarēm. Būtu jāatbalsta arī tehniskā palīdzība.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xml:space="preserve">, arī turpmāk būtu jāļauj dalībvalstīm izmantot papildu resursus galvenokārt investīcijām veselības aprūpes produktos un pakalpojumos, atbalsta sniegšanai apgrozāmā kapitāla vai investīciju atbalsta veidā MVU vajadzībām, darbībām, kas veicina pāreju uz digitālo un zaļo ekonomiku, infrastruktūrai, ar ko sniedz pamatpakalpojumus iedzīvotājiem, vai ekonomikas atbalsta pasākumiem tiem reģioniem, kuri ir visvairāk atkarīgi no krīzes vissmagāk skartajām nozarēm. Būtu jāatbalsta arī tehniskā </w:t>
            </w:r>
            <w:r>
              <w:rPr>
                <w:rFonts w:ascii="Times New Roman" w:eastAsia="Times New Roman" w:hAnsi="Times New Roman" w:cs="Times New Roman"/>
                <w:b/>
                <w:i/>
                <w:strike w:val="0"/>
                <w:color w:val="auto"/>
                <w:sz w:val="24"/>
                <w:highlight w:val="none"/>
                <w:u w:val="none" w:color="auto"/>
                <w:vertAlign w:val="baseline"/>
              </w:rPr>
              <w:t>un administratīvā</w:t>
            </w:r>
            <w:r>
              <w:t xml:space="preserve"> palīdzība </w:t>
            </w:r>
            <w:r>
              <w:rPr>
                <w:rFonts w:ascii="Times New Roman" w:eastAsia="Times New Roman" w:hAnsi="Times New Roman" w:cs="Times New Roman"/>
                <w:b/>
                <w:i/>
                <w:strike w:val="0"/>
                <w:color w:val="auto"/>
                <w:sz w:val="24"/>
                <w:highlight w:val="none"/>
                <w:u w:val="none" w:color="auto"/>
                <w:vertAlign w:val="baseline"/>
              </w:rPr>
              <w:t>īstenošanas procesā</w:t>
            </w:r>
            <w:r>
              <w:t>.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5</w:t>
            </w:r>
            <w:r>
              <w:t xml:space="preserve"> </w:t>
            </w:r>
            <w:r>
              <w:t>Eiropas Parlamenta un Padomes Regula (ES)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c>
          <w:tcPr>
            <w:tcW w:w="4876" w:type="dxa"/>
            <w:vAlign w:val="top"/>
          </w:tcPr>
          <w:p>
            <w:pPr>
              <w:pStyle w:val="Normal6a"/>
            </w:pPr>
            <w:r>
              <w:rPr>
                <w:rStyle w:val="Sup"/>
              </w:rPr>
              <w:t>5</w:t>
            </w:r>
            <w:r>
              <w:t xml:space="preserve"> </w:t>
            </w:r>
            <w:r>
              <w:t>Eiropas Parlamenta un Padomes Regula (ES)2020/460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t xml:space="preserve">, </w:t>
      </w:r>
      <w:r>
        <w:t>Olivier Chastel</w:t>
      </w:r>
      <w:r>
        <w:t xml:space="preserve">, </w:t>
      </w:r>
      <w:r>
        <w:t>Valérie Hayer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9.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arī turpmāk būtu jāļauj dalībvalstīm izmantot papildu resursus galvenokārt investīcijām veselības aprūpes produktos un pakalpojumos, atbalsta sniegšanai apgrozāmā kapitāla vai investīciju atbalsta veidā MVU vajadzībām, darbībām, kas veicina pāreju uz digitālo un zaļo ekonomiku, infrastruktūrai, ar ko sniedz pamatpakalpojumus iedzīvotājiem, vai ekonomikas atbalsta pasākumiem tiem reģioniem, kuri ir visvairāk atkarīgi no krīzes vissmagāk skartajām nozarēm. Būtu jāatbalsta arī tehniskā palīdzība.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xml:space="preserve">, arī turpmāk būtu jāļauj dalībvalstīm izmantot papildu resursus galvenokārt investīcijām veselības aprūpes produktos un pakalpojumos, atbalsta sniegšanai apgrozāmā kapitāla vai investīciju atbalsta veidā MVU vajadzībām, darbībām, kas veicina pāreju uz digitālo un zaļo ekonomiku, infrastruktūrai, ar ko sniedz pamatpakalpojumus iedzīvotājiem, vai ekonomikas atbalsta pasākumiem tiem reģioniem, kuri ir visvairāk atkarīgi no krīzes vissmagāk skartajām nozarēm. Būtu jāatbalsta arī tehniskā </w:t>
            </w:r>
            <w:r>
              <w:rPr>
                <w:rFonts w:ascii="Times New Roman" w:eastAsia="Times New Roman" w:hAnsi="Times New Roman" w:cs="Times New Roman"/>
                <w:b/>
                <w:i/>
                <w:strike w:val="0"/>
                <w:color w:val="auto"/>
                <w:sz w:val="24"/>
                <w:highlight w:val="none"/>
                <w:u w:val="none" w:color="auto"/>
                <w:vertAlign w:val="baseline"/>
              </w:rPr>
              <w:t>un administratīvā</w:t>
            </w:r>
            <w:r>
              <w:t xml:space="preserve"> palīdzība </w:t>
            </w:r>
            <w:r>
              <w:rPr>
                <w:rFonts w:ascii="Times New Roman" w:eastAsia="Times New Roman" w:hAnsi="Times New Roman" w:cs="Times New Roman"/>
                <w:b/>
                <w:i/>
                <w:strike w:val="0"/>
                <w:color w:val="auto"/>
                <w:sz w:val="24"/>
                <w:highlight w:val="none"/>
                <w:u w:val="none" w:color="auto"/>
                <w:vertAlign w:val="baseline"/>
              </w:rPr>
              <w:t>īstenošanas procesā</w:t>
            </w:r>
            <w:r>
              <w:t>.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5</w:t>
            </w:r>
            <w:r>
              <w:t xml:space="preserve"> </w:t>
            </w:r>
            <w:r>
              <w:t>Eiropas Parlamenta un Padomes Regula (ES)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c>
          <w:tcPr>
            <w:tcW w:w="4876" w:type="dxa"/>
            <w:vAlign w:val="top"/>
          </w:tcPr>
          <w:p>
            <w:pPr>
              <w:pStyle w:val="Normal6a"/>
            </w:pPr>
            <w:r>
              <w:rPr>
                <w:rStyle w:val="Sup"/>
              </w:rPr>
              <w:t>5</w:t>
            </w:r>
            <w:r>
              <w:t xml:space="preserve"> </w:t>
            </w:r>
            <w:r>
              <w:t>Eiropas Parlamenta un Padomes Regula (ES)2020/460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Victor Negrescu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9.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xml:space="preserve">, arī turpmāk būtu jāļauj dalībvalstīm izmantot papildu resursus galvenokārt investīcijām veselības aprūpes produktos un pakalpojumos, atbalsta sniegšanai apgrozāmā kapitāla vai investīciju atbalsta veidā MVU vajadzībām, darbībām, kas veicina pāreju uz digitālo un zaļo ekonomiku, infrastruktūrai, ar ko sniedz pamatpakalpojumus iedzīvotājiem, vai ekonomikas atbalsta pasākumiem tiem reģioniem, kuri ir visvairāk atkarīgi no krīzes vissmagāk skartajām nozarēm. </w:t>
            </w:r>
            <w:r>
              <w:rPr>
                <w:rFonts w:ascii="Times New Roman" w:eastAsia="Times New Roman" w:hAnsi="Times New Roman" w:cs="Times New Roman"/>
                <w:b/>
                <w:i/>
                <w:strike w:val="0"/>
                <w:color w:val="auto"/>
                <w:sz w:val="24"/>
                <w:highlight w:val="none"/>
                <w:u w:val="none" w:color="auto"/>
                <w:vertAlign w:val="baseline"/>
              </w:rPr>
              <w:t>Būtu jāatbalsta arī</w:t>
            </w:r>
            <w:r>
              <w:t xml:space="preserve"> tehniskā palīdzība.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c>
          <w:tcPr>
            <w:tcW w:w="4876" w:type="dxa"/>
            <w:vAlign w:val="top"/>
          </w:tcPr>
          <w:p>
            <w:pPr>
              <w:pStyle w:val="Normal6a"/>
            </w:pPr>
            <w:r>
              <w:t>(9)</w:t>
            </w:r>
            <w:r>
              <w:tab/>
            </w:r>
            <w:r>
              <w:t>Lai papildinātu darbības, kuras jau ietilpst ERAF atbalsta darbības jomā, ko paplašināja ar Eiropas Parlamenta un Padomes Regulām (ES) 2020/460 un (ES) 2020/558</w:t>
            </w:r>
            <w:r>
              <w:rPr>
                <w:rStyle w:val="Sup"/>
              </w:rPr>
              <w:t>5</w:t>
            </w:r>
            <w:r>
              <w:t xml:space="preserve">, arī turpmāk būtu jāļauj dalībvalstīm izmantot papildu resursus galvenokārt investīcijām veselības aprūpes produktos un pakalpojumos, atbalsta sniegšanai apgrozāmā kapitāla vai investīciju atbalsta veidā MVU vajadzībām, darbībām, kas veicina pāreju uz digitālo un zaļo ekonomiku, infrastruktūrai, ar ko sniedz pamatpakalpojumus iedzīvotājiem, vai ekonomikas atbalsta pasākumiem tiem reģioniem, kuri ir visvairāk atkarīgi no krīzes vissmagāk skartajām nozarēm. </w:t>
            </w:r>
            <w:r>
              <w:rPr>
                <w:rFonts w:ascii="Times New Roman" w:eastAsia="Times New Roman" w:hAnsi="Times New Roman" w:cs="Times New Roman"/>
                <w:b/>
                <w:i/>
                <w:strike w:val="0"/>
                <w:color w:val="auto"/>
                <w:sz w:val="24"/>
                <w:highlight w:val="none"/>
                <w:u w:val="none" w:color="auto"/>
                <w:vertAlign w:val="baseline"/>
              </w:rPr>
              <w:t>Visām dalībvalstīm, kurām nepieciešama</w:t>
            </w:r>
            <w:r>
              <w:t xml:space="preserve"> tehniskā palīdzība</w:t>
            </w:r>
            <w:r>
              <w:rPr>
                <w:rFonts w:ascii="Times New Roman" w:eastAsia="Times New Roman" w:hAnsi="Times New Roman" w:cs="Times New Roman"/>
                <w:b/>
                <w:i/>
                <w:strike w:val="0"/>
                <w:color w:val="auto"/>
                <w:sz w:val="24"/>
                <w:highlight w:val="none"/>
                <w:u w:val="none" w:color="auto"/>
                <w:vertAlign w:val="baseline"/>
              </w:rPr>
              <w:t>, tā būtu sistemātiski jānodrošina</w:t>
            </w:r>
            <w:r>
              <w:t>. Lai vienkāršotu papildu resursu plānošanu un izpildi, ir lietderīgi papildu resursus koncentrēt tikai jaunajam tematiskajam mērķim “Palīdzēt veicināt ar Covid-19 pandēmiju saistītās krīzes seku pārvarēšanu un sagatavoties zaļas, digitālas un noturīgas ekonomikas atveseļošanai”, kam turklāt vajadzētu būt vienīgajai investīciju prioritātei.</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5</w:t>
            </w:r>
            <w:r>
              <w:t xml:space="preserve"> </w:t>
            </w:r>
            <w:r>
              <w:t>Eiropas Parlamenta un Padomes Regula (ES)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c>
          <w:tcPr>
            <w:tcW w:w="4876" w:type="dxa"/>
            <w:vAlign w:val="top"/>
          </w:tcPr>
          <w:p>
            <w:pPr>
              <w:pStyle w:val="Normal6a"/>
            </w:pPr>
            <w:r>
              <w:rPr>
                <w:rStyle w:val="Sup"/>
              </w:rPr>
              <w:t>5</w:t>
            </w:r>
            <w:r>
              <w:t xml:space="preserve"> </w:t>
            </w:r>
            <w:r>
              <w:t>Eiropas Parlamenta un Padomes Regula (ES)2020/460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koronavīrusu) (OV L 99, 31.3.2020., 5. lpp.); 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 (OV L 130, 23.4.2020., 1. lpp.).</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10.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 xml:space="preserve">Attiecībā uz ESF papildu resursi dalībvalstīm būtu galvenokārt jāizmanto, lai atbalstītu darbvietu saglabāšanu, arī izmantojot saīsināta darbalaika shēmas un atbalstu pašnodarbinātām personām, darbvietu radīšanu, jo īpaši neaizsargātām iedzīvotāju grupām, atbalstu jauniešu nodarbinātības pasākumiem, izglītībai, apmācībai un prasmju attīstīšanai, un lai uzlabotu piekļuvi vispārējas nozīmes sociālajiem pakalpojumiem, </w:t>
            </w:r>
            <w:r>
              <w:rPr>
                <w:rFonts w:ascii="Times New Roman" w:eastAsia="Times New Roman" w:hAnsi="Times New Roman" w:cs="Times New Roman"/>
                <w:b/>
                <w:i/>
                <w:strike w:val="0"/>
                <w:color w:val="auto"/>
                <w:sz w:val="24"/>
                <w:highlight w:val="none"/>
                <w:u w:val="none" w:color="auto"/>
                <w:vertAlign w:val="baseline"/>
              </w:rPr>
              <w:t>arī</w:t>
            </w:r>
            <w:r>
              <w:t xml:space="preserve"> bērniem. Būtu jāprecizē, ka pašreizējos ārkārtas apstākļos atbalstu darbinieku un pašnodarbināto personu saīsināta darba laika shēmām saistībā ar Covid-19 pandēmiju var sniegt pat tad, ja minētais atbalsts nav apvienots ar aktīviem darba tirgus pasākumiem, ja vien valsts tiesību aktos tie nav noteikti par obligātiem. Savienības atbalsts minētajām saīsinātā darba laika shēmām būtu jāierobežo laikā.</w:t>
            </w:r>
          </w:p>
        </w:tc>
        <w:tc>
          <w:tcPr>
            <w:tcW w:w="4876" w:type="dxa"/>
            <w:vAlign w:val="top"/>
          </w:tcPr>
          <w:p>
            <w:pPr>
              <w:pStyle w:val="Normal6a"/>
            </w:pPr>
            <w:r>
              <w:t>(10)</w:t>
            </w:r>
            <w:r>
              <w:tab/>
            </w:r>
            <w:r>
              <w:t xml:space="preserve">Attiecībā uz ESF papildu resursi dalībvalstīm būtu galvenokārt jāizmanto, lai atbalstītu darbvietu saglabāšanu, arī izmantojot saīsināta darbalaika shēmas un atbalstu pašnodarbinātām personām, darbvietu radīšanu, jo īpaši neaizsargātām iedzīvotāju grupām, atbalstu jauniešu nodarbinātības pasākumiem, izglītībai, apmācībai un prasmju attīstīšanai, un lai uzlabotu piekļuvi </w:t>
            </w:r>
            <w:r>
              <w:rPr>
                <w:rFonts w:ascii="Times New Roman" w:eastAsia="Times New Roman" w:hAnsi="Times New Roman" w:cs="Times New Roman"/>
                <w:b/>
                <w:i/>
                <w:strike w:val="0"/>
                <w:color w:val="auto"/>
                <w:sz w:val="24"/>
                <w:highlight w:val="none"/>
                <w:u w:val="none" w:color="auto"/>
                <w:vertAlign w:val="baseline"/>
              </w:rPr>
              <w:t>vispārējiem, iekļaujošiem, pieejamiem, izmaksu ziņā pieņemamiem un kvalitatīviem pakalpojumiem, tostarp veselības aprūpes un</w:t>
            </w:r>
            <w:r>
              <w:t xml:space="preserve"> vispārējas nozīmes sociālajiem pakalpojumiem, </w:t>
            </w:r>
            <w:r>
              <w:rPr>
                <w:rFonts w:ascii="Times New Roman" w:eastAsia="Times New Roman" w:hAnsi="Times New Roman" w:cs="Times New Roman"/>
                <w:b/>
                <w:i/>
                <w:strike w:val="0"/>
                <w:color w:val="auto"/>
                <w:sz w:val="24"/>
                <w:highlight w:val="none"/>
                <w:u w:val="none" w:color="auto"/>
                <w:vertAlign w:val="baseline"/>
              </w:rPr>
              <w:t>īpašu uzmanību pievēršot noturības veidošanai aprūpes un bērnu aprūpes nozarē, kā arī lai uzlabotu pakalpojumu pieejamību neaizsargātām grupām un</w:t>
            </w:r>
            <w:r>
              <w:t xml:space="preserve"> bērniem. Būtu jāprecizē, ka pašreizējos ārkārtas apstākļos atbalstu darbinieku un pašnodarbināto personu saīsināta darba laika shēmām saistībā ar Covid-19 pandēmiju var sniegt pat tad, ja minētais atbalsts nav apvienots ar aktīviem darba tirgus pasākumiem, ja vien valsts tiesību aktos tie nav noteikti par obligātiem. Savienības atbalsts minētajām saīsinātā darba laika shēmām būtu jāierobežo laikā.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10.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Attiecībā uz ESF papildu resursi dalībvalstīm būtu galvenokārt jāizmanto, lai atbalstītu darbvietu saglabāšanu, arī izmantojot saīsināta darbalaika shēmas un atbalstu pašnodarbinātām personām, darbvietu radīšanu, jo īpaši neaizsargātām iedzīvotāju grupām, atbalstu jauniešu nodarbinātības pasākumiem, izglītībai, apmācībai un prasmju attīstīšanai, un lai uzlabotu piekļuvi vispārējas nozīmes sociālajiem pakalpojumiem, arī bērniem. Būtu jāprecizē, ka pašreizējos ārkārtas apstākļos atbalstu darbinieku un pašnodarbināto personu saīsināta darba laika shēmām saistībā ar Covid-19 pandēmiju var sniegt pat tad, ja minētais atbalsts nav apvienots ar aktīviem darba tirgus pasākumiem, ja vien valsts tiesību aktos tie nav noteikti par obligātiem. Savienības atbalsts minētajām saīsinātā darba laika shēmām būtu jāierobežo laikā.</w:t>
            </w:r>
          </w:p>
        </w:tc>
        <w:tc>
          <w:tcPr>
            <w:tcW w:w="4876" w:type="dxa"/>
            <w:vAlign w:val="top"/>
          </w:tcPr>
          <w:p>
            <w:pPr>
              <w:pStyle w:val="Normal6a"/>
            </w:pPr>
            <w:r>
              <w:t>(10)</w:t>
            </w:r>
            <w:r>
              <w:tab/>
            </w:r>
            <w:r>
              <w:t xml:space="preserve">Attiecībā uz ESF papildu resursi dalībvalstīm būtu galvenokārt jāizmanto, lai atbalstītu darbvietu saglabāšanu, </w:t>
            </w:r>
            <w:r>
              <w:rPr>
                <w:rFonts w:ascii="Times New Roman" w:eastAsia="Times New Roman" w:hAnsi="Times New Roman" w:cs="Times New Roman"/>
                <w:b/>
                <w:i/>
                <w:strike w:val="0"/>
                <w:color w:val="auto"/>
                <w:sz w:val="24"/>
                <w:highlight w:val="none"/>
                <w:u w:val="none" w:color="auto"/>
                <w:vertAlign w:val="baseline"/>
              </w:rPr>
              <w:t>tostarp salu, attālos, lauku un reti apdzīvotos apvidos,</w:t>
            </w:r>
            <w:r>
              <w:t xml:space="preserve"> arī izmantojot saīsināta darbalaika shēmas un atbalstu pašnodarbinātām personām, darbvietu radīšanu, jo īpaši neaizsargātām iedzīvotāju grupām, atbalstu jauniešu nodarbinātības pasākumiem, izglītībai, apmācībai un prasmju attīstīšanai, un lai uzlabotu piekļuvi vispārējas nozīmes sociālajiem pakalpojumiem, arī bērniem. Būtu jāprecizē, ka pašreizējos ārkārtas apstākļos atbalstu darbinieku un pašnodarbināto personu saīsināta darba laika shēmām saistībā ar Covid-19 pandēmiju var sniegt pat tad, ja minētais atbalsts nav apvienots ar aktīviem darba tirgus pasākumiem, ja vien valsts tiesību aktos tie nav noteikti par obligātiem. Savienības atbalsts minētajām saīsinātā darba laika shēmām būtu jāierobežo laikā.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10.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(10)</w:t>
            </w:r>
            <w:r>
              <w:tab/>
            </w:r>
            <w:r>
              <w:t>Attiecībā uz ESF papildu resursi dalībvalstīm būtu galvenokārt jāizmanto, lai atbalstītu darbvietu saglabāšanu, arī izmantojot saīsināta darbalaika shēmas un atbalstu pašnodarbinātām personām, darbvietu radīšanu, jo īpaši neaizsargātām iedzīvotāju grupām, atbalstu jauniešu nodarbinātības pasākumiem, izglītībai, apmācībai un prasmju attīstīšanai, un lai uzlabotu piekļuvi vispārējas nozīmes sociālajiem pakalpojumiem, arī bērniem. Būtu jāprecizē, ka pašreizējos ārkārtas apstākļos atbalstu darbinieku un pašnodarbināto personu saīsināta darba laika shēmām saistībā ar Covid-19 pandēmiju var sniegt pat tad, ja minētais atbalsts nav apvienots ar aktīviem darba tirgus pasākumiem, ja vien valsts tiesību aktos tie nav noteikti par obligātiem. Savienības atbalsts minētajām saīsinātā darba laika shēmām būtu jāierobežo laikā.</w:t>
            </w:r>
          </w:p>
        </w:tc>
        <w:tc>
          <w:tcPr>
            <w:tcW w:w="4876" w:type="dxa"/>
            <w:vAlign w:val="top"/>
          </w:tcPr>
          <w:p>
            <w:pPr>
              <w:pStyle w:val="Normal6a"/>
            </w:pPr>
            <w:r>
              <w:t>(10)</w:t>
            </w:r>
            <w:r>
              <w:tab/>
            </w:r>
            <w:r>
              <w:t xml:space="preserve">Attiecībā uz ESF papildu resursi dalībvalstīm būtu galvenokārt jāizmanto, lai atbalstītu darbvietu saglabāšanu, arī izmantojot saīsināta darbalaika shēmas un atbalstu pašnodarbinātām personām, darbvietu radīšanu, jo īpaši neaizsargātām iedzīvotāju grupām, atbalstu jauniešu nodarbinātības pasākumiem, </w:t>
            </w:r>
            <w:r>
              <w:rPr>
                <w:rFonts w:ascii="Times New Roman" w:eastAsia="Times New Roman" w:hAnsi="Times New Roman" w:cs="Times New Roman"/>
                <w:b/>
                <w:i/>
                <w:strike w:val="0"/>
                <w:color w:val="auto"/>
                <w:sz w:val="24"/>
                <w:highlight w:val="none"/>
                <w:u w:val="none" w:color="auto"/>
                <w:vertAlign w:val="baseline"/>
              </w:rPr>
              <w:t>sociālajai iekļaušanai,</w:t>
            </w:r>
            <w:r>
              <w:t xml:space="preserve"> izglītībai, apmācībai un prasmju attīstīšanai, un lai </w:t>
            </w:r>
            <w:r>
              <w:rPr>
                <w:rFonts w:ascii="Times New Roman" w:eastAsia="Times New Roman" w:hAnsi="Times New Roman" w:cs="Times New Roman"/>
                <w:b/>
                <w:i/>
                <w:strike w:val="0"/>
                <w:color w:val="auto"/>
                <w:sz w:val="24"/>
                <w:highlight w:val="none"/>
                <w:u w:val="none" w:color="auto"/>
                <w:vertAlign w:val="baseline"/>
              </w:rPr>
              <w:t>izskaustu nabadzību, tostarp bērnu nabadzību, un</w:t>
            </w:r>
            <w:r>
              <w:t xml:space="preserve"> uzlabotu piekļuvi vispārējas nozīmes sociālajiem pakalpojumiem, arī bērniem. Būtu jāprecizē, ka pašreizējos ārkārtas apstākļos atbalstu darbinieku un pašnodarbināto personu saīsināta darba laika shēmām saistībā ar Covid-19 pandēmiju var sniegt pat tad, ja minētais atbalsts nav apvienots ar aktīviem darba tirgus pasākumiem, ja vien valsts tiesību aktos tie nav noteikti par obligātiem. Savienības atbalsts minētajām saīsinātā darba laika shēmām būtu jāierobežo laikā.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10.a apsvērums (jauns)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(10a)</w:t>
            </w:r>
            <w:r>
              <w:tab/>
            </w:r>
            <w:r>
              <w:rPr>
                <w:rFonts w:ascii="Times New Roman" w:eastAsia="Times New Roman" w:hAnsi="Times New Roman" w:cs="Times New Roman"/>
                <w:b/>
                <w:i/>
                <w:strike w:val="0"/>
                <w:color w:val="auto"/>
                <w:sz w:val="24"/>
                <w:highlight w:val="none"/>
                <w:u w:val="none" w:color="auto"/>
                <w:vertAlign w:val="baseline"/>
              </w:rPr>
              <w:t>Tā kā dalībvalstu savstarpējo robežu slēgšana uz laiku ir radījusi ievērojamas grūtības pārrobežu kopienām, vismaz 7 % no papildu resursiem dalībvalstīm būtu jāizmanto, lai atbalstītu pārrobežu projektus, izmantojot esošos Interreg sadarbības projektus vai izveidojot jaunus.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Victor Negrescu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11.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(11)</w:t>
            </w:r>
            <w:r>
              <w:tab/>
            </w:r>
            <w:r>
              <w:t xml:space="preserve">Lai nodrošinātu, ka dalībvalstīm ir pietiekami finanšu līdzekļi, kas ļautu ātri īstenot ar Covid-19 pandēmiju saistītās krīzes seku pārvarēšanu pasākumus un sagatavoties zaļai, digitālai un noturīgai ekonomikas atveseļošanai, ir nepieciešams nodrošināt lielāku sākotnējā priekšfinansējuma maksājumu, lai ātri īstenotu darbības, ko atbalsta ar papildu resursiem. </w:t>
            </w:r>
            <w:r>
              <w:rPr>
                <w:rFonts w:ascii="Times New Roman" w:eastAsia="Times New Roman" w:hAnsi="Times New Roman" w:cs="Times New Roman"/>
                <w:b/>
                <w:i/>
                <w:strike w:val="0"/>
                <w:color w:val="auto"/>
                <w:sz w:val="24"/>
                <w:highlight w:val="none"/>
                <w:u w:val="none" w:color="auto"/>
                <w:vertAlign w:val="baseline"/>
              </w:rPr>
              <w:t>Izmaksājamā sākotnējā priekšfinansējuma apmēram būtu jābūt tādam, lai dalībvalstīm būtu līdzekļi, no kuriem</w:t>
            </w:r>
            <w:r>
              <w:t xml:space="preserve"> vajadzības gadījumā saņēmējiem tiktu veikti avansa maksājumi un ātra izmaksu atlīdzināšana pēc maksājuma pieprasījuma iesniegšanas.</w:t>
            </w:r>
          </w:p>
        </w:tc>
        <w:tc>
          <w:tcPr>
            <w:tcW w:w="4876" w:type="dxa"/>
            <w:vAlign w:val="top"/>
          </w:tcPr>
          <w:p>
            <w:pPr>
              <w:pStyle w:val="Normal6a"/>
            </w:pPr>
            <w:r>
              <w:t>(11)</w:t>
            </w:r>
            <w:r>
              <w:tab/>
            </w:r>
            <w:r>
              <w:t xml:space="preserve">Lai nodrošinātu, ka dalībvalstīm ir pietiekami finanšu līdzekļi, kas ļautu ātri īstenot ar Covid-19 pandēmiju saistītās krīzes seku pārvarēšanu pasākumus un sagatavoties zaļai, digitālai un noturīgai ekonomikas atveseļošanai, ir nepieciešams nodrošināt lielāku sākotnējā priekšfinansējuma maksājumu, lai ātri īstenotu darbības, ko atbalsta ar papildu resursiem. </w:t>
            </w:r>
            <w:r>
              <w:rPr>
                <w:rFonts w:ascii="Times New Roman" w:eastAsia="Times New Roman" w:hAnsi="Times New Roman" w:cs="Times New Roman"/>
                <w:b/>
                <w:i/>
                <w:strike w:val="0"/>
                <w:color w:val="auto"/>
                <w:sz w:val="24"/>
                <w:highlight w:val="none"/>
                <w:u w:val="none" w:color="auto"/>
                <w:vertAlign w:val="baseline"/>
              </w:rPr>
              <w:t>50 % no 2020. gada papildu resursiem izmaksās kā sākotnējo priekšfinansējumu, un tiem būtu jānodrošina, ka dalībvalstīm ir līdzekļi, lai</w:t>
            </w:r>
            <w:r>
              <w:t xml:space="preserve"> vajadzības gadījumā saņēmējiem tiktu veikti avansa maksājumi un ātra izmaksu atlīdzināšana pēc maksājuma pieprasījuma iesniegšanas.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11.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(11)</w:t>
            </w:r>
            <w:r>
              <w:tab/>
            </w:r>
            <w:r>
              <w:t>Lai nodrošinātu, ka dalībvalstīm ir pietiekami finanšu līdzekļi, kas ļautu ātri īstenot ar Covid-19 pandēmiju saistītās krīzes seku pārvarēšanu pasākumus un sagatavoties zaļai, digitālai un noturīgai ekonomikas atveseļošanai, ir nepieciešams nodrošināt lielāku sākotnējā priekšfinansējuma maksājumu, lai ātri īstenotu darbības, ko atbalsta ar papildu resursiem. Izmaksājamā sākotnējā priekšfinansējuma apmēram būtu jābūt tādam, lai dalībvalstīm būtu līdzekļi, no kuriem vajadzības gadījumā saņēmējiem tiktu veikti avansa maksājumi un ātra izmaksu atlīdzināšana pēc maksājuma pieprasījuma iesniegšanas.</w:t>
            </w:r>
          </w:p>
        </w:tc>
        <w:tc>
          <w:tcPr>
            <w:tcW w:w="4876" w:type="dxa"/>
            <w:vAlign w:val="top"/>
          </w:tcPr>
          <w:p>
            <w:pPr>
              <w:pStyle w:val="Normal6a"/>
            </w:pPr>
            <w:r>
              <w:t>(11)</w:t>
            </w:r>
            <w:r>
              <w:tab/>
            </w:r>
            <w:r>
              <w:t xml:space="preserve">Lai nodrošinātu, ka dalībvalstīm ir pietiekami finanšu līdzekļi, kas ļautu ātri īstenot ar Covid-19 pandēmiju saistītās krīzes </w:t>
            </w:r>
            <w:r>
              <w:rPr>
                <w:rFonts w:ascii="Times New Roman" w:eastAsia="Times New Roman" w:hAnsi="Times New Roman" w:cs="Times New Roman"/>
                <w:b/>
                <w:i/>
                <w:strike w:val="0"/>
                <w:color w:val="auto"/>
                <w:sz w:val="24"/>
                <w:highlight w:val="none"/>
                <w:u w:val="none" w:color="auto"/>
                <w:vertAlign w:val="baseline"/>
              </w:rPr>
              <w:t>un tās sociālo</w:t>
            </w:r>
            <w:r>
              <w:t xml:space="preserve"> seku pārvarēšanu pasākumus un sagatavoties zaļai, digitālai un noturīgai ekonomikas atveseļošanai, ir nepieciešams nodrošināt lielāku sākotnējā priekšfinansējuma maksājumu, lai ātri īstenotu darbības, ko atbalsta ar papildu resursiem. Izmaksājamā sākotnējā priekšfinansējuma apmēram būtu jābūt tādam, lai dalībvalstīm būtu līdzekļi, no kuriem vajadzības gadījumā saņēmējiem tiktu veikti avansa maksājumi un ātra izmaksu atlīdzināšana pēc maksājuma pieprasījuma iesniegšanas.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12.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w:t>
            </w:r>
            <w:r>
              <w:tab/>
            </w:r>
            <w:r>
              <w:t>Dalībvalstīm vajadzētu būt rīcības brīvībai papildu resursus piešķirt jaunām īpaši izveidotām darbības programmām vai jauniem prioritārajiem virzieniem esošo programmu ietvaros. Lai nodrošinātu ātru īstenošanu, jauno īpaši izveidoto darbības programmu vajadzībām ir atļauts norīkot tikai tās iestādes, kuras jau ir norīkotas esošajās darbības programmās, kas saņem atbalstu no ERAF, ESF vai Kohēzijas fonda. Nevajadzētu prasīt dalībvalstīm veikt ex ante izvērtējumu, un būtu jāierobežo elementi, kas vajadzīgi, lai darbības programmu iesniegtu Komisijas apstiprināšanai.</w:t>
            </w:r>
          </w:p>
        </w:tc>
        <w:tc>
          <w:tcPr>
            <w:tcW w:w="4876" w:type="dxa"/>
            <w:vAlign w:val="top"/>
          </w:tcPr>
          <w:p>
            <w:pPr>
              <w:pStyle w:val="Normal6a"/>
            </w:pPr>
            <w:r>
              <w:t>(12)</w:t>
            </w:r>
            <w:r>
              <w:tab/>
            </w:r>
            <w:r>
              <w:t xml:space="preserve">Dalībvalstīm vajadzētu būt rīcības brīvībai papildu resursus piešķirt jaunām īpaši izveidotām darbības programmām vai jauniem prioritārajiem virzieniem esošo programmu ietvaros. Lai nodrošinātu ātru īstenošanu, jauno īpaši izveidoto darbības programmu vajadzībām ir atļauts norīkot tikai tās iestādes, kuras jau ir norīkotas esošajās darbības programmās, kas saņem atbalstu no ERAF, ESF vai Kohēzijas fonda. Nevajadzētu prasīt dalībvalstīm veikt ex ante izvērtējumu, un būtu jāierobežo elementi, kas vajadzīgi, lai darbības programmu iesniegtu Komisijas apstiprināšanai. </w:t>
            </w:r>
            <w:r>
              <w:rPr>
                <w:rFonts w:ascii="Times New Roman" w:eastAsia="Times New Roman" w:hAnsi="Times New Roman" w:cs="Times New Roman"/>
                <w:b/>
                <w:i/>
                <w:strike w:val="0"/>
                <w:color w:val="auto"/>
                <w:sz w:val="24"/>
                <w:highlight w:val="none"/>
                <w:u w:val="none" w:color="auto"/>
                <w:vertAlign w:val="baseline"/>
              </w:rPr>
              <w:t>Tomēr no REACT-EU nebūtu jāatbalsta nekādas darbības, kas veicina segregāciju vai sociālo atstumtību vai nodrošina ienākumus, kas ir zemāki par dalībvalstu nabadzības slieksni.</w:t>
            </w:r>
            <w:r>
              <w:t xml:space="preserve"> </w:t>
            </w:r>
            <w:r>
              <w:rPr>
                <w:rFonts w:ascii="Times New Roman" w:eastAsia="Times New Roman" w:hAnsi="Times New Roman" w:cs="Times New Roman"/>
                <w:b/>
                <w:i/>
                <w:strike w:val="0"/>
                <w:color w:val="auto"/>
                <w:sz w:val="24"/>
                <w:highlight w:val="none"/>
                <w:u w:val="none" w:color="auto"/>
                <w:vertAlign w:val="baseline"/>
              </w:rPr>
              <w:t>Dzimumu aspekti būtu jāņem vērā visās īstenotajās programmās visā to sagatavošanā, īstenošanā, uzraudzībā un novērtēšanā.</w:t>
            </w:r>
            <w:r>
              <w:t xml:space="preserve"> </w:t>
            </w:r>
            <w:r>
              <w:rPr>
                <w:rFonts w:ascii="Times New Roman" w:eastAsia="Times New Roman" w:hAnsi="Times New Roman" w:cs="Times New Roman"/>
                <w:b/>
                <w:i/>
                <w:strike w:val="0"/>
                <w:color w:val="auto"/>
                <w:sz w:val="24"/>
                <w:highlight w:val="none"/>
                <w:u w:val="none" w:color="auto"/>
                <w:vertAlign w:val="baseline"/>
              </w:rPr>
              <w:t>Turklāt REACT-EU būtu jāatbilst Pamattiesību hartas 21. panta 1. punktam, kas nosaka, ka ir aizliegta visu veidu diskriminācija, tostarp dzimuma, rases, ādas krāsas, etniskās vai sociālās izcelsmes, ģenētisko īpašību, valodas, reliģijas vai pārliecības, politisko vai jebkuru citu uzskatu, piederības nacionālajai minoritātei, īpašuma, izcelsmes, invaliditātes, vecuma vai seksuālās orientācijas dēļ.</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t xml:space="preserve">, </w:t>
      </w:r>
      <w:r>
        <w:t>Valérie Hayer</w:t>
      </w:r>
      <w:r>
        <w:t xml:space="preserve">, </w:t>
      </w:r>
      <w:r>
        <w:t>Olivier Chastel</w:t>
      </w:r>
      <w:r>
        <w:t xml:space="preserve">, </w:t>
      </w:r>
      <w:r>
        <w:t>Moritz Körner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12.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w:t>
            </w:r>
            <w:r>
              <w:tab/>
            </w:r>
            <w:r>
              <w:t>Dalībvalstīm vajadzētu būt rīcības brīvībai papildu resursus piešķirt jaunām īpaši izveidotām darbības programmām vai jauniem prioritārajiem virzieniem esošo programmu ietvaros. Lai nodrošinātu ātru īstenošanu, jauno īpaši izveidoto darbības programmu vajadzībām ir atļauts norīkot tikai tās iestādes, kuras jau ir norīkotas esošajās darbības programmās, kas saņem atbalstu no ERAF, ESF vai Kohēzijas fonda. Nevajadzētu prasīt dalībvalstīm veikt ex ante izvērtējumu, un būtu jāierobežo elementi, kas vajadzīgi, lai darbības programmu iesniegtu Komisijas apstiprināšanai.</w:t>
            </w:r>
          </w:p>
        </w:tc>
        <w:tc>
          <w:tcPr>
            <w:tcW w:w="4876" w:type="dxa"/>
            <w:vAlign w:val="top"/>
          </w:tcPr>
          <w:p>
            <w:pPr>
              <w:pStyle w:val="Normal6a"/>
            </w:pPr>
            <w:r>
              <w:t>(12)</w:t>
            </w:r>
            <w:r>
              <w:tab/>
            </w:r>
            <w:r>
              <w:t xml:space="preserve">Dalībvalstīm vajadzētu būt rīcības brīvībai </w:t>
            </w:r>
            <w:r>
              <w:rPr>
                <w:rFonts w:ascii="Times New Roman" w:eastAsia="Times New Roman" w:hAnsi="Times New Roman" w:cs="Times New Roman"/>
                <w:b/>
                <w:i/>
                <w:strike w:val="0"/>
                <w:color w:val="auto"/>
                <w:sz w:val="24"/>
                <w:highlight w:val="none"/>
                <w:u w:val="none" w:color="auto"/>
                <w:vertAlign w:val="baseline"/>
              </w:rPr>
              <w:t>pēc apspriešanās ar reģionālajām un vietējām iestādēm</w:t>
            </w:r>
            <w:r>
              <w:t xml:space="preserve"> papildu resursus piešķirt jaunām īpaši izveidotām darbības programmām vai jauniem prioritārajiem virzieniem esošo programmu ietvaros. Lai nodrošinātu ātru īstenošanu, jauno īpaši izveidoto darbības programmu vajadzībām ir atļauts norīkot tikai tās iestādes, kuras jau ir norīkotas esošajās darbības programmās, kas saņem atbalstu no ERAF, ESF vai Kohēzijas fonda. Nevajadzētu prasīt dalībvalstīm veikt ex ante izvērtējumu, un būtu jāierobežo elementi, kas vajadzīgi, lai darbības programmu iesniegtu Komisijas apstiprināšanai.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13.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(13)</w:t>
            </w:r>
            <w:r>
              <w:tab/>
            </w:r>
            <w:r>
              <w:t>Lai mazinātu slogu valstu budžetiem saistībā ar krīzes novēršanu Covid-19 pandēmijas kontekstā un lai sagatavotos zaļai, digitālai un noturīgai ekonomikas atveseļošanai, izņēmuma kārtā būtu jādod dalībvalstīm iespēja pieprasīt līdzfinansējuma likmi līdz 100 %, kas tiktu piemērota to darbības programmu atsevišķajiem prioritārajiem virzieniem, kuros sniedz atbalstu no papildu resursiem.</w:t>
            </w:r>
          </w:p>
        </w:tc>
        <w:tc>
          <w:tcPr>
            <w:tcW w:w="4876" w:type="dxa"/>
            <w:vAlign w:val="top"/>
          </w:tcPr>
          <w:p>
            <w:pPr>
              <w:pStyle w:val="Normal6a"/>
            </w:pPr>
            <w:r>
              <w:t>(13)</w:t>
            </w:r>
            <w:r>
              <w:tab/>
            </w:r>
            <w:r>
              <w:t xml:space="preserve">Lai mazinātu slogu valstu budžetiem saistībā ar krīzes novēršanu Covid-19 pandēmijas kontekstā un lai sagatavotos zaļai, digitālai un noturīgai ekonomikas atveseļošanai, izņēmuma kārtā būtu jādod dalībvalstīm iespēja </w:t>
            </w:r>
            <w:r>
              <w:rPr>
                <w:rFonts w:ascii="Times New Roman" w:eastAsia="Times New Roman" w:hAnsi="Times New Roman" w:cs="Times New Roman"/>
                <w:b/>
                <w:i/>
                <w:strike w:val="0"/>
                <w:color w:val="auto"/>
                <w:sz w:val="24"/>
                <w:highlight w:val="none"/>
                <w:u w:val="none" w:color="auto"/>
                <w:vertAlign w:val="baseline"/>
              </w:rPr>
              <w:t>attiecībā uz 2020. un 2021. gadu</w:t>
            </w:r>
            <w:r>
              <w:t xml:space="preserve"> pieprasīt līdzfinansējuma likmi līdz 100 %, kas tiktu piemērota to darbības programmu atsevišķajiem prioritārajiem virzieniem, kuros sniedz atbalstu no papildu resursiem. </w:t>
            </w:r>
            <w:r>
              <w:rPr>
                <w:rFonts w:ascii="Times New Roman" w:eastAsia="Times New Roman" w:hAnsi="Times New Roman" w:cs="Times New Roman"/>
                <w:b/>
                <w:i/>
                <w:strike w:val="0"/>
                <w:color w:val="auto"/>
                <w:sz w:val="24"/>
                <w:highlight w:val="none"/>
                <w:u w:val="none" w:color="auto"/>
                <w:vertAlign w:val="baseline"/>
              </w:rPr>
              <w:t>2022. gadā būtu jāpiemēro ierastie noteikumi par dalībvalstu līdzfinansējumu.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14.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(14)</w:t>
            </w:r>
            <w:r>
              <w:tab/>
            </w:r>
            <w:r>
              <w:t xml:space="preserve">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w:t>
            </w:r>
            <w:r>
              <w:rPr>
                <w:rFonts w:ascii="Times New Roman" w:eastAsia="Times New Roman" w:hAnsi="Times New Roman" w:cs="Times New Roman"/>
                <w:b/>
                <w:i/>
                <w:strike w:val="0"/>
                <w:color w:val="auto"/>
                <w:sz w:val="24"/>
                <w:highlight w:val="none"/>
                <w:u w:val="none" w:color="auto"/>
                <w:vertAlign w:val="baseline"/>
              </w:rPr>
              <w:t>Tomēr</w:t>
            </w:r>
            <w:r>
              <w:t xml:space="preserve"> dalībvalstīm līdz 2024. gada 31. decembrim ir jāveic vismaz viens izvērtējums, lai novērtētu papildu resursu lietderību, efektivitāti un ietekmi, kā arī to, kā tie palīdzējuši izpildīt jaunā īpašā tematiskā mērķa uzdevumus. Lai veicinātu salīdzināmas informācijas pieejamību Savienības līmenī, dalībvalstis tiek mudinātas izmantot programmu īpašos rādītājus, ko darījusi pieejamus Komisija. Turklāt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c>
          <w:tcPr>
            <w:tcW w:w="4876" w:type="dxa"/>
            <w:vAlign w:val="top"/>
          </w:tcPr>
          <w:p>
            <w:pPr>
              <w:pStyle w:val="Normal6a"/>
            </w:pPr>
            <w:r>
              <w:t>(14)</w:t>
            </w:r>
            <w:r>
              <w:tab/>
            </w:r>
            <w:r>
              <w:t xml:space="preserve">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w:t>
            </w:r>
            <w:r>
              <w:rPr>
                <w:rFonts w:ascii="Times New Roman" w:eastAsia="Times New Roman" w:hAnsi="Times New Roman" w:cs="Times New Roman"/>
                <w:b/>
                <w:i/>
                <w:strike w:val="0"/>
                <w:color w:val="auto"/>
                <w:sz w:val="24"/>
                <w:highlight w:val="none"/>
                <w:u w:val="none" w:color="auto"/>
                <w:vertAlign w:val="baseline"/>
              </w:rPr>
              <w:t>Tāpēc attiecīgi ir pamatoti stiprināt programmas īstenošanas laikā veicamos novērtējumus, lai nodrošinātu, ka ES līdzekļi tiek tērēti lietderīgi un palīdzētu sasniegt izvirzītos mērķus, respektīvi, īstenot ar Covid-19 pandēmiju saistītās krīzes seku pārvarēšanas pasākumus un sagatavoties zaļai, digitālai un noturīgai ekonomikas atveseļošanai.</w:t>
            </w:r>
            <w:r>
              <w:t xml:space="preserve"> </w:t>
            </w:r>
            <w:r>
              <w:rPr>
                <w:rFonts w:ascii="Times New Roman" w:eastAsia="Times New Roman" w:hAnsi="Times New Roman" w:cs="Times New Roman"/>
                <w:b/>
                <w:i/>
                <w:strike w:val="0"/>
                <w:color w:val="auto"/>
                <w:sz w:val="24"/>
                <w:highlight w:val="none"/>
                <w:u w:val="none" w:color="auto"/>
                <w:vertAlign w:val="baseline"/>
              </w:rPr>
              <w:t>Komisija līdz 2021. gada 31. decembrim veiks izvērtējumu, lai novērtētu papildu resursu efektivitāti, lietderību un ietekmi, kā arī to, kā tie palīdzējuši izpildīt jaunā īpašā tematiskā mērķa uzdevumus.</w:t>
            </w:r>
            <w:r>
              <w:t xml:space="preserve"> </w:t>
            </w:r>
            <w:r>
              <w:rPr>
                <w:rFonts w:ascii="Times New Roman" w:eastAsia="Times New Roman" w:hAnsi="Times New Roman" w:cs="Times New Roman"/>
                <w:b/>
                <w:i/>
                <w:strike w:val="0"/>
                <w:color w:val="auto"/>
                <w:sz w:val="24"/>
                <w:highlight w:val="none"/>
                <w:u w:val="none" w:color="auto"/>
                <w:vertAlign w:val="baseline"/>
              </w:rPr>
              <w:t>Arī</w:t>
            </w:r>
            <w:r>
              <w:t xml:space="preserve"> dalībvalstīm līdz 2024. gada 31. decembrim ir jāveic vismaz viens izvērtējums, lai novērtētu papildu resursu lietderību, efektivitāti un ietekmi, kā arī to, kā tie palīdzējuši izpildīt jaunā īpašā tematiskā mērķa uzdevumus</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Ziņojumā būtu izvērsti jānorāda saņemtais atbalsts pa nozarēm un reģioniem, galīgie faktiskie īpašnieki un saņemtā atbalsta summa</w:t>
            </w:r>
            <w:r>
              <w:t>. Lai veicinātu salīdzināmas informācijas pieejamību Savienības līmenī, dalībvalstis tiek mudinātas izmantot programmu īpašos rādītājus, ko darījusi pieejamus Komisija. Turklāt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Hélène Laporte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14.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(14)</w:t>
            </w:r>
            <w:r>
              <w:tab/>
            </w:r>
            <w:r>
              <w:t xml:space="preserve">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Tomēr dalībvalstīm līdz 2024. gada 31. decembrim ir jāveic vismaz viens izvērtējums, lai novērtētu papildu resursu lietderību, efektivitāti un ietekmi, kā arī to, kā tie palīdzējuši izpildīt jaunā īpašā tematiskā mērķa uzdevumus. Lai veicinātu salīdzināmas informācijas pieejamību Savienības līmenī, dalībvalstis tiek mudinātas izmantot programmu īpašos rādītājus, ko darījusi pieejamus Komisija. </w:t>
            </w:r>
            <w:r>
              <w:rPr>
                <w:rFonts w:ascii="Times New Roman" w:eastAsia="Times New Roman" w:hAnsi="Times New Roman" w:cs="Times New Roman"/>
                <w:b/>
                <w:i/>
                <w:strike w:val="0"/>
                <w:color w:val="auto"/>
                <w:sz w:val="24"/>
                <w:highlight w:val="none"/>
                <w:u w:val="none" w:color="auto"/>
                <w:vertAlign w:val="baseline"/>
              </w:rPr>
              <w:t>Turklāt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c>
          <w:tcPr>
            <w:tcW w:w="4876" w:type="dxa"/>
            <w:vAlign w:val="top"/>
          </w:tcPr>
          <w:p>
            <w:pPr>
              <w:pStyle w:val="Normal6a"/>
            </w:pPr>
            <w:r>
              <w:t>(14)</w:t>
            </w:r>
            <w:r>
              <w:tab/>
            </w:r>
            <w:r>
              <w:t>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Tomēr dalībvalstīm līdz 2024. gada 31. decembrim ir jāveic vismaz viens izvērtējums, lai novērtētu papildu resursu lietderību, efektivitāti un ietekmi, kā arī to, kā tie palīdzējuši izpildīt jaunā īpašā tematiskā mērķa uzdevumus. Lai veicinātu salīdzināmas informācijas pieejamību Savienības līmenī, dalībvalstis tiek mudinātas izmantot programmu īpašos rādītājus, ko darījusi pieejamus Komisija.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14.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(14)</w:t>
            </w:r>
            <w:r>
              <w:tab/>
            </w:r>
            <w:r>
              <w:t xml:space="preserve">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w:t>
            </w:r>
            <w:r>
              <w:rPr>
                <w:rFonts w:ascii="Times New Roman" w:eastAsia="Times New Roman" w:hAnsi="Times New Roman" w:cs="Times New Roman"/>
                <w:b/>
                <w:i/>
                <w:strike w:val="0"/>
                <w:color w:val="auto"/>
                <w:sz w:val="24"/>
                <w:highlight w:val="none"/>
                <w:u w:val="none" w:color="auto"/>
                <w:vertAlign w:val="baseline"/>
              </w:rPr>
              <w:t>Tomēr dalībvalstīm līdz 2024. gada 31. decembrim ir jāveic vismaz viens izvērtējums, lai novērtētu papildu resursu lietderību, efektivitāti un ietekmi, kā arī to, kā tie palīdzējuši izpildīt jaunā īpašā tematiskā mērķa uzdevumus. Lai veicinātu salīdzināmas informācijas pieejamību Savienības līmenī, dalībvalstis tiek mudinātas izmantot programmu īpašos rādītājus, ko darījusi pieejamus Komisija. Turklāt</w:t>
            </w:r>
            <w:r>
              <w:t xml:space="preserve">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c>
          <w:tcPr>
            <w:tcW w:w="4876" w:type="dxa"/>
            <w:vAlign w:val="top"/>
          </w:tcPr>
          <w:p>
            <w:pPr>
              <w:pStyle w:val="Normal6a"/>
            </w:pPr>
            <w:r>
              <w:t>(14)</w:t>
            </w:r>
            <w:r>
              <w:tab/>
            </w:r>
            <w:r>
              <w:t>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14.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(14)</w:t>
            </w:r>
            <w:r>
              <w:tab/>
            </w:r>
            <w:r>
              <w:t>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w:t>
            </w:r>
            <w:r>
              <w:rPr>
                <w:rFonts w:ascii="Times New Roman" w:eastAsia="Times New Roman" w:hAnsi="Times New Roman" w:cs="Times New Roman"/>
                <w:b/>
                <w:i/>
                <w:strike w:val="0"/>
                <w:color w:val="auto"/>
                <w:sz w:val="24"/>
                <w:highlight w:val="none"/>
                <w:u w:val="none" w:color="auto"/>
                <w:vertAlign w:val="baseline"/>
              </w:rPr>
              <w:t>, arī attiecībā uz ERAF noteiktajām ilgtspējīgas pilsētu attīstības robežvērtībām,</w:t>
            </w:r>
            <w:r>
              <w:t xml:space="preserve"> un no prasībām attiecībā uz komunikācijas stratēģijas sagatavošanu papildu resursiem. Tomēr dalībvalstīm līdz 2024. gada 31. decembrim ir jāveic vismaz viens izvērtējums, lai novērtētu papildu resursu lietderību, efektivitāti un ietekmi, kā arī to, kā tie palīdzējuši izpildīt jaunā īpašā tematiskā mērķa uzdevumus. Lai veicinātu salīdzināmas informācijas pieejamību Savienības līmenī, dalībvalstis tiek mudinātas izmantot programmu īpašos rādītājus, ko darījusi pieejamus Komisija. Turklāt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c>
          <w:tcPr>
            <w:tcW w:w="4876" w:type="dxa"/>
            <w:vAlign w:val="top"/>
          </w:tcPr>
          <w:p>
            <w:pPr>
              <w:pStyle w:val="Normal6a"/>
            </w:pPr>
            <w:r>
              <w:t>(14)</w:t>
            </w:r>
            <w:r>
              <w:tab/>
            </w:r>
            <w:r>
              <w:t xml:space="preserve">Lai dalībvalstis varētu ātri izmantot papildu resursus krīzes pārvarēšanai Covid-19 pandēmijas </w:t>
            </w:r>
            <w:r>
              <w:rPr>
                <w:rFonts w:ascii="Times New Roman" w:eastAsia="Times New Roman" w:hAnsi="Times New Roman" w:cs="Times New Roman"/>
                <w:b/>
                <w:i/>
                <w:strike w:val="0"/>
                <w:color w:val="auto"/>
                <w:sz w:val="24"/>
                <w:highlight w:val="none"/>
                <w:u w:val="none" w:color="auto"/>
                <w:vertAlign w:val="baseline"/>
              </w:rPr>
              <w:t>un tās sociālo seku</w:t>
            </w:r>
            <w:r>
              <w:t xml:space="preserve">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un no prasībām attiecībā uz komunikācijas stratēģijas sagatavošanu papildu resursiem. Tomēr dalībvalstīm līdz 2024. gada 31. decembrim ir jāveic vismaz viens izvērtējums, lai novērtētu papildu resursu lietderību, efektivitāti</w:t>
            </w:r>
            <w:r>
              <w:rPr>
                <w:rFonts w:ascii="Times New Roman" w:eastAsia="Times New Roman" w:hAnsi="Times New Roman" w:cs="Times New Roman"/>
                <w:b/>
                <w:i/>
                <w:strike w:val="0"/>
                <w:color w:val="auto"/>
                <w:sz w:val="24"/>
                <w:highlight w:val="none"/>
                <w:u w:val="none" w:color="auto"/>
                <w:vertAlign w:val="baseline"/>
              </w:rPr>
              <w:t>, iekļautību</w:t>
            </w:r>
            <w:r>
              <w:t xml:space="preserve"> un ietekmi, kā arī to, kā tie palīdzējuši izpildīt jaunā īpašā tematiskā mērķa uzdevumus. Lai veicinātu salīdzināmas informācijas pieejamību Savienības līmenī, dalībvalstis tiek mudinātas izmantot programmu īpašos rādītājus, ko darījusi pieejamus Komisija. Turklāt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14.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(14)</w:t>
            </w:r>
            <w:r>
              <w:tab/>
            </w:r>
            <w:r>
              <w:t xml:space="preserve">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Tomēr dalībvalstīm līdz 2024. gada 31. decembrim ir jāveic vismaz viens izvērtējums, lai novērtētu papildu resursu lietderību, efektivitāti un ietekmi, kā arī to, kā tie palīdzējuši izpildīt jaunā īpašā tematiskā mērķa uzdevumus. Lai veicinātu salīdzināmas informācijas pieejamību Savienības līmenī, dalībvalstis </w:t>
            </w:r>
            <w:r>
              <w:rPr>
                <w:rFonts w:ascii="Times New Roman" w:eastAsia="Times New Roman" w:hAnsi="Times New Roman" w:cs="Times New Roman"/>
                <w:b/>
                <w:i/>
                <w:strike w:val="0"/>
                <w:color w:val="auto"/>
                <w:sz w:val="24"/>
                <w:highlight w:val="none"/>
                <w:u w:val="none" w:color="auto"/>
                <w:vertAlign w:val="baseline"/>
              </w:rPr>
              <w:t>tiek mudinātas izmantot</w:t>
            </w:r>
            <w:r>
              <w:t xml:space="preserve"> programmu īpašos rādītājus, ko darījusi pieejamus Komisija. Turklāt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c>
          <w:tcPr>
            <w:tcW w:w="4876" w:type="dxa"/>
            <w:vAlign w:val="top"/>
          </w:tcPr>
          <w:p>
            <w:pPr>
              <w:pStyle w:val="Normal6a"/>
            </w:pPr>
            <w:r>
              <w:t>(14)</w:t>
            </w:r>
            <w:r>
              <w:tab/>
            </w:r>
            <w:r>
              <w:t xml:space="preserve">Lai dalībvalstis varētu ātri izmantot papildu resursus krīzes pārvarēšanai Covid-19 pandēmijas kontekstā un sagatavoties zaļai, digitālai un noturīgai ekonomikas atveseļošanai pašreizējā plānošanas periodā, ir pamatoti izņēmuma kārtā atbrīvot dalībvalstis no nepieciešamības ievērot ex ante nosacījumus un prasības attiecībā uz izpildes [snieguma] rezervi un darbības rezultātu [snieguma] satvara piemērošanu, tematisko koncentrāciju, arī attiecībā uz ERAF noteiktajām ilgtspējīgas pilsētu attīstības robežvērtībām, un no prasībām attiecībā uz komunikācijas stratēģijas sagatavošanu papildu resursiem. Tomēr dalībvalstīm līdz 2024. gada 31. decembrim ir jāveic vismaz viens izvērtējums, lai novērtētu papildu resursu lietderību, efektivitāti un ietekmi, kā arī to, kā tie palīdzējuši izpildīt jaunā īpašā tematiskā mērķa uzdevumus. Lai veicinātu salīdzināmas informācijas pieejamību Savienības līmenī, dalībvalstis </w:t>
            </w:r>
            <w:r>
              <w:rPr>
                <w:rFonts w:ascii="Times New Roman" w:eastAsia="Times New Roman" w:hAnsi="Times New Roman" w:cs="Times New Roman"/>
                <w:b/>
                <w:i/>
                <w:strike w:val="0"/>
                <w:color w:val="auto"/>
                <w:sz w:val="24"/>
                <w:highlight w:val="none"/>
                <w:u w:val="none" w:color="auto"/>
                <w:vertAlign w:val="baseline"/>
              </w:rPr>
              <w:t>izmanto</w:t>
            </w:r>
            <w:r>
              <w:t xml:space="preserve"> programmu īpašos rādītājus, ko darījusi pieejamus Komisija. Turklāt dalībvalstīm un vadošajām iestādēm, pildot savus pienākumus, kas saistīti ar informāciju, komunikāciju un publicitāti, būtu jāuzlabo Savienības ieviesto ārkārtas pasākumu un resursu pamanāmība, jo īpaši nodrošinot, ka finanšu instrumentu potenciālie saņēmēji, saņēmēji, dalībnieki, galasaņēmēji un plaša sabiedrība ir informēti par papildu resursu esību un apjomu un no tiem sniegto papildu atbalstu.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14.a apsvērums (jauns)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(14a)</w:t>
            </w:r>
            <w:r>
              <w:tab/>
            </w:r>
            <w:r>
              <w:rPr>
                <w:rFonts w:ascii="Times New Roman" w:eastAsia="Times New Roman" w:hAnsi="Times New Roman" w:cs="Times New Roman"/>
                <w:b/>
                <w:i/>
                <w:strike w:val="0"/>
                <w:color w:val="auto"/>
                <w:sz w:val="24"/>
                <w:highlight w:val="none"/>
                <w:u w:val="none" w:color="auto"/>
                <w:vertAlign w:val="baseline"/>
              </w:rPr>
              <w:t>Lai virzītu finansējumu uz sagatavošanos zaļai, digitālai un noturīgai ekonomikas atveseļošanai pašreizējā plānošanas perioda laikā, 40 % no papildu resursiem veicina vispārējā DFS klimata politikas integrēšanas mērķa sasniegšanu.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(15)</w:t>
            </w:r>
            <w:r>
              <w:tab/>
            </w:r>
            <w:r>
              <w:t xml:space="preserve">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atšķirīgās reģionālās vajadzības </w:t>
            </w:r>
            <w:r>
              <w:rPr>
                <w:rFonts w:ascii="Times New Roman" w:eastAsia="Times New Roman" w:hAnsi="Times New Roman" w:cs="Times New Roman"/>
                <w:b/>
                <w:i/>
                <w:strike w:val="0"/>
                <w:color w:val="auto"/>
                <w:sz w:val="24"/>
                <w:highlight w:val="none"/>
                <w:u w:val="none" w:color="auto"/>
                <w:vertAlign w:val="baseline"/>
              </w:rPr>
              <w:t>un</w:t>
            </w:r>
            <w:r>
              <w:t xml:space="preserve"> attīstības līmeņus, lai nodrošinātu, ka galvenā uzmanība atbilstoši LESD 173. pantā izklāstītajiem ekonomiskās, sociālās un teritoriālās kohēzijas mērķiem </w:t>
            </w:r>
            <w:r>
              <w:rPr>
                <w:rFonts w:ascii="Times New Roman" w:eastAsia="Times New Roman" w:hAnsi="Times New Roman" w:cs="Times New Roman"/>
                <w:b/>
                <w:i/>
                <w:strike w:val="0"/>
                <w:color w:val="auto"/>
                <w:sz w:val="24"/>
                <w:highlight w:val="none"/>
                <w:u w:val="none" w:color="auto"/>
                <w:vertAlign w:val="baseline"/>
              </w:rPr>
              <w:t>joprojām</w:t>
            </w:r>
            <w:r>
              <w:t xml:space="preserve"> tiek pievērsta mazāk attīstītiem reģioniem. Dalībvalstīm saskaņā ar partnerības principiem būtu jāiesaista arī vietējās un reģionālās iestādes, kā arī attiecīgās struktūras, kas pārstāv pilsonisko sabiedrību.</w:t>
            </w:r>
          </w:p>
        </w:tc>
        <w:tc>
          <w:tcPr>
            <w:tcW w:w="4876" w:type="dxa"/>
            <w:vAlign w:val="top"/>
          </w:tcPr>
          <w:p>
            <w:pPr>
              <w:pStyle w:val="Normal6a"/>
            </w:pPr>
            <w:r>
              <w:t>(15)</w:t>
            </w:r>
            <w:r>
              <w:tab/>
            </w:r>
            <w:r>
              <w:t xml:space="preserve">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w:t>
            </w:r>
            <w:r>
              <w:rPr>
                <w:rFonts w:ascii="Times New Roman" w:eastAsia="Times New Roman" w:hAnsi="Times New Roman" w:cs="Times New Roman"/>
                <w:b/>
                <w:i/>
                <w:strike w:val="0"/>
                <w:color w:val="auto"/>
                <w:sz w:val="24"/>
                <w:highlight w:val="none"/>
                <w:u w:val="none" w:color="auto"/>
                <w:vertAlign w:val="baseline"/>
              </w:rPr>
              <w:t>no Covid-19 pandēmijas ietekmes izrietošās</w:t>
            </w:r>
            <w:r>
              <w:t xml:space="preserve"> atšķirīgās reģionālās vajadzības</w:t>
            </w:r>
            <w:r>
              <w:rPr>
                <w:rFonts w:ascii="Times New Roman" w:eastAsia="Times New Roman" w:hAnsi="Times New Roman" w:cs="Times New Roman"/>
                <w:b/>
                <w:i/>
                <w:strike w:val="0"/>
                <w:color w:val="auto"/>
                <w:sz w:val="24"/>
                <w:highlight w:val="none"/>
                <w:u w:val="none" w:color="auto"/>
                <w:vertAlign w:val="baseline"/>
              </w:rPr>
              <w:t>, kā arī</w:t>
            </w:r>
            <w:r>
              <w:t xml:space="preserve"> attīstības līmeņus, lai nodrošinātu, ka galvenā uzmanība atbilstoši LESD 173. pantā izklāstītajiem ekonomiskās, sociālās un teritoriālās kohēzijas mērķiem tiek </w:t>
            </w:r>
            <w:r>
              <w:rPr>
                <w:rFonts w:ascii="Times New Roman" w:eastAsia="Times New Roman" w:hAnsi="Times New Roman" w:cs="Times New Roman"/>
                <w:b/>
                <w:i/>
                <w:strike w:val="0"/>
                <w:color w:val="auto"/>
                <w:sz w:val="24"/>
                <w:highlight w:val="none"/>
                <w:u w:val="none" w:color="auto"/>
                <w:vertAlign w:val="baseline"/>
              </w:rPr>
              <w:t>līdzsvaroti</w:t>
            </w:r>
            <w:r>
              <w:t xml:space="preserve"> pievērsta </w:t>
            </w:r>
            <w:r>
              <w:rPr>
                <w:rFonts w:ascii="Times New Roman" w:eastAsia="Times New Roman" w:hAnsi="Times New Roman" w:cs="Times New Roman"/>
                <w:b/>
                <w:i/>
                <w:strike w:val="0"/>
                <w:color w:val="auto"/>
                <w:sz w:val="24"/>
                <w:highlight w:val="none"/>
                <w:u w:val="none" w:color="auto"/>
                <w:vertAlign w:val="baseline"/>
              </w:rPr>
              <w:t>gan</w:t>
            </w:r>
            <w:r>
              <w:t xml:space="preserve"> mazāk attīstītiem reģioniem</w:t>
            </w:r>
            <w:r>
              <w:rPr>
                <w:rFonts w:ascii="Times New Roman" w:eastAsia="Times New Roman" w:hAnsi="Times New Roman" w:cs="Times New Roman"/>
                <w:b/>
                <w:i/>
                <w:strike w:val="0"/>
                <w:color w:val="auto"/>
                <w:sz w:val="24"/>
                <w:highlight w:val="none"/>
                <w:u w:val="none" w:color="auto"/>
                <w:vertAlign w:val="baseline"/>
              </w:rPr>
              <w:t>, gan pandēmijas visvairāk skartajiem reģioniem un pilsētām</w:t>
            </w:r>
            <w:r>
              <w:t xml:space="preserve">. Dalībvalstīm saskaņā ar partnerības principiem būtu jāiesaista arī vietējās un reģionālās iestādes, kā arī attiecīgās struktūras, kas pārstāv </w:t>
            </w:r>
            <w:r>
              <w:rPr>
                <w:rFonts w:ascii="Times New Roman" w:eastAsia="Times New Roman" w:hAnsi="Times New Roman" w:cs="Times New Roman"/>
                <w:b/>
                <w:i/>
                <w:strike w:val="0"/>
                <w:color w:val="auto"/>
                <w:sz w:val="24"/>
                <w:highlight w:val="none"/>
                <w:u w:val="none" w:color="auto"/>
                <w:vertAlign w:val="baseline"/>
              </w:rPr>
              <w:t>sociālos partnerus un</w:t>
            </w:r>
            <w:r>
              <w:t xml:space="preserve"> pilsonisko sabiedrību</w:t>
            </w:r>
            <w:r>
              <w:rPr>
                <w:rFonts w:ascii="Times New Roman" w:eastAsia="Times New Roman" w:hAnsi="Times New Roman" w:cs="Times New Roman"/>
                <w:b/>
                <w:i/>
                <w:strike w:val="0"/>
                <w:color w:val="auto"/>
                <w:sz w:val="24"/>
                <w:highlight w:val="none"/>
                <w:u w:val="none" w:color="auto"/>
                <w:vertAlign w:val="baseline"/>
              </w:rPr>
              <w:t>, tostarp nevalstiskās organizācijas un struktūras, kas ir atbildīgas par sociālās iekļaušanas, dzimumu līdztiesības un nediskriminēšanas veicināšanu</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t xml:space="preserve">, </w:t>
      </w:r>
      <w:r>
        <w:t>Valérie Hayer</w:t>
      </w:r>
      <w:r>
        <w:t xml:space="preserve">, </w:t>
      </w:r>
      <w:r>
        <w:t>Olivier Chastel</w:t>
      </w:r>
      <w:r>
        <w:t xml:space="preserve">, </w:t>
      </w:r>
      <w:r>
        <w:t>Moritz Körner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(15)</w:t>
            </w:r>
            <w:r>
              <w:tab/>
            </w:r>
            <w:r>
              <w:t>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atšķirīgās reģionālās vajadzības un attīstības līmeņus, lai nodrošinātu, ka galvenā uzmanība atbilstoši LESD 173. pantā izklāstītajiem ekonomiskās, sociālās un teritoriālās kohēzijas mērķiem joprojām tiek pievērsta mazāk attīstītiem reģioniem. Dalībvalstīm saskaņā ar partnerības principiem būtu jāiesaista arī vietējās un reģionālās iestādes, kā arī attiecīgās struktūras, kas pārstāv pilsonisko sabiedrību.</w:t>
            </w:r>
          </w:p>
        </w:tc>
        <w:tc>
          <w:tcPr>
            <w:tcW w:w="4876" w:type="dxa"/>
            <w:vAlign w:val="top"/>
          </w:tcPr>
          <w:p>
            <w:pPr>
              <w:pStyle w:val="Normal6a"/>
            </w:pPr>
            <w:r>
              <w:t>(15)</w:t>
            </w:r>
            <w:r>
              <w:tab/>
            </w:r>
            <w:r>
              <w:t xml:space="preserve">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atšķirīgās reģionālās vajadzības un attīstības līmeņus, lai nodrošinātu, ka galvenā uzmanība atbilstoši LESD 173. pantā izklāstītajiem ekonomiskās, sociālās un teritoriālās kohēzijas mērķiem joprojām tiek pievērsta mazāk attīstītiem reģioniem. Dalībvalstīm saskaņā ar partnerības principiem būtu jāiesaista arī vietējās un reģionālās iestādes, kā arī attiecīgās struktūras, kas pārstāv pilsonisko sabiedrību. </w:t>
            </w:r>
            <w:r>
              <w:rPr>
                <w:rFonts w:ascii="Times New Roman" w:eastAsia="Times New Roman" w:hAnsi="Times New Roman" w:cs="Times New Roman"/>
                <w:b/>
                <w:i/>
                <w:strike w:val="0"/>
                <w:color w:val="auto"/>
                <w:sz w:val="24"/>
                <w:highlight w:val="none"/>
                <w:u w:val="none" w:color="auto"/>
                <w:vertAlign w:val="baseline"/>
              </w:rPr>
              <w:t>Vērtējot REACT-EU īstenošanu, Komisija novērtē koordinācijas līmeni starp valsts iestādēm un vietējām un reģionālajām iestādēm pieprasītā REACT-EU atbalsta tvēruma un summas noteikšanā.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(15)</w:t>
            </w:r>
            <w:r>
              <w:tab/>
            </w:r>
            <w:r>
              <w:t>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atšķirīgās reģionālās vajadzības un attīstības līmeņus, lai nodrošinātu, ka galvenā uzmanība atbilstoši LESD 173. pantā izklāstītajiem ekonomiskās, sociālās un teritoriālās kohēzijas mērķiem joprojām tiek pievērsta mazāk attīstītiem reģioniem. Dalībvalstīm saskaņā ar partnerības principiem būtu jāiesaista arī vietējās un reģionālās iestādes, kā arī attiecīgās struktūras, kas pārstāv pilsonisko sabiedrību.</w:t>
            </w:r>
          </w:p>
        </w:tc>
        <w:tc>
          <w:tcPr>
            <w:tcW w:w="4876" w:type="dxa"/>
            <w:vAlign w:val="top"/>
          </w:tcPr>
          <w:p>
            <w:pPr>
              <w:pStyle w:val="Normal6a"/>
            </w:pPr>
            <w:r>
              <w:t>(15)</w:t>
            </w:r>
            <w:r>
              <w:tab/>
            </w:r>
            <w:r>
              <w:t>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atšķirīgās reģionālās vajadzības un attīstības līmeņus, lai nodrošinātu, ka galvenā uzmanība atbilstoši LESD 173. pantā izklāstītajiem ekonomiskās, sociālās un teritoriālās kohēzijas mērķiem joprojām tiek pievērsta mazāk attīstītiem reģioniem. Dalībvalstīm saskaņā ar partnerības principiem būtu jāiesaista arī vietējās un reģionālās iestādes, kā arī attiecīgās struktūras, kas pārstāv pilsonisko sabiedrību</w:t>
            </w:r>
            <w:r>
              <w:rPr>
                <w:rFonts w:ascii="Times New Roman" w:eastAsia="Times New Roman" w:hAnsi="Times New Roman" w:cs="Times New Roman"/>
                <w:b/>
                <w:i/>
                <w:strike w:val="0"/>
                <w:color w:val="auto"/>
                <w:sz w:val="24"/>
                <w:highlight w:val="none"/>
                <w:u w:val="none" w:color="auto"/>
                <w:vertAlign w:val="baseline"/>
              </w:rPr>
              <w:t>, un jo īpaši struktūras, kas ir atbildīgas par sociālās iekļaušanas, dzimumu līdztiesības un nediskriminēšanas veicināšanu, kā arī sociālos partnerus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Hélène Laporte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15. apsvērums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(15)</w:t>
            </w:r>
            <w:r>
              <w:tab/>
            </w:r>
            <w:r>
              <w:t>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atšķirīgās reģionālās vajadzības un attīstības līmeņus, lai nodrošinātu, ka galvenā uzmanība atbilstoši LESD 173. pantā izklāstītajiem ekonomiskās, sociālās un teritoriālās kohēzijas mērķiem joprojām tiek pievērsta mazāk attīstītiem reģioniem. Dalībvalstīm saskaņā ar partnerības principiem būtu jāiesaista arī vietējās un reģionālās iestādes, kā arī attiecīgās struktūras, kas pārstāv pilsonisko sabiedrību.</w:t>
            </w:r>
          </w:p>
        </w:tc>
        <w:tc>
          <w:tcPr>
            <w:tcW w:w="4876" w:type="dxa"/>
            <w:vAlign w:val="top"/>
          </w:tcPr>
          <w:p>
            <w:pPr>
              <w:pStyle w:val="Normal6a"/>
            </w:pPr>
            <w:r>
              <w:t>(15)</w:t>
            </w:r>
            <w:r>
              <w:tab/>
            </w:r>
            <w:r>
              <w:t>Lai šos papildu resursus varētu novirzīt uz ģeogrāfiskajiem apgabaliem, kuros tie ir visvairāk vajadzīgi, kā ārkārtas pasākumu un neskarot struktūrfondu līdzekļu piešķiršanas vispārīgos noteikumus Eiropas Reģionālās attīstības fondam un Eiropas Sociālajam fondam piešķirtie papildu resursi nav jāsadala pa reģionu kategorijām. Tomēr tiek sagaidīts, ka dalībvalstis ņems vērā atšķirīgās reģionālās vajadzības un attīstības līmeņus, lai nodrošinātu, ka galvenā uzmanība atbilstoši LESD 173. pantā izklāstītajiem ekonomiskās, sociālās un teritoriālās kohēzijas mērķiem joprojām tiek pievērsta mazāk attīstītiem reģioniem</w:t>
            </w:r>
            <w:r>
              <w:rPr>
                <w:rFonts w:ascii="Times New Roman" w:eastAsia="Times New Roman" w:hAnsi="Times New Roman" w:cs="Times New Roman"/>
                <w:b/>
                <w:i/>
                <w:strike w:val="0"/>
                <w:color w:val="auto"/>
                <w:sz w:val="24"/>
                <w:highlight w:val="none"/>
                <w:u w:val="none" w:color="auto"/>
                <w:vertAlign w:val="baseline"/>
              </w:rPr>
              <w:t>, tostarp salu reģioniem</w:t>
            </w:r>
            <w:r>
              <w:t>. Dalībvalstīm saskaņā ar partnerības principiem būtu jāiesaista arī vietējās un reģionālās iestādes, kā arī attiecīgās struktūras, kas pārstāv pilsonisko sabiedrību.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-1. punkts (jauns)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4. pants – 2. punkts – 1.a daļa (jauna)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w:t>
            </w:r>
            <w:r>
              <w:tab/>
            </w:r>
            <w:r>
              <w:rPr>
                <w:rFonts w:ascii="Times New Roman" w:eastAsia="Times New Roman" w:hAnsi="Times New Roman" w:cs="Times New Roman"/>
                <w:b/>
                <w:i/>
                <w:strike w:val="0"/>
                <w:color w:val="auto"/>
                <w:sz w:val="24"/>
                <w:highlight w:val="none"/>
                <w:u w:val="none" w:color="auto"/>
                <w:vertAlign w:val="baseline"/>
              </w:rPr>
              <w:t>regulas 4. panta 2. punktam pievieno šādu daļu:</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Tiesiskuma ievērošana ir būtisks ES finansējuma saņemšanas priekšnosacījums.</w:t>
            </w:r>
            <w:r>
              <w:t xml:space="preserve"> </w:t>
            </w:r>
            <w:r>
              <w:rPr>
                <w:rFonts w:ascii="Times New Roman" w:eastAsia="Times New Roman" w:hAnsi="Times New Roman" w:cs="Times New Roman"/>
                <w:b/>
                <w:i/>
                <w:strike w:val="0"/>
                <w:color w:val="auto"/>
                <w:sz w:val="24"/>
                <w:highlight w:val="none"/>
                <w:u w:val="none" w:color="auto"/>
                <w:vertAlign w:val="baseline"/>
              </w:rPr>
              <w:t>Piemēro noteikumus, kas pieņemti, balstoties uz LESD 322. pantu par Savienības budžeta aizsardzību vispārēju trūkumu gadījumā saistībā ar tiesiskumu dalībvalstīs.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1.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91. pants – 1.a 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1.a</w:t>
            </w:r>
            <w:r>
              <w:tab/>
            </w:r>
            <w:r>
              <w:t xml:space="preserve">Papildus 1. punktā minētajiem kopējiem resursiem ekonomiskajai, sociālajai un teritoriālajai kohēzijai 2020. gada budžeta saistībām dara pieejamus papildu resursus </w:t>
            </w:r>
            <w:r>
              <w:rPr>
                <w:rFonts w:ascii="Times New Roman" w:eastAsia="Times New Roman" w:hAnsi="Times New Roman" w:cs="Times New Roman"/>
                <w:b/>
                <w:i/>
                <w:strike w:val="0"/>
                <w:color w:val="auto"/>
                <w:sz w:val="24"/>
                <w:highlight w:val="none"/>
                <w:u w:val="none" w:color="auto"/>
                <w:vertAlign w:val="baseline"/>
              </w:rPr>
              <w:t>5 000 000 000</w:t>
            </w:r>
            <w:r>
              <w:t xml:space="preserve"> EUR apmērā </w:t>
            </w:r>
            <w:r>
              <w:rPr>
                <w:rFonts w:ascii="Times New Roman" w:eastAsia="Times New Roman" w:hAnsi="Times New Roman" w:cs="Times New Roman"/>
                <w:b/>
                <w:i/>
                <w:strike w:val="0"/>
                <w:color w:val="auto"/>
                <w:sz w:val="24"/>
                <w:highlight w:val="none"/>
                <w:u w:val="none" w:color="auto"/>
                <w:vertAlign w:val="baseline"/>
              </w:rPr>
              <w:t>pašreizējās</w:t>
            </w:r>
            <w:r>
              <w:t xml:space="preserve"> cenās, un tos piešķir ERAF un ESF.;</w:t>
            </w:r>
          </w:p>
        </w:tc>
        <w:tc>
          <w:tcPr>
            <w:tcW w:w="4876" w:type="dxa"/>
            <w:vAlign w:val="top"/>
          </w:tcPr>
          <w:p>
            <w:pPr>
              <w:pStyle w:val="Normal6a"/>
            </w:pPr>
            <w:r>
              <w:t>1.a</w:t>
            </w:r>
            <w:r>
              <w:tab/>
            </w:r>
            <w:r>
              <w:t xml:space="preserve">Papildus 1. punktā minētajiem kopējiem resursiem ekonomiskajai, sociālajai un teritoriālajai kohēzijai 2020. gada budžeta saistībām dara pieejamus papildu resursus </w:t>
            </w:r>
            <w:r>
              <w:rPr>
                <w:rFonts w:ascii="Times New Roman" w:eastAsia="Times New Roman" w:hAnsi="Times New Roman" w:cs="Times New Roman"/>
                <w:b/>
                <w:i/>
                <w:strike w:val="0"/>
                <w:color w:val="auto"/>
                <w:sz w:val="24"/>
                <w:highlight w:val="none"/>
                <w:u w:val="none" w:color="auto"/>
                <w:vertAlign w:val="baseline"/>
              </w:rPr>
              <w:t>4 805 843 906</w:t>
            </w:r>
            <w:r>
              <w:t xml:space="preserve"> EUR apmērā </w:t>
            </w:r>
            <w:r>
              <w:rPr>
                <w:rFonts w:ascii="Times New Roman" w:eastAsia="Times New Roman" w:hAnsi="Times New Roman" w:cs="Times New Roman"/>
                <w:b/>
                <w:i/>
                <w:strike w:val="0"/>
                <w:color w:val="auto"/>
                <w:sz w:val="24"/>
                <w:highlight w:val="none"/>
                <w:u w:val="none" w:color="auto"/>
                <w:vertAlign w:val="baseline"/>
              </w:rPr>
              <w:t>2018. gada</w:t>
            </w:r>
            <w:r>
              <w:t xml:space="preserve"> cenās, un tos piešķir ERAF un ESF.;</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92.a pants – 1.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[EAI] regulas 2. pantā minētos pasākumus īsteno struktūrfondu ietvaros ar summu </w:t>
            </w:r>
            <w:r>
              <w:rPr>
                <w:rFonts w:ascii="Times New Roman" w:eastAsia="Times New Roman" w:hAnsi="Times New Roman" w:cs="Times New Roman"/>
                <w:b/>
                <w:i/>
                <w:strike w:val="0"/>
                <w:color w:val="auto"/>
                <w:sz w:val="24"/>
                <w:highlight w:val="none"/>
                <w:u w:val="none" w:color="auto"/>
                <w:vertAlign w:val="baseline"/>
              </w:rPr>
              <w:t>53 272 800 000 EUR pašreizējās</w:t>
            </w:r>
            <w:r>
              <w:t xml:space="preserve"> cenās no minētās regulas 3. panta 2. punkta a) apakšpunkta i) punktā norādītās summas, ievērojot tās 4. panta 3., 4. un 8. punktu.</w:t>
            </w:r>
          </w:p>
        </w:tc>
        <w:tc>
          <w:tcPr>
            <w:tcW w:w="4876" w:type="dxa"/>
            <w:vAlign w:val="top"/>
          </w:tcPr>
          <w:p>
            <w:pPr>
              <w:pStyle w:val="Normal6a"/>
            </w:pPr>
            <w:r>
              <w:t xml:space="preserve">[EAI] regulas 2. pantā minētos pasākumus īsteno struktūrfondu ietvaros ar summu </w:t>
            </w:r>
            <w:r>
              <w:rPr>
                <w:rFonts w:ascii="Times New Roman" w:eastAsia="Times New Roman" w:hAnsi="Times New Roman" w:cs="Times New Roman"/>
                <w:b/>
                <w:i/>
                <w:strike w:val="0"/>
                <w:color w:val="auto"/>
                <w:sz w:val="24"/>
                <w:highlight w:val="none"/>
                <w:u w:val="none" w:color="auto"/>
                <w:vertAlign w:val="baseline"/>
              </w:rPr>
              <w:t>50 000 654 198 EUR 2018. gada</w:t>
            </w:r>
            <w:r>
              <w:t xml:space="preserve"> cenās no minētās regulas 3. panta 2. punkta a) apakšpunkta i) punktā norādītās summas, ievērojot tās 4. panta 3., 4. un 8. punktu.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92.a pants – 2.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Šie papildu resursi 2021. un 2022. gadam ir ārējie piešķirtie ieņēmumi saskaņā ar Finanšu regulas 21. panta 5. punktu.</w:t>
            </w:r>
          </w:p>
        </w:tc>
        <w:tc>
          <w:tcPr>
            <w:tcW w:w="4876" w:type="dxa"/>
            <w:vAlign w:val="top"/>
          </w:tcPr>
          <w:p>
            <w:pPr>
              <w:pStyle w:val="Normal6a"/>
            </w:pPr>
            <w:r>
              <w:t xml:space="preserve">Šie papildu resursi 2021. un 2022. gadam ir ārējie piešķirtie ieņēmumi saskaņā ar Finanšu regulas 21. panta 5. punktu. </w:t>
            </w:r>
            <w:r>
              <w:rPr>
                <w:rFonts w:ascii="Times New Roman" w:eastAsia="Times New Roman" w:hAnsi="Times New Roman" w:cs="Times New Roman"/>
                <w:b/>
                <w:i/>
                <w:strike w:val="0"/>
                <w:color w:val="auto"/>
                <w:sz w:val="24"/>
                <w:highlight w:val="none"/>
                <w:u w:val="none" w:color="auto"/>
                <w:vertAlign w:val="baseline"/>
              </w:rPr>
              <w:t>Pamatojoties uz statistikas datiem un turpmākajiem notikumiem, kas saistīti ar atveseļošanos no Covid-19 izraisītās ekonomikas krīzes, var pieņemt lēmumu pagarināt REACT-EU paredzēto elastīguma pasākumu darbību, tos attiecinot arī uz 2023. un 2024. gadu.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virsraksts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Ārkārtas papildu resursi un īstenošanas kārtība mērķim “Investīcijas izaugsmei un nodarbinātībai”, lai palīdzētu veicināt ar Covid-19 pandēmiju saistītās krīzes seku pārvarēšanu un sagatavoties zaļai, digitālai un noturīgai ekonomikas atveseļošanai (REACT-EU)</w:t>
            </w:r>
          </w:p>
        </w:tc>
        <w:tc>
          <w:tcPr>
            <w:tcW w:w="4876" w:type="dxa"/>
            <w:vAlign w:val="top"/>
          </w:tcPr>
          <w:p>
            <w:pPr>
              <w:pStyle w:val="Normal6a"/>
            </w:pPr>
            <w:r>
              <w:t xml:space="preserve">Ārkārtas papildu resursi un īstenošanas kārtība mērķim “Investīcijas izaugsmei un nodarbinātībai”, lai palīdzētu veicināt ar Covid-19 pandēmiju saistītās krīzes </w:t>
            </w:r>
            <w:r>
              <w:rPr>
                <w:rFonts w:ascii="Times New Roman" w:eastAsia="Times New Roman" w:hAnsi="Times New Roman" w:cs="Times New Roman"/>
                <w:b/>
                <w:i/>
                <w:strike w:val="0"/>
                <w:color w:val="auto"/>
                <w:sz w:val="24"/>
                <w:highlight w:val="none"/>
                <w:u w:val="none" w:color="auto"/>
                <w:vertAlign w:val="baseline"/>
              </w:rPr>
              <w:t>un tās sociālo</w:t>
            </w:r>
            <w:r>
              <w:t xml:space="preserve"> seku pārvarēšanu un sagatavoties zaļai, digitālai un noturīgai ekonomikas atveseļošanai (REACT-EU)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 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Papildu resursus, kas minēti 91. panta 1.a punktā un 92.a pantā (“papildu resursi”), dara pieejamus mērķim “Investīcijas izaugsmei un nodarbinātībai”, </w:t>
            </w:r>
            <w:r>
              <w:rPr>
                <w:rFonts w:ascii="Times New Roman" w:eastAsia="Times New Roman" w:hAnsi="Times New Roman" w:cs="Times New Roman"/>
                <w:b/>
                <w:i/>
                <w:strike w:val="0"/>
                <w:color w:val="auto"/>
                <w:sz w:val="24"/>
                <w:highlight w:val="none"/>
                <w:u w:val="none" w:color="auto"/>
                <w:vertAlign w:val="baseline"/>
              </w:rPr>
              <w:t>lai palīdzētu</w:t>
            </w:r>
            <w:r>
              <w:t xml:space="preserve"> veicināt ar Covid-19 pandēmiju saistītās krīzes seku pārvarēšanu un sagatavoties zaļai, digitālai un noturīgai ekonomikas atveseļošanai (REACT-EU). Papildu resursus izmanto, lai īstenotu tehnisko palīdzību saskaņā ar šā panta 6. punktu un darbības, ar kurām īsteno </w:t>
            </w:r>
            <w:r>
              <w:rPr>
                <w:rFonts w:ascii="Times New Roman" w:eastAsia="Times New Roman" w:hAnsi="Times New Roman" w:cs="Times New Roman"/>
                <w:b/>
                <w:i/>
                <w:strike w:val="0"/>
                <w:color w:val="auto"/>
                <w:sz w:val="24"/>
                <w:highlight w:val="none"/>
                <w:u w:val="none" w:color="auto"/>
                <w:vertAlign w:val="baseline"/>
              </w:rPr>
              <w:t>10</w:t>
            </w:r>
            <w:r>
              <w:t>. punktā minēto tematisko mērķi.</w:t>
            </w:r>
          </w:p>
        </w:tc>
        <w:tc>
          <w:tcPr>
            <w:tcW w:w="4876" w:type="dxa"/>
            <w:vAlign w:val="top"/>
          </w:tcPr>
          <w:p>
            <w:pPr>
              <w:pStyle w:val="Normal6a"/>
            </w:pPr>
            <w:r>
              <w:t>1.</w:t>
            </w:r>
            <w:r>
              <w:tab/>
            </w:r>
            <w:r>
              <w:t xml:space="preserve">Papildu resursus, kas minēti 91. panta 1.a punktā un 92.a pantā (“papildu resursi”), dara pieejamus mērķim “Investīcijas izaugsmei un nodarbinātībai”, </w:t>
            </w:r>
            <w:r>
              <w:rPr>
                <w:rFonts w:ascii="Times New Roman" w:eastAsia="Times New Roman" w:hAnsi="Times New Roman" w:cs="Times New Roman"/>
                <w:b/>
                <w:i/>
                <w:strike w:val="0"/>
                <w:color w:val="auto"/>
                <w:sz w:val="24"/>
                <w:highlight w:val="none"/>
                <w:u w:val="none" w:color="auto"/>
                <w:vertAlign w:val="baseline"/>
              </w:rPr>
              <w:t>bet vismaz 7 % no šiem resursiem dara pieejamus Eiropas teritoriālās sadarbības mērķim.</w:t>
            </w:r>
            <w:r>
              <w:t xml:space="preserve"> </w:t>
            </w:r>
            <w:r>
              <w:rPr>
                <w:rFonts w:ascii="Times New Roman" w:eastAsia="Times New Roman" w:hAnsi="Times New Roman" w:cs="Times New Roman"/>
                <w:b/>
                <w:i/>
                <w:strike w:val="0"/>
                <w:color w:val="auto"/>
                <w:sz w:val="24"/>
                <w:highlight w:val="none"/>
                <w:u w:val="none" w:color="auto"/>
                <w:vertAlign w:val="baseline"/>
              </w:rPr>
              <w:t>Abos gadījumos šie papildu resursi palīdz</w:t>
            </w:r>
            <w:r>
              <w:t xml:space="preserve"> veicināt ar Covid-19 pandēmiju saistītās krīzes seku pārvarēšanu un sagatavoties zaļai, digitālai un noturīgai ekonomikas atveseļošanai (REACT-EU). Papildu resursus izmanto, lai īstenotu tehnisko palīdzību saskaņā ar šā panta 6. punktu un darbības, ar kurām īsteno </w:t>
            </w:r>
            <w:r>
              <w:rPr>
                <w:rFonts w:ascii="Times New Roman" w:eastAsia="Times New Roman" w:hAnsi="Times New Roman" w:cs="Times New Roman"/>
                <w:b/>
                <w:i/>
                <w:strike w:val="0"/>
                <w:color w:val="auto"/>
                <w:sz w:val="24"/>
                <w:highlight w:val="none"/>
                <w:u w:val="none" w:color="auto"/>
                <w:vertAlign w:val="baseline"/>
              </w:rPr>
              <w:t>9</w:t>
            </w:r>
            <w:r>
              <w:t>. punktā minēto tematisko mērķi.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2. punkts – 1. daļa – 1. ievilkums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2020. gads: </w:t>
            </w:r>
            <w:r>
              <w:rPr>
                <w:rFonts w:ascii="Times New Roman" w:eastAsia="Times New Roman" w:hAnsi="Times New Roman" w:cs="Times New Roman"/>
                <w:b/>
                <w:i/>
                <w:strike w:val="0"/>
                <w:color w:val="auto"/>
                <w:sz w:val="24"/>
                <w:highlight w:val="none"/>
                <w:u w:val="none" w:color="auto"/>
                <w:vertAlign w:val="baseline"/>
              </w:rPr>
              <w:t>5 000 000 000 EUR;</w:t>
            </w:r>
          </w:p>
        </w:tc>
        <w:tc>
          <w:tcPr>
            <w:tcW w:w="4876" w:type="dxa"/>
            <w:vAlign w:val="top"/>
          </w:tcPr>
          <w:p>
            <w:pPr>
              <w:pStyle w:val="Normal6a"/>
            </w:pPr>
            <w:r>
              <w:t>—</w:t>
            </w:r>
            <w:r>
              <w:tab/>
            </w:r>
            <w:r>
              <w:t xml:space="preserve">2020. gads: </w:t>
            </w:r>
            <w:r>
              <w:rPr>
                <w:rFonts w:ascii="Times New Roman" w:eastAsia="Times New Roman" w:hAnsi="Times New Roman" w:cs="Times New Roman"/>
                <w:b/>
                <w:i/>
                <w:strike w:val="0"/>
                <w:color w:val="auto"/>
                <w:sz w:val="24"/>
                <w:highlight w:val="none"/>
                <w:u w:val="none" w:color="auto"/>
                <w:vertAlign w:val="baseline"/>
              </w:rPr>
              <w:t>4 805 843 906 EUR 2018. gada cenās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2. punkts – 1. daļa – 2. ievilkums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2021. gads: </w:t>
            </w:r>
            <w:r>
              <w:rPr>
                <w:rFonts w:ascii="Times New Roman" w:eastAsia="Times New Roman" w:hAnsi="Times New Roman" w:cs="Times New Roman"/>
                <w:b/>
                <w:i/>
                <w:strike w:val="0"/>
                <w:color w:val="auto"/>
                <w:sz w:val="24"/>
                <w:highlight w:val="none"/>
                <w:u w:val="none" w:color="auto"/>
                <w:vertAlign w:val="baseline"/>
              </w:rPr>
              <w:t>42 434 400 000 EUR;</w:t>
            </w:r>
          </w:p>
        </w:tc>
        <w:tc>
          <w:tcPr>
            <w:tcW w:w="4876" w:type="dxa"/>
            <w:vAlign w:val="top"/>
          </w:tcPr>
          <w:p>
            <w:pPr>
              <w:pStyle w:val="Normal6a"/>
            </w:pPr>
            <w:r>
              <w:t>—</w:t>
            </w:r>
            <w:r>
              <w:tab/>
            </w:r>
            <w:r>
              <w:t xml:space="preserve">2021. gads: </w:t>
            </w:r>
            <w:r>
              <w:rPr>
                <w:rFonts w:ascii="Times New Roman" w:eastAsia="Times New Roman" w:hAnsi="Times New Roman" w:cs="Times New Roman"/>
                <w:b/>
                <w:i/>
                <w:strike w:val="0"/>
                <w:color w:val="auto"/>
                <w:sz w:val="24"/>
                <w:highlight w:val="none"/>
                <w:u w:val="none" w:color="auto"/>
                <w:vertAlign w:val="baseline"/>
              </w:rPr>
              <w:t>39 987 184 320 EUR 2018. gada cenās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2. punkts – 1. daļa – 2. ievilkums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2021. gads: </w:t>
            </w:r>
            <w:r>
              <w:rPr>
                <w:rFonts w:ascii="Times New Roman" w:eastAsia="Times New Roman" w:hAnsi="Times New Roman" w:cs="Times New Roman"/>
                <w:b/>
                <w:i/>
                <w:strike w:val="0"/>
                <w:color w:val="auto"/>
                <w:sz w:val="24"/>
                <w:highlight w:val="none"/>
                <w:u w:val="none" w:color="auto"/>
                <w:vertAlign w:val="baseline"/>
              </w:rPr>
              <w:t>42 434 400 000</w:t>
            </w:r>
            <w:r>
              <w:t xml:space="preserve"> EUR;</w:t>
            </w:r>
          </w:p>
        </w:tc>
        <w:tc>
          <w:tcPr>
            <w:tcW w:w="4876" w:type="dxa"/>
            <w:vAlign w:val="top"/>
          </w:tcPr>
          <w:p>
            <w:pPr>
              <w:pStyle w:val="Normal6a"/>
            </w:pPr>
            <w:r>
              <w:t>—</w:t>
            </w:r>
            <w:r>
              <w:tab/>
            </w:r>
            <w:r>
              <w:t xml:space="preserve">2021. gads: </w:t>
            </w:r>
            <w:r>
              <w:rPr>
                <w:rFonts w:ascii="Times New Roman" w:eastAsia="Times New Roman" w:hAnsi="Times New Roman" w:cs="Times New Roman"/>
                <w:b/>
                <w:i/>
                <w:strike w:val="0"/>
                <w:color w:val="auto"/>
                <w:sz w:val="24"/>
                <w:highlight w:val="none"/>
                <w:u w:val="none" w:color="auto"/>
                <w:vertAlign w:val="baseline"/>
              </w:rPr>
              <w:t>10 820 400 000</w:t>
            </w:r>
            <w:r>
              <w:t xml:space="preserve"> EUR;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2. punkts – 1. daļa – 3. ievilkums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2022. gads: </w:t>
            </w:r>
            <w:r>
              <w:rPr>
                <w:rFonts w:ascii="Times New Roman" w:eastAsia="Times New Roman" w:hAnsi="Times New Roman" w:cs="Times New Roman"/>
                <w:b/>
                <w:i/>
                <w:strike w:val="0"/>
                <w:color w:val="auto"/>
                <w:sz w:val="24"/>
                <w:highlight w:val="none"/>
                <w:u w:val="none" w:color="auto"/>
                <w:vertAlign w:val="baseline"/>
              </w:rPr>
              <w:t>10 820 400 000 EUR</w:t>
            </w:r>
            <w:r>
              <w:t>.</w:t>
            </w:r>
          </w:p>
        </w:tc>
        <w:tc>
          <w:tcPr>
            <w:tcW w:w="4876" w:type="dxa"/>
            <w:vAlign w:val="top"/>
          </w:tcPr>
          <w:p>
            <w:pPr>
              <w:pStyle w:val="Normal6a"/>
            </w:pPr>
            <w:r>
              <w:t>—</w:t>
            </w:r>
            <w:r>
              <w:tab/>
            </w:r>
            <w:r>
              <w:t xml:space="preserve">2022. gads: </w:t>
            </w:r>
            <w:r>
              <w:rPr>
                <w:rFonts w:ascii="Times New Roman" w:eastAsia="Times New Roman" w:hAnsi="Times New Roman" w:cs="Times New Roman"/>
                <w:b/>
                <w:i/>
                <w:strike w:val="0"/>
                <w:color w:val="auto"/>
                <w:sz w:val="24"/>
                <w:highlight w:val="none"/>
                <w:u w:val="none" w:color="auto"/>
                <w:vertAlign w:val="baseline"/>
              </w:rPr>
              <w:t>9 996 674 058 EUR 2018</w:t>
            </w:r>
            <w:r>
              <w:t xml:space="preserve">. </w:t>
            </w:r>
            <w:r>
              <w:rPr>
                <w:rFonts w:ascii="Times New Roman" w:eastAsia="Times New Roman" w:hAnsi="Times New Roman" w:cs="Times New Roman"/>
                <w:b/>
                <w:i/>
                <w:strike w:val="0"/>
                <w:color w:val="auto"/>
                <w:sz w:val="24"/>
                <w:highlight w:val="none"/>
                <w:u w:val="none" w:color="auto"/>
                <w:vertAlign w:val="baseline"/>
              </w:rPr>
              <w:t>gada cenās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2. punkts – 1. daļa – 3. ievilkums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w:t>
            </w:r>
            <w:r>
              <w:tab/>
            </w:r>
            <w:r>
              <w:t xml:space="preserve">2022. gads: </w:t>
            </w:r>
            <w:r>
              <w:rPr>
                <w:rFonts w:ascii="Times New Roman" w:eastAsia="Times New Roman" w:hAnsi="Times New Roman" w:cs="Times New Roman"/>
                <w:b/>
                <w:i/>
                <w:strike w:val="0"/>
                <w:color w:val="auto"/>
                <w:sz w:val="24"/>
                <w:highlight w:val="none"/>
                <w:u w:val="none" w:color="auto"/>
                <w:vertAlign w:val="baseline"/>
              </w:rPr>
              <w:t>10 820 400 000</w:t>
            </w:r>
            <w:r>
              <w:t xml:space="preserve"> EUR.</w:t>
            </w:r>
          </w:p>
        </w:tc>
        <w:tc>
          <w:tcPr>
            <w:tcW w:w="4876" w:type="dxa"/>
            <w:vAlign w:val="top"/>
          </w:tcPr>
          <w:p>
            <w:pPr>
              <w:pStyle w:val="Normal6a"/>
            </w:pPr>
            <w:r>
              <w:t>—</w:t>
            </w:r>
            <w:r>
              <w:tab/>
            </w:r>
            <w:r>
              <w:t xml:space="preserve">2022. gads: </w:t>
            </w:r>
            <w:r>
              <w:rPr>
                <w:rFonts w:ascii="Times New Roman" w:eastAsia="Times New Roman" w:hAnsi="Times New Roman" w:cs="Times New Roman"/>
                <w:b/>
                <w:i/>
                <w:strike w:val="0"/>
                <w:color w:val="auto"/>
                <w:sz w:val="24"/>
                <w:highlight w:val="none"/>
                <w:u w:val="none" w:color="auto"/>
                <w:vertAlign w:val="baseline"/>
              </w:rPr>
              <w:t>42 434 400 000</w:t>
            </w:r>
            <w:r>
              <w:t> EUR.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2. punkts – 3.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Papildu resursus 2021. un 2022. gadam dara pieejamus no 92.a pantā noteiktajiem papildu resursiem. No papildu resursiem, kas noteikti 92.a pantā, atbalsta arī administratīvos izdevumus, nepārsniedzot </w:t>
            </w:r>
            <w:r>
              <w:rPr>
                <w:rFonts w:ascii="Times New Roman" w:eastAsia="Times New Roman" w:hAnsi="Times New Roman" w:cs="Times New Roman"/>
                <w:b/>
                <w:i/>
                <w:strike w:val="0"/>
                <w:color w:val="auto"/>
                <w:sz w:val="24"/>
                <w:highlight w:val="none"/>
                <w:u w:val="none" w:color="auto"/>
                <w:vertAlign w:val="baseline"/>
              </w:rPr>
              <w:t>18 000 000 EUR pašreizējās</w:t>
            </w:r>
            <w:r>
              <w:t xml:space="preserve"> cenās.</w:t>
            </w:r>
          </w:p>
        </w:tc>
        <w:tc>
          <w:tcPr>
            <w:tcW w:w="4876" w:type="dxa"/>
            <w:vAlign w:val="top"/>
          </w:tcPr>
          <w:p>
            <w:pPr>
              <w:pStyle w:val="Normal6a"/>
            </w:pPr>
            <w:r>
              <w:t xml:space="preserve">Papildu resursus 2021. un 2022. gadam dara pieejamus no 92.a pantā noteiktajiem papildu resursiem. No papildu resursiem, kas noteikti 92.a pantā, atbalsta arī administratīvos izdevumus, nepārsniedzot </w:t>
            </w:r>
            <w:r>
              <w:rPr>
                <w:rFonts w:ascii="Times New Roman" w:eastAsia="Times New Roman" w:hAnsi="Times New Roman" w:cs="Times New Roman"/>
                <w:b/>
                <w:i/>
                <w:strike w:val="0"/>
                <w:color w:val="auto"/>
                <w:sz w:val="24"/>
                <w:highlight w:val="none"/>
                <w:u w:val="none" w:color="auto"/>
                <w:vertAlign w:val="baseline"/>
              </w:rPr>
              <w:t>16 795 821 EUR 2018. gada</w:t>
            </w:r>
            <w:r>
              <w:t xml:space="preserve"> cenās.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Dimitrios Papadimoulis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GUE/NGL</w:t>
      </w:r>
      <w:r>
        <w:rPr>
          <w:rStyle w:val="HideTWBInt"/>
        </w:rPr>
        <w:t>}</w:t>
      </w:r>
      <w:r>
        <w:t>GUE/NGL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3. 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0,35 % no papildu resursiem piešķir tehniskajai palīdzībai pēc Komisijas iniciatīvas.</w:t>
            </w:r>
          </w:p>
        </w:tc>
        <w:tc>
          <w:tcPr>
            <w:tcW w:w="4876" w:type="dxa"/>
            <w:vAlign w:val="top"/>
          </w:tcPr>
          <w:p>
            <w:pPr>
              <w:pStyle w:val="Normal6a"/>
            </w:pPr>
            <w:r>
              <w:t>3.</w:t>
            </w:r>
            <w:r>
              <w:tab/>
            </w:r>
            <w:r>
              <w:t>0,35 % no papildu resursiem piešķir tehniskajai palīdzībai pēc Komisijas iniciatīvas</w:t>
            </w:r>
            <w:r>
              <w:rPr>
                <w:rFonts w:ascii="Times New Roman" w:eastAsia="Times New Roman" w:hAnsi="Times New Roman" w:cs="Times New Roman"/>
                <w:b/>
                <w:i/>
                <w:strike w:val="0"/>
                <w:color w:val="auto"/>
                <w:sz w:val="24"/>
                <w:highlight w:val="none"/>
                <w:u w:val="none" w:color="auto"/>
                <w:vertAlign w:val="baseline"/>
              </w:rPr>
              <w:t>, īpašu uzmanību pievēršot dalībvalstīm, kuras pandēmija skārusi vissmagāk, un dalībvalstīm ar zemākiem apguves un īstenošanas rādītājiem</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t xml:space="preserve">, </w:t>
      </w:r>
      <w:r>
        <w:t>Olivier Chastel</w:t>
      </w:r>
      <w:r>
        <w:t xml:space="preserve">, </w:t>
      </w:r>
      <w:r>
        <w:t>Moritz Körner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3. 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0,35 % no papildu resursiem piešķir tehniskajai palīdzībai pēc Komisijas iniciatīvas.</w:t>
            </w:r>
          </w:p>
        </w:tc>
        <w:tc>
          <w:tcPr>
            <w:tcW w:w="4876" w:type="dxa"/>
            <w:vAlign w:val="top"/>
          </w:tcPr>
          <w:p>
            <w:pPr>
              <w:pStyle w:val="Normal6a"/>
            </w:pPr>
            <w:r>
              <w:t>3.</w:t>
            </w:r>
            <w:r>
              <w:tab/>
            </w:r>
            <w:r>
              <w:rPr>
                <w:rFonts w:ascii="Times New Roman" w:eastAsia="Times New Roman" w:hAnsi="Times New Roman" w:cs="Times New Roman"/>
                <w:b/>
                <w:i/>
                <w:strike w:val="0"/>
                <w:color w:val="auto"/>
                <w:sz w:val="24"/>
                <w:highlight w:val="none"/>
                <w:u w:val="none" w:color="auto"/>
                <w:vertAlign w:val="baseline"/>
              </w:rPr>
              <w:t>Vismaz</w:t>
            </w:r>
            <w:r>
              <w:t xml:space="preserve"> 0,35 % no papildu resursiem piešķir tehniskajai palīdzībai pēc Komisijas iniciatīvas.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4. 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Komisija </w:t>
            </w:r>
            <w:r>
              <w:rPr>
                <w:rFonts w:ascii="Times New Roman" w:eastAsia="Times New Roman" w:hAnsi="Times New Roman" w:cs="Times New Roman"/>
                <w:b/>
                <w:i/>
                <w:strike w:val="0"/>
                <w:color w:val="auto"/>
                <w:sz w:val="24"/>
                <w:highlight w:val="none"/>
                <w:u w:val="none" w:color="auto"/>
                <w:vertAlign w:val="baseline"/>
              </w:rPr>
              <w:t>ar īstenošanas aktiem pieņem lēmumu</w:t>
            </w:r>
            <w:r>
              <w:t xml:space="preserve">, kurā saskaņā ar VIIa pielikumā noteiktajiem kritērijiem un metodiku nosaka papildu resursu sadalījumu kā struktūrfondu apropriācijas 2020. un 2021. gadam katrai dalībvalstij. Minēto </w:t>
            </w:r>
            <w:r>
              <w:rPr>
                <w:rFonts w:ascii="Times New Roman" w:eastAsia="Times New Roman" w:hAnsi="Times New Roman" w:cs="Times New Roman"/>
                <w:b/>
                <w:i/>
                <w:strike w:val="0"/>
                <w:color w:val="auto"/>
                <w:sz w:val="24"/>
                <w:highlight w:val="none"/>
                <w:u w:val="none" w:color="auto"/>
                <w:vertAlign w:val="baseline"/>
              </w:rPr>
              <w:t>lēmumu</w:t>
            </w:r>
            <w:r>
              <w:t xml:space="preserve"> 2021. gadā pārskata, lai, pamatojoties uz datiem, kas pieejami līdz 2021. gada 19. oktobrim, noteiktu papildu resursu sadalījumu 2022. gadam.</w:t>
            </w:r>
          </w:p>
        </w:tc>
        <w:tc>
          <w:tcPr>
            <w:tcW w:w="4876" w:type="dxa"/>
            <w:vAlign w:val="top"/>
          </w:tcPr>
          <w:p>
            <w:pPr>
              <w:pStyle w:val="Normal6a"/>
            </w:pPr>
            <w:r>
              <w:t>4.</w:t>
            </w:r>
            <w:r>
              <w:tab/>
            </w:r>
            <w:r>
              <w:t xml:space="preserve">Komisija </w:t>
            </w:r>
            <w:r>
              <w:rPr>
                <w:rFonts w:ascii="Times New Roman" w:eastAsia="Times New Roman" w:hAnsi="Times New Roman" w:cs="Times New Roman"/>
                <w:b/>
                <w:i/>
                <w:strike w:val="0"/>
                <w:color w:val="auto"/>
                <w:sz w:val="24"/>
                <w:highlight w:val="none"/>
                <w:u w:val="none" w:color="auto"/>
                <w:vertAlign w:val="baseline"/>
              </w:rPr>
              <w:t>tiek pilnvarota pieņemt deleģētu aktu saskaņā ar 149. pantu</w:t>
            </w:r>
            <w:r>
              <w:t xml:space="preserve">, kurā saskaņā ar VIIa pielikumā noteiktajiem kritērijiem un metodiku nosaka papildu resursu sadalījumu kā struktūrfondu apropriācijas 2020. un 2021. gadam katrai dalībvalstij. Minēto </w:t>
            </w:r>
            <w:r>
              <w:rPr>
                <w:rFonts w:ascii="Times New Roman" w:eastAsia="Times New Roman" w:hAnsi="Times New Roman" w:cs="Times New Roman"/>
                <w:b/>
                <w:i/>
                <w:strike w:val="0"/>
                <w:color w:val="auto"/>
                <w:sz w:val="24"/>
                <w:highlight w:val="none"/>
                <w:u w:val="none" w:color="auto"/>
                <w:vertAlign w:val="baseline"/>
              </w:rPr>
              <w:t>deleģēto aktu</w:t>
            </w:r>
            <w:r>
              <w:t xml:space="preserve"> 2021. gadā pārskata, lai, pamatojoties uz datiem, kas pieejami līdz 2021. gada 19. oktobrim, noteiktu papildu resursu sadalījumu 2022. gadam.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5. punkts – 6.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Papildu resursus, kas pieejami plānošanai ERAF un ESF ietvaros, katra dalībvalsts piešķir darbības programmām.</w:t>
            </w:r>
          </w:p>
        </w:tc>
        <w:tc>
          <w:tcPr>
            <w:tcW w:w="4876" w:type="dxa"/>
            <w:vAlign w:val="top"/>
          </w:tcPr>
          <w:p>
            <w:pPr>
              <w:pStyle w:val="Normal6a"/>
            </w:pPr>
            <w:r>
              <w:t xml:space="preserve">Papildu resursus, kas pieejami plānošanai ERAF un ESF ietvaros, katra dalībvalsts piešķir darbības programmām. </w:t>
            </w:r>
            <w:r>
              <w:rPr>
                <w:rFonts w:ascii="Times New Roman" w:eastAsia="Times New Roman" w:hAnsi="Times New Roman" w:cs="Times New Roman"/>
                <w:b/>
                <w:i/>
                <w:strike w:val="0"/>
                <w:color w:val="auto"/>
                <w:sz w:val="24"/>
                <w:highlight w:val="none"/>
                <w:u w:val="none" w:color="auto"/>
                <w:vertAlign w:val="baseline"/>
              </w:rPr>
              <w:t>ESF daļu nedrīkst samazināt zem līmeņa, ko paredz pašreizējais juridiskais pienākums, kas ir 23,1 %.</w:t>
            </w:r>
            <w:r>
              <w:t xml:space="preserve"> </w:t>
            </w:r>
            <w:r>
              <w:rPr>
                <w:rFonts w:ascii="Times New Roman" w:eastAsia="Times New Roman" w:hAnsi="Times New Roman" w:cs="Times New Roman"/>
                <w:b/>
                <w:i/>
                <w:strike w:val="0"/>
                <w:color w:val="auto"/>
                <w:sz w:val="24"/>
                <w:highlight w:val="none"/>
                <w:u w:val="none" w:color="auto"/>
                <w:vertAlign w:val="baseline"/>
              </w:rPr>
              <w:t>Tajā ņem vērā koronavīrusa infekcijas gadījumu kopējo skaitu NUTS 3. līmeņa reģionos un koncentrē papildu resursus uz tiem NUTS 3. līmeņa reģioniem, kuros ir visvairāk šo gadījumu.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5. punkts – 6.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Papildu resursus, kas pieejami plānošanai ERAF un ESF ietvaros, katra dalībvalsts piešķir darbības programmām.</w:t>
            </w:r>
          </w:p>
        </w:tc>
        <w:tc>
          <w:tcPr>
            <w:tcW w:w="4876" w:type="dxa"/>
            <w:vAlign w:val="top"/>
          </w:tcPr>
          <w:p>
            <w:pPr>
              <w:pStyle w:val="Normal6a"/>
            </w:pPr>
            <w:r>
              <w:t>Papildu resursus, kas pieejami plānošanai ERAF un ESF ietvaros, katra dalībvalsts piešķir darbības programmām</w:t>
            </w:r>
            <w:r>
              <w:rPr>
                <w:rFonts w:ascii="Times New Roman" w:eastAsia="Times New Roman" w:hAnsi="Times New Roman" w:cs="Times New Roman"/>
                <w:b/>
                <w:i/>
                <w:strike w:val="0"/>
                <w:color w:val="auto"/>
                <w:sz w:val="24"/>
                <w:highlight w:val="none"/>
                <w:u w:val="none" w:color="auto"/>
                <w:vertAlign w:val="baseline"/>
              </w:rPr>
              <w:t>, saskaņā ar partnerības principu iesaistot vietējās un reģionālās iestādes, kā arī attiecīgās struktūras, kas pārstāv pilsonisko sabiedrību.</w:t>
            </w:r>
            <w:r>
              <w:t xml:space="preserve"> </w:t>
            </w:r>
            <w:r>
              <w:rPr>
                <w:rFonts w:ascii="Times New Roman" w:eastAsia="Times New Roman" w:hAnsi="Times New Roman" w:cs="Times New Roman"/>
                <w:b/>
                <w:i/>
                <w:strike w:val="0"/>
                <w:color w:val="auto"/>
                <w:sz w:val="24"/>
                <w:highlight w:val="none"/>
                <w:u w:val="none" w:color="auto"/>
                <w:vertAlign w:val="baseline"/>
              </w:rPr>
              <w:t>Vismaz 7 % no papildu resursiem izmanto pārrobežu projektiem</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t xml:space="preserve">, </w:t>
      </w:r>
      <w:r>
        <w:t>Valérie Hayer</w:t>
      </w:r>
      <w:r>
        <w:t xml:space="preserve">, </w:t>
      </w:r>
      <w:r>
        <w:t>Olivier Chastel</w:t>
      </w:r>
      <w:r>
        <w:t xml:space="preserve">, </w:t>
      </w:r>
      <w:r>
        <w:t>Moritz Körner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5. punkts – 6.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Papildu resursus, kas pieejami plānošanai ERAF un ESF ietvaros, katra dalībvalsts piešķir darbības programmām.</w:t>
            </w:r>
          </w:p>
        </w:tc>
        <w:tc>
          <w:tcPr>
            <w:tcW w:w="4876" w:type="dxa"/>
            <w:vAlign w:val="top"/>
          </w:tcPr>
          <w:p>
            <w:pPr>
              <w:pStyle w:val="Normal6a"/>
            </w:pPr>
            <w:r>
              <w:t xml:space="preserve">Papildu resursus, kas pieejami plānošanai ERAF un ESF ietvaros, </w:t>
            </w:r>
            <w:r>
              <w:rPr>
                <w:rFonts w:ascii="Times New Roman" w:eastAsia="Times New Roman" w:hAnsi="Times New Roman" w:cs="Times New Roman"/>
                <w:b/>
                <w:i/>
                <w:strike w:val="0"/>
                <w:color w:val="auto"/>
                <w:sz w:val="24"/>
                <w:highlight w:val="none"/>
                <w:u w:val="none" w:color="auto"/>
                <w:vertAlign w:val="baseline"/>
              </w:rPr>
              <w:t>pēc apspriešanās ar reģionālajām un vietējām iestādēm</w:t>
            </w:r>
            <w:r>
              <w:t xml:space="preserve"> katra dalībvalsts piešķir darbības programmām.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Valérie Hayer</w:t>
      </w:r>
      <w:r>
        <w:t xml:space="preserve">, </w:t>
      </w:r>
      <w:r>
        <w:t>Sylvie Brunet</w:t>
      </w:r>
      <w:r>
        <w:t xml:space="preserve">, </w:t>
      </w:r>
      <w:r>
        <w:t>Olivier Chastel</w:t>
      </w:r>
      <w:r>
        <w:t xml:space="preserve">, </w:t>
      </w:r>
      <w:r>
        <w:t>Martin Hojsík</w:t>
      </w:r>
      <w:r>
        <w:t xml:space="preserve">, </w:t>
      </w:r>
      <w:r>
        <w:t>Nils Torvalds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5. punkts – 7.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Atkāpjoties no 92. panta 7. punkta, pirms piešķīruma ERAF un ESF vai vienlaicīgi ar šādu piešķīrumu daļu no papildu resursiem </w:t>
            </w:r>
            <w:r>
              <w:rPr>
                <w:rFonts w:ascii="Times New Roman" w:eastAsia="Times New Roman" w:hAnsi="Times New Roman" w:cs="Times New Roman"/>
                <w:b/>
                <w:i/>
                <w:strike w:val="0"/>
                <w:color w:val="auto"/>
                <w:sz w:val="24"/>
                <w:highlight w:val="none"/>
                <w:u w:val="none" w:color="auto"/>
                <w:vertAlign w:val="baseline"/>
              </w:rPr>
              <w:t>var arī ierosināt izmantot</w:t>
            </w:r>
            <w:r>
              <w:t>, lai palielinātu atbalstu Eiropas atbalsta fondam vistrūcīgākajām personām (EAFVP).</w:t>
            </w:r>
          </w:p>
        </w:tc>
        <w:tc>
          <w:tcPr>
            <w:tcW w:w="4876" w:type="dxa"/>
            <w:vAlign w:val="top"/>
          </w:tcPr>
          <w:p>
            <w:pPr>
              <w:pStyle w:val="Normal6a"/>
            </w:pPr>
            <w:r>
              <w:t xml:space="preserve">Atkāpjoties no 92. panta 7. punkta, pirms piešķīruma ERAF un ESF vai vienlaicīgi ar šādu piešķīrumu daļu no papildu resursiem </w:t>
            </w:r>
            <w:r>
              <w:rPr>
                <w:rFonts w:ascii="Times New Roman" w:eastAsia="Times New Roman" w:hAnsi="Times New Roman" w:cs="Times New Roman"/>
                <w:b/>
                <w:i/>
                <w:strike w:val="0"/>
                <w:color w:val="auto"/>
                <w:sz w:val="24"/>
                <w:highlight w:val="none"/>
                <w:u w:val="none" w:color="auto"/>
                <w:vertAlign w:val="baseline"/>
              </w:rPr>
              <w:t>izmanto</w:t>
            </w:r>
            <w:r>
              <w:t xml:space="preserve">, lai palielinātu atbalstu Eiropas atbalsta fondam vistrūcīgākajām personām (EAFVP). </w:t>
            </w:r>
            <w:r>
              <w:rPr>
                <w:rFonts w:ascii="Times New Roman" w:eastAsia="Times New Roman" w:hAnsi="Times New Roman" w:cs="Times New Roman"/>
                <w:b/>
                <w:i/>
                <w:strike w:val="0"/>
                <w:color w:val="auto"/>
                <w:sz w:val="24"/>
                <w:highlight w:val="none"/>
                <w:u w:val="none" w:color="auto"/>
                <w:vertAlign w:val="baseline"/>
              </w:rPr>
              <w:t>Šī daļa ir vismaz 3 % no papildu resursiem, un tās nolūks ir garantēt būtiski svarīgu finansējuma apmēru vistrūcīgākajām personām, kuras smagi skārusi Covid-19 krīze.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5. punkts – 11.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Sākotnējam piešķīrumam vai turpmākiem pārvietojumiem nepiemēro prasības, kas noteiktas 92. panta 4. punktā.</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svītrots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6. 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rPr>
                <w:rFonts w:ascii="Times New Roman" w:eastAsia="Times New Roman" w:hAnsi="Times New Roman" w:cs="Times New Roman"/>
                <w:b/>
                <w:i/>
                <w:strike w:val="0"/>
                <w:color w:val="auto"/>
                <w:sz w:val="24"/>
                <w:highlight w:val="none"/>
                <w:u w:val="none" w:color="auto"/>
                <w:vertAlign w:val="baseline"/>
              </w:rPr>
              <w:t>Līdz 4 % no kopējiem</w:t>
            </w:r>
            <w:r>
              <w:t xml:space="preserve"> ERAF un ESF papildu </w:t>
            </w:r>
            <w:r>
              <w:rPr>
                <w:rFonts w:ascii="Times New Roman" w:eastAsia="Times New Roman" w:hAnsi="Times New Roman" w:cs="Times New Roman"/>
                <w:b/>
                <w:i/>
                <w:strike w:val="0"/>
                <w:color w:val="auto"/>
                <w:sz w:val="24"/>
                <w:highlight w:val="none"/>
                <w:u w:val="none" w:color="auto"/>
                <w:vertAlign w:val="baseline"/>
              </w:rPr>
              <w:t>resursiem</w:t>
            </w:r>
            <w:r>
              <w:t xml:space="preserve"> var piešķirt tehniskajai palīdzībai jebkurā esošā darbības programmā, ko atbalsta no ERAF vai ESF, vai 11. punktā minētajai jaunajai darbības programmai.</w:t>
            </w:r>
          </w:p>
        </w:tc>
        <w:tc>
          <w:tcPr>
            <w:tcW w:w="4876" w:type="dxa"/>
            <w:vAlign w:val="top"/>
          </w:tcPr>
          <w:p>
            <w:pPr>
              <w:pStyle w:val="Normal6a"/>
            </w:pPr>
            <w:r>
              <w:t>6.</w:t>
            </w:r>
            <w:r>
              <w:tab/>
            </w:r>
            <w:r>
              <w:rPr>
                <w:rFonts w:ascii="Times New Roman" w:eastAsia="Times New Roman" w:hAnsi="Times New Roman" w:cs="Times New Roman"/>
                <w:b/>
                <w:i/>
                <w:strike w:val="0"/>
                <w:color w:val="auto"/>
                <w:sz w:val="24"/>
                <w:highlight w:val="none"/>
                <w:u w:val="none" w:color="auto"/>
                <w:vertAlign w:val="baseline"/>
              </w:rPr>
              <w:t>Vajadzības gadījumā</w:t>
            </w:r>
            <w:r>
              <w:t xml:space="preserve"> ERAF un ESF papildu </w:t>
            </w:r>
            <w:r>
              <w:rPr>
                <w:rFonts w:ascii="Times New Roman" w:eastAsia="Times New Roman" w:hAnsi="Times New Roman" w:cs="Times New Roman"/>
                <w:b/>
                <w:i/>
                <w:strike w:val="0"/>
                <w:color w:val="auto"/>
                <w:sz w:val="24"/>
                <w:highlight w:val="none"/>
                <w:u w:val="none" w:color="auto"/>
                <w:vertAlign w:val="baseline"/>
              </w:rPr>
              <w:t>resursus</w:t>
            </w:r>
            <w:r>
              <w:t xml:space="preserve"> var piešķirt tehniskajai palīdzībai jebkurā esošā darbības programmā, ko atbalsta no ERAF vai ESF, vai 11. punktā minētajai jaunajai darbības programmai. </w:t>
            </w:r>
            <w:r>
              <w:rPr>
                <w:rFonts w:ascii="Times New Roman" w:eastAsia="Times New Roman" w:hAnsi="Times New Roman" w:cs="Times New Roman"/>
                <w:b/>
                <w:i/>
                <w:strike w:val="0"/>
                <w:color w:val="auto"/>
                <w:sz w:val="24"/>
                <w:highlight w:val="none"/>
                <w:u w:val="none" w:color="auto"/>
                <w:vertAlign w:val="baseline"/>
              </w:rPr>
              <w:t>Šāda papildu tehniskā un administratīvā palīdzība cita starpā ir profilakses pasākums pret iekšpolitisku faktoru radītu kaitējumu kohēzijas politikas centieniem.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7. punkts – 2.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Lai 134. panta 2. punktu piemērotu ikgadējam priekšfinansējumam 2021., 2022. </w:t>
            </w:r>
            <w:r>
              <w:rPr>
                <w:rFonts w:ascii="Times New Roman" w:eastAsia="Times New Roman" w:hAnsi="Times New Roman" w:cs="Times New Roman"/>
                <w:b/>
                <w:i/>
                <w:strike w:val="0"/>
                <w:color w:val="auto"/>
                <w:sz w:val="24"/>
                <w:highlight w:val="none"/>
                <w:u w:val="none" w:color="auto"/>
                <w:vertAlign w:val="baseline"/>
              </w:rPr>
              <w:t>un 2023</w:t>
            </w:r>
            <w:r>
              <w:t>. gadā, atbalsta summā, kas no fondiem piešķirta darbības programmai visam plānošanas periodam, iekļauj papildu resursus.</w:t>
            </w:r>
          </w:p>
        </w:tc>
        <w:tc>
          <w:tcPr>
            <w:tcW w:w="4876" w:type="dxa"/>
            <w:vAlign w:val="top"/>
          </w:tcPr>
          <w:p>
            <w:pPr>
              <w:pStyle w:val="Normal6a"/>
            </w:pPr>
            <w:r>
              <w:t>Lai 134. panta 2. punktu piemērotu ikgadējam priekšfinansējumam 2021., 2022.</w:t>
            </w:r>
            <w:r>
              <w:rPr>
                <w:rFonts w:ascii="Times New Roman" w:eastAsia="Times New Roman" w:hAnsi="Times New Roman" w:cs="Times New Roman"/>
                <w:b/>
                <w:i/>
                <w:strike w:val="0"/>
                <w:color w:val="auto"/>
                <w:sz w:val="24"/>
                <w:highlight w:val="none"/>
                <w:u w:val="none" w:color="auto"/>
                <w:vertAlign w:val="baseline"/>
              </w:rPr>
              <w:t>, 2023. un 2024</w:t>
            </w:r>
            <w:r>
              <w:t>. gadā, atbalsta summā, kas no fondiem piešķirta darbības programmai visam plānošanas periodam, iekļauj papildu resursus.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8. punkts – 2.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Dalībvalstis papildu resursus var piešķirt vienam vai vairākiem atsevišķiem prioritārajiem virzieniem spēkā esošā darbības programmā vai programmās vai jaunai darbības programmai, kas minēta 11. punktā. </w:t>
            </w:r>
            <w:r>
              <w:rPr>
                <w:rFonts w:ascii="Times New Roman" w:eastAsia="Times New Roman" w:hAnsi="Times New Roman" w:cs="Times New Roman"/>
                <w:b/>
                <w:i/>
                <w:strike w:val="0"/>
                <w:color w:val="auto"/>
                <w:sz w:val="24"/>
                <w:highlight w:val="none"/>
                <w:u w:val="none" w:color="auto"/>
                <w:vertAlign w:val="baseline"/>
              </w:rPr>
              <w:t>Atkāpjoties no 26. panta 1. punkta, programma attiecas uz laikposmu līdz 2022. gada 31. decembrim, ievērojot 4. punktu.</w:t>
            </w:r>
          </w:p>
        </w:tc>
        <w:tc>
          <w:tcPr>
            <w:tcW w:w="4876" w:type="dxa"/>
            <w:vAlign w:val="top"/>
          </w:tcPr>
          <w:p>
            <w:pPr>
              <w:pStyle w:val="Normal6a"/>
            </w:pPr>
            <w:r>
              <w:t>Dalībvalstis papildu resursus var piešķirt vienam vai vairākiem atsevišķiem prioritārajiem virzieniem spēkā esošā darbības programmā vai programmās vai jaunai darbības programmai, kas minēta 11. punktā.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t xml:space="preserve">, </w:t>
      </w:r>
      <w:r>
        <w:t>Martin Hojsík</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8. punkts – 3.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Attiecībā uz ERAF papildu resursus galvenokārt izmanto, lai atbalstītu investīcijas veselības aprūpes produktos un pakalpojumos, sniegtu atbalstu apgrozāmā kapitāla vai investīciju atbalsta veidā MVU vajadzībām, veiktu investīcijas, kas sekmē pāreju uz digitālu un zaļu ekonomiku, investīcijas infrastruktūrā, ar ko iedzīvotājiem sniedz pamatpakalpojumus, un ekonomikas pasākumus reģionos, kuri ir visvairāk atkarīgi no krīzes vissmagāk skartajām nozarēm.</w:t>
            </w:r>
          </w:p>
        </w:tc>
        <w:tc>
          <w:tcPr>
            <w:tcW w:w="4876" w:type="dxa"/>
            <w:vAlign w:val="top"/>
          </w:tcPr>
          <w:p>
            <w:pPr>
              <w:pStyle w:val="Normal6a"/>
            </w:pPr>
            <w:r>
              <w:t xml:space="preserve">Attiecībā uz ERAF papildu resursus galvenokārt izmanto, lai atbalstītu investīcijas veselības aprūpes produktos un pakalpojumos, sniegtu atbalstu apgrozāmā kapitāla vai investīciju atbalsta veidā MVU vajadzībām, veiktu investīcijas, kas sekmē pāreju uz digitālu un zaļu ekonomiku, investīcijas infrastruktūrā, ar ko iedzīvotājiem sniedz pamatpakalpojumus, un ekonomikas pasākumus reģionos, kuri ir visvairāk atkarīgi no krīzes vissmagāk skartajām nozarēm. </w:t>
            </w:r>
            <w:r>
              <w:rPr>
                <w:rFonts w:ascii="Times New Roman" w:eastAsia="Times New Roman" w:hAnsi="Times New Roman" w:cs="Times New Roman"/>
                <w:b/>
                <w:i/>
                <w:strike w:val="0"/>
                <w:color w:val="auto"/>
                <w:sz w:val="24"/>
                <w:highlight w:val="none"/>
                <w:u w:val="none" w:color="auto"/>
                <w:vertAlign w:val="baseline"/>
              </w:rPr>
              <w:t>Šajā sakarā īpaša uzmanība jāpievērš tādas kritiskās infrastruktūras kā slimnīcas un ceļi remontam un būvniecībai, lai paātrinātu ekonomikas atveseļošanos un palielinātu kohēzijas politikā veikto ieguldījumu noderīgumu.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8. punkts – 3.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Attiecībā uz ERAF papildu resursus galvenokārt izmanto, lai atbalstītu investīcijas veselības aprūpes produktos un pakalpojumos, sniegtu atbalstu apgrozāmā kapitāla vai investīciju atbalsta veidā MVU vajadzībām, veiktu investīcijas, kas sekmē pāreju uz digitālu un zaļu ekonomiku, investīcijas infrastruktūrā, ar ko iedzīvotājiem sniedz pamatpakalpojumus, un ekonomikas pasākumus reģionos, kuri ir visvairāk atkarīgi no krīzes vissmagāk skartajām nozarēm.</w:t>
            </w:r>
          </w:p>
        </w:tc>
        <w:tc>
          <w:tcPr>
            <w:tcW w:w="4876" w:type="dxa"/>
            <w:vAlign w:val="top"/>
          </w:tcPr>
          <w:p>
            <w:pPr>
              <w:pStyle w:val="Normal6a"/>
            </w:pPr>
            <w:r>
              <w:t xml:space="preserve">Attiecībā uz ERAF papildu resursus galvenokārt izmanto, lai atbalstītu investīcijas veselības aprūpes produktos un pakalpojumos, sniegtu atbalstu apgrozāmā kapitāla vai investīciju atbalsta veidā MVU vajadzībām, veiktu investīcijas, kas sekmē pāreju uz digitālu un zaļu ekonomiku, investīcijas infrastruktūrā, ar ko iedzīvotājiem sniedz pamatpakalpojumus, </w:t>
            </w:r>
            <w:r>
              <w:rPr>
                <w:rFonts w:ascii="Times New Roman" w:eastAsia="Times New Roman" w:hAnsi="Times New Roman" w:cs="Times New Roman"/>
                <w:b/>
                <w:i/>
                <w:strike w:val="0"/>
                <w:color w:val="auto"/>
                <w:sz w:val="24"/>
                <w:highlight w:val="none"/>
                <w:u w:val="none" w:color="auto"/>
                <w:vertAlign w:val="baseline"/>
              </w:rPr>
              <w:t>tostarp salu, attālos, lauku un reti apdzīvotos apvidos,</w:t>
            </w:r>
            <w:r>
              <w:t xml:space="preserve"> un ekonomikas pasākumus reģionos, kuri ir visvairāk atkarīgi no krīzes vissmagāk skartajām nozarēm.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8. punkts – 4.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Attiecībā uz ESF papildu resursus galvenokārt izmanto, lai atbalstītu darbvietu </w:t>
            </w:r>
            <w:r>
              <w:rPr>
                <w:rFonts w:ascii="Times New Roman" w:eastAsia="Times New Roman" w:hAnsi="Times New Roman" w:cs="Times New Roman"/>
                <w:b/>
                <w:i/>
                <w:strike w:val="0"/>
                <w:color w:val="auto"/>
                <w:sz w:val="24"/>
                <w:highlight w:val="none"/>
                <w:u w:val="none" w:color="auto"/>
                <w:vertAlign w:val="baseline"/>
              </w:rPr>
              <w:t>saglabāšanu</w:t>
            </w:r>
            <w:r>
              <w:t xml:space="preserve">, arī izmantojot saīsināta darbalaika shēmas </w:t>
            </w:r>
            <w:r>
              <w:rPr>
                <w:rFonts w:ascii="Times New Roman" w:eastAsia="Times New Roman" w:hAnsi="Times New Roman" w:cs="Times New Roman"/>
                <w:b/>
                <w:i/>
                <w:strike w:val="0"/>
                <w:color w:val="auto"/>
                <w:sz w:val="24"/>
                <w:highlight w:val="none"/>
                <w:u w:val="none" w:color="auto"/>
                <w:vertAlign w:val="baseline"/>
              </w:rPr>
              <w:t>un</w:t>
            </w:r>
            <w:r>
              <w:t xml:space="preserve"> atbalstu pašnodarbinātām personām, pat ja šis atbalsts nav apvienots ar aktīviem darba tirgus pasākumiem, ja vien valsts tiesību aktos tie nav noteikti par obligātiem. No papildu resursiem atbalsta arī darbvietu radīšanu, jo īpaši neaizsargātām iedzīvotāju grupām, jauniešu nodarbinātības pasākumus, izglītību un apmācību, prasmju pilnveidi, jo īpaši nolūkā atbalstīt divēju pāreju uz zaļu un digitālu ekonomiku un uzlabot piekļuvi vispārējas nozīmes sociālajiem pakalpojumiem, arī bērniem.</w:t>
            </w:r>
          </w:p>
        </w:tc>
        <w:tc>
          <w:tcPr>
            <w:tcW w:w="4876" w:type="dxa"/>
            <w:vAlign w:val="top"/>
          </w:tcPr>
          <w:p>
            <w:pPr>
              <w:pStyle w:val="Normal6a"/>
            </w:pPr>
            <w:r>
              <w:t xml:space="preserve">Attiecībā uz ESF papildu resursus galvenokārt izmanto, lai atbalstītu </w:t>
            </w:r>
            <w:r>
              <w:rPr>
                <w:rFonts w:ascii="Times New Roman" w:eastAsia="Times New Roman" w:hAnsi="Times New Roman" w:cs="Times New Roman"/>
                <w:b/>
                <w:i/>
                <w:strike w:val="0"/>
                <w:color w:val="auto"/>
                <w:sz w:val="24"/>
                <w:highlight w:val="none"/>
                <w:u w:val="none" w:color="auto"/>
                <w:vertAlign w:val="baseline"/>
              </w:rPr>
              <w:t>sociālās iekļaušanas un nabadzības izskaušanas pasākumus, īpašu uzmanību pievēršot bērnu nabadzībai un dzimumu līdztiesībai,</w:t>
            </w:r>
            <w:r>
              <w:t xml:space="preserve"> darbvietu </w:t>
            </w:r>
            <w:r>
              <w:rPr>
                <w:rFonts w:ascii="Times New Roman" w:eastAsia="Times New Roman" w:hAnsi="Times New Roman" w:cs="Times New Roman"/>
                <w:b/>
                <w:i/>
                <w:strike w:val="0"/>
                <w:color w:val="auto"/>
                <w:sz w:val="24"/>
                <w:highlight w:val="none"/>
                <w:u w:val="none" w:color="auto"/>
                <w:vertAlign w:val="baseline"/>
              </w:rPr>
              <w:t>saglabāšanai</w:t>
            </w:r>
            <w:r>
              <w:t>, arī izmantojot saīsināta darbalaika shēmas</w:t>
            </w:r>
            <w:r>
              <w:rPr>
                <w:rFonts w:ascii="Times New Roman" w:eastAsia="Times New Roman" w:hAnsi="Times New Roman" w:cs="Times New Roman"/>
                <w:b/>
                <w:i/>
                <w:strike w:val="0"/>
                <w:color w:val="auto"/>
                <w:sz w:val="24"/>
                <w:highlight w:val="none"/>
                <w:u w:val="none" w:color="auto"/>
                <w:vertAlign w:val="baseline"/>
              </w:rPr>
              <w:t>, un sniegtu</w:t>
            </w:r>
            <w:r>
              <w:t xml:space="preserve"> atbalstu pašnodarbinātām personām, pat ja šis atbalsts nav apvienots ar aktīviem darba tirgus pasākumiem, ja vien valsts tiesību aktos tie nav noteikti par obligātiem. No papildu resursiem atbalsta arī darbvietu radīšanu, jo īpaši neaizsargātām iedzīvotāju grupām, jauniešu nodarbinātības pasākumus, izglītību un apmācību, prasmju pilnveidi, jo īpaši nolūkā atbalstīt divēju pāreju uz zaļu un digitālu ekonomiku un uzlabot piekļuvi </w:t>
            </w:r>
            <w:r>
              <w:rPr>
                <w:rFonts w:ascii="Times New Roman" w:eastAsia="Times New Roman" w:hAnsi="Times New Roman" w:cs="Times New Roman"/>
                <w:b/>
                <w:i/>
                <w:strike w:val="0"/>
                <w:color w:val="auto"/>
                <w:sz w:val="24"/>
                <w:highlight w:val="none"/>
                <w:u w:val="none" w:color="auto"/>
                <w:vertAlign w:val="baseline"/>
              </w:rPr>
              <w:t>universāliem, iekļaujošiem, pieejamiem, cenas ziņā pieņemamiem un kvalitatīviem</w:t>
            </w:r>
            <w:r>
              <w:t xml:space="preserve"> vispārējas nozīmes sociālajiem pakalpojumiem, arī bērniem.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Erik Bergkvist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8. punkts – 4.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Attiecībā uz ESF papildu resursus galvenokārt izmanto, lai atbalstītu darbvietu saglabāšanu, arī izmantojot saīsināta darbalaika shēmas un atbalstu pašnodarbinātām personām, pat ja šis atbalsts nav apvienots ar aktīviem darba tirgus pasākumiem, ja vien valsts tiesību aktos tie nav noteikti par obligātiem. No papildu resursiem atbalsta arī darbvietu radīšanu, jo īpaši neaizsargātām iedzīvotāju grupām, jauniešu nodarbinātības pasākumus, izglītību un apmācību, prasmju pilnveidi, jo īpaši nolūkā atbalstīt divēju pāreju uz zaļu un digitālu ekonomiku un uzlabot piekļuvi vispārējas nozīmes sociālajiem pakalpojumiem, arī bērniem.</w:t>
            </w:r>
          </w:p>
        </w:tc>
        <w:tc>
          <w:tcPr>
            <w:tcW w:w="4876" w:type="dxa"/>
            <w:vAlign w:val="top"/>
          </w:tcPr>
          <w:p>
            <w:pPr>
              <w:pStyle w:val="Normal6a"/>
            </w:pPr>
            <w:r>
              <w:t xml:space="preserve">Attiecībā uz ESF papildu resursus galvenokārt izmanto, lai atbalstītu darbvietu saglabāšanu, </w:t>
            </w:r>
            <w:r>
              <w:rPr>
                <w:rFonts w:ascii="Times New Roman" w:eastAsia="Times New Roman" w:hAnsi="Times New Roman" w:cs="Times New Roman"/>
                <w:b/>
                <w:i/>
                <w:strike w:val="0"/>
                <w:color w:val="auto"/>
                <w:sz w:val="24"/>
                <w:highlight w:val="none"/>
                <w:u w:val="none" w:color="auto"/>
                <w:vertAlign w:val="baseline"/>
              </w:rPr>
              <w:t>tostarp salu, attālos, lauku un reti apdzīvotos apvidos,</w:t>
            </w:r>
            <w:r>
              <w:t>arī izmantojot saīsināta darbalaika shēmas un atbalstu pašnodarbinātām personām, pat ja šis atbalsts nav apvienots ar aktīviem darba tirgus pasākumiem, ja vien valsts tiesību aktos tie nav noteikti par obligātiem. No papildu resursiem atbalsta arī darbvietu radīšanu, jo īpaši neaizsargātām iedzīvotāju grupām, jauniešu nodarbinātības pasākumus, izglītību un apmācību, prasmju pilnveidi, jo īpaši nolūkā atbalstīt divēju pāreju uz zaļu un digitālu ekonomiku un uzlabot piekļuvi vispārējas nozīmes sociālajiem pakalpojumiem, arī bērniem.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Martin Hojsík</w:t>
      </w:r>
      <w:r>
        <w:t xml:space="preserve">, </w:t>
      </w:r>
      <w:r>
        <w:t>Nicolae Ştefănuță</w:t>
      </w:r>
      <w:r>
        <w:t xml:space="preserve">, </w:t>
      </w:r>
      <w:r>
        <w:t>Valérie Hayer</w:t>
      </w:r>
      <w:r>
        <w:t xml:space="preserve">, </w:t>
      </w:r>
      <w:r>
        <w:t>Olivier Chastel</w:t>
      </w:r>
      <w:r>
        <w:t xml:space="preserve">, </w:t>
      </w:r>
      <w:r>
        <w:t>Moritz Körner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10. punkts – 3.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Ja tiek izveidota šāda jauna darbības programma, dalībvalstis 96. panta 5. punkta a) apakšpunkta vajadzībām drīkst norādīt tikai tās iestādes, kuras jau ir norīkotas esošajās darbības programmās, kas saņem atbalstu no ERAF, ESF vai Kohēzijas fonda.</w:t>
            </w:r>
          </w:p>
        </w:tc>
        <w:tc>
          <w:tcPr>
            <w:tcW w:w="4876" w:type="dxa"/>
            <w:vAlign w:val="top"/>
          </w:tcPr>
          <w:p>
            <w:pPr>
              <w:pStyle w:val="Normal6a"/>
            </w:pPr>
            <w:r>
              <w:t xml:space="preserve">Ja tiek izveidota šāda jauna darbības programma, dalībvalstis 96. panta 5. punkta a) apakšpunkta vajadzībām </w:t>
            </w:r>
            <w:r>
              <w:rPr>
                <w:rFonts w:ascii="Times New Roman" w:eastAsia="Times New Roman" w:hAnsi="Times New Roman" w:cs="Times New Roman"/>
                <w:b/>
                <w:i/>
                <w:strike w:val="0"/>
                <w:color w:val="auto"/>
                <w:sz w:val="24"/>
                <w:highlight w:val="none"/>
                <w:u w:val="none" w:color="auto"/>
                <w:vertAlign w:val="baseline"/>
              </w:rPr>
              <w:t>pēc apspriešanās ar reģionālajām un vietējām iestādēm</w:t>
            </w:r>
            <w:r>
              <w:t xml:space="preserve"> drīkst norādīt tikai tās iestādes, kuras jau ir norīkotas esošajās darbības programmās, kas saņem atbalstu no ERAF, ESF vai Kohēzijas fonda.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11. punkts – 1.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11.</w:t>
            </w:r>
            <w:r>
              <w:tab/>
            </w:r>
            <w:r>
              <w:t>Atkāpjoties no 120. panta 3. punkta pirmās un otrās daļas, prioritārajam virzienam vai virzieniem, ko atbalsta no papildu resursiem, kuri plānoti atbilstoši šā panta 10. punktā minētajam tematiskajam mērķim, var piemērot līdzfinansējuma likmi līdz 100 %.</w:t>
            </w:r>
          </w:p>
        </w:tc>
        <w:tc>
          <w:tcPr>
            <w:tcW w:w="4876" w:type="dxa"/>
            <w:vAlign w:val="top"/>
          </w:tcPr>
          <w:p>
            <w:pPr>
              <w:pStyle w:val="Normal6a"/>
            </w:pPr>
            <w:r>
              <w:t>11.</w:t>
            </w:r>
            <w:r>
              <w:tab/>
            </w:r>
            <w:r>
              <w:t xml:space="preserve">Atkāpjoties no 120. panta 3. punkta pirmās un otrās daļas, prioritārajam virzienam vai virzieniem, ko atbalsta no papildu resursiem, kuri plānoti atbilstoši šā panta 10. punktā minētajam tematiskajam mērķim, </w:t>
            </w:r>
            <w:r>
              <w:rPr>
                <w:rFonts w:ascii="Times New Roman" w:eastAsia="Times New Roman" w:hAnsi="Times New Roman" w:cs="Times New Roman"/>
                <w:b/>
                <w:i/>
                <w:strike w:val="0"/>
                <w:color w:val="auto"/>
                <w:sz w:val="24"/>
                <w:highlight w:val="none"/>
                <w:u w:val="none" w:color="auto"/>
                <w:vertAlign w:val="baseline"/>
              </w:rPr>
              <w:t>2020. un 2021. gadā</w:t>
            </w:r>
            <w:r>
              <w:t xml:space="preserve"> var piemērot līdzfinansējuma likmi līdz 100 %.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11. punkts – 2.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Atkāpjoties no 56. panta 3. punkta un 114. panta 2. punkta, dalībvalstis nodrošina, ka līdz 2024. gada 31. decembrim tiek veikts vismaz viens izvērtējums par papildu resursu izlietojumu, lai novērtētu to lietderību, efektivitāti, ietekmi un ieguldījumu šā panta 10. punktā minētā tematiskā mērķa sasniegšanā.</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svītrots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Eero Heinäluoma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11. punkts – 2.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Atkāpjoties no 56. panta 3. punkta un 114. panta 2. punkta, dalībvalstis nodrošina, ka līdz 2024. gada 31. decembrim tiek veikts vismaz viens izvērtējums par papildu resursu izlietojumu, lai novērtētu to lietderību, efektivitāti, ietekmi un ieguldījumu šā panta 10. punktā minētā tematiskā mērķa sasniegšanā.</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Komisija veic izvērtējumu līdz 2021. gada 31. decembrim, kā paredzēts 56. panta 4. punktā.</w:t>
            </w:r>
            <w:r>
              <w:t xml:space="preserve"> Atkāpjoties no 56. panta 3. punkta un 114. panta 2. punkta, dalībvalstis nodrošina, ka līdz 2024. gada 31. decembrim tiek veikts vismaz viens izvērtējums par papildu resursu izlietojumu, lai novērtētu to lietderību, efektivitāti, ietekmi un ieguldījumu šā panta 10. punktā minētā tematiskā mērķa sasniegšanā.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11. punkts – 2.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 xml:space="preserve">Atkāpjoties no 56. panta 3. punkta un 114. panta 2. punkta, dalībvalstis nodrošina, ka līdz </w:t>
            </w:r>
            <w:r>
              <w:rPr>
                <w:rFonts w:ascii="Times New Roman" w:eastAsia="Times New Roman" w:hAnsi="Times New Roman" w:cs="Times New Roman"/>
                <w:b/>
                <w:i/>
                <w:strike w:val="0"/>
                <w:color w:val="auto"/>
                <w:sz w:val="24"/>
                <w:highlight w:val="none"/>
                <w:u w:val="none" w:color="auto"/>
                <w:vertAlign w:val="baseline"/>
              </w:rPr>
              <w:t>2024</w:t>
            </w:r>
            <w:r>
              <w:t>. gada 31. decembrim tiek veikts vismaz viens izvērtējums par papildu resursu izlietojumu, lai novērtētu to lietderību, efektivitāti, ietekmi un ieguldījumu šā panta 10. punktā minētā tematiskā mērķa sasniegšanā.</w:t>
            </w:r>
          </w:p>
        </w:tc>
        <w:tc>
          <w:tcPr>
            <w:tcW w:w="4876" w:type="dxa"/>
            <w:vAlign w:val="top"/>
          </w:tcPr>
          <w:p>
            <w:pPr>
              <w:pStyle w:val="Normal6a"/>
            </w:pPr>
            <w:r>
              <w:t xml:space="preserve">Atkāpjoties no 56. panta 3. punkta un 114. panta 2. punkta, dalībvalstis nodrošina, ka līdz </w:t>
            </w:r>
            <w:r>
              <w:rPr>
                <w:rFonts w:ascii="Times New Roman" w:eastAsia="Times New Roman" w:hAnsi="Times New Roman" w:cs="Times New Roman"/>
                <w:b/>
                <w:i/>
                <w:strike w:val="0"/>
                <w:color w:val="auto"/>
                <w:sz w:val="24"/>
                <w:highlight w:val="none"/>
                <w:u w:val="none" w:color="auto"/>
                <w:vertAlign w:val="baseline"/>
              </w:rPr>
              <w:t>2023</w:t>
            </w:r>
            <w:r>
              <w:t>. gada 31. decembrim tiek veikts vismaz viens izvērtējums par papildu resursu izlietojumu, lai novērtētu to lietderību, efektivitāti, ietekmi</w:t>
            </w:r>
            <w:r>
              <w:rPr>
                <w:rFonts w:ascii="Times New Roman" w:eastAsia="Times New Roman" w:hAnsi="Times New Roman" w:cs="Times New Roman"/>
                <w:b/>
                <w:i/>
                <w:strike w:val="0"/>
                <w:color w:val="auto"/>
                <w:sz w:val="24"/>
                <w:highlight w:val="none"/>
                <w:u w:val="none" w:color="auto"/>
                <w:vertAlign w:val="baseline"/>
              </w:rPr>
              <w:t>, iekļautību, atbilstību dzimumu līdztiesības mērķiem</w:t>
            </w:r>
            <w:r>
              <w:t xml:space="preserve"> un ieguldījumu šā panta 10. punktā minētā tematiskā mērķa sasniegšanā.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11.a punkts (jauns)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11.a</w:t>
            </w:r>
            <w:r>
              <w:tab/>
            </w:r>
            <w:r>
              <w:rPr>
                <w:rFonts w:ascii="Times New Roman" w:eastAsia="Times New Roman" w:hAnsi="Times New Roman" w:cs="Times New Roman"/>
                <w:b/>
                <w:i/>
                <w:strike w:val="0"/>
                <w:color w:val="auto"/>
                <w:sz w:val="24"/>
                <w:highlight w:val="none"/>
                <w:u w:val="none" w:color="auto"/>
                <w:vertAlign w:val="baseline"/>
              </w:rPr>
              <w:t>Visās programmās, ko īsteno REACT-EU, proti, to sagatavošanas, īstenošanas, uzraudzīšanas un izvērtēšanas procesā nodrošina dzimumu līdztiesību.</w:t>
            </w:r>
            <w:r>
              <w:t xml:space="preserve"> </w:t>
            </w:r>
            <w:r>
              <w:rPr>
                <w:rFonts w:ascii="Times New Roman" w:eastAsia="Times New Roman" w:hAnsi="Times New Roman" w:cs="Times New Roman"/>
                <w:b/>
                <w:i/>
                <w:strike w:val="0"/>
                <w:color w:val="auto"/>
                <w:sz w:val="24"/>
                <w:highlight w:val="none"/>
                <w:u w:val="none" w:color="auto"/>
                <w:vertAlign w:val="baseline"/>
              </w:rPr>
              <w:t>Tās arī nodrošina vienlīdzīgas iespējas visiem, nepieļaujot nekāda veida diskrimināciju – ne pēc dzimuma, rases, ādas krāsas, etniskās vai sociālās izcelsmes, ģenētiskajām īpašībām, valodas, ticības vai pārliecības, politiskajiem vai jebkuriem citiem uzskatiem, piederības nacionālai minoritātei, īpašuma, izcelsmes, invaliditātes, vecuma, dzimumorientācijas –, tādējādi paplašinot sociālo iekļaušanu un samazinot nevienlīdzību.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12. punkts – ievaddaļa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w:t>
            </w:r>
            <w:r>
              <w:tab/>
            </w:r>
            <w:r>
              <w:t>Uz papildu resursiem neattiecas šādi noteikumi:</w:t>
            </w:r>
          </w:p>
        </w:tc>
        <w:tc>
          <w:tcPr>
            <w:tcW w:w="4876" w:type="dxa"/>
            <w:vAlign w:val="top"/>
          </w:tcPr>
          <w:p>
            <w:pPr>
              <w:pStyle w:val="Normal6a"/>
            </w:pPr>
            <w:r>
              <w:t>12.</w:t>
            </w:r>
            <w:r>
              <w:tab/>
            </w:r>
            <w:r>
              <w:rPr>
                <w:rFonts w:ascii="Times New Roman" w:eastAsia="Times New Roman" w:hAnsi="Times New Roman" w:cs="Times New Roman"/>
                <w:b/>
                <w:i/>
                <w:strike w:val="0"/>
                <w:color w:val="auto"/>
                <w:sz w:val="24"/>
                <w:highlight w:val="none"/>
                <w:u w:val="none" w:color="auto"/>
                <w:vertAlign w:val="baseline"/>
              </w:rPr>
              <w:t>Ja dalībvalsts ir iesaistījusies Eiropas Prokuratūras ciešākas sadarbības procedūrā,</w:t>
            </w:r>
            <w:r>
              <w:t xml:space="preserve"> uz papildu resursiem neattiecas šādi noteikumi: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12. punkts – a apakšpunkts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w:t>
            </w:r>
            <w:r>
              <w:tab/>
            </w:r>
            <w:r>
              <w:rPr>
                <w:rFonts w:ascii="Times New Roman" w:eastAsia="Times New Roman" w:hAnsi="Times New Roman" w:cs="Times New Roman"/>
                <w:b/>
                <w:i/>
                <w:strike w:val="0"/>
                <w:color w:val="auto"/>
                <w:sz w:val="24"/>
                <w:highlight w:val="none"/>
                <w:u w:val="none" w:color="auto"/>
                <w:vertAlign w:val="baseline"/>
              </w:rPr>
              <w:t>atkāpjoties no 18. panta, – prasības par tematisko koncentrāciju, kā arī ilgtspējīgai pilsētu attīstībai noteiktās robežvērtības, kas izklāstītas šajā regulā vai fondiem specifiskajos noteikumos;</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svītrots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Mario Furore</w:t>
      </w:r>
      <w:r>
        <w:t xml:space="preserve">, </w:t>
      </w:r>
      <w:r>
        <w:t>Tiziana Beghin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12. punkts – d apakšpunkts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w:t>
            </w:r>
            <w:r>
              <w:tab/>
            </w:r>
            <w:r>
              <w:rPr>
                <w:rFonts w:ascii="Times New Roman" w:eastAsia="Times New Roman" w:hAnsi="Times New Roman" w:cs="Times New Roman"/>
                <w:b/>
                <w:i/>
                <w:strike w:val="0"/>
                <w:color w:val="auto"/>
                <w:sz w:val="24"/>
                <w:highlight w:val="none"/>
                <w:u w:val="none" w:color="auto"/>
                <w:vertAlign w:val="baseline"/>
              </w:rPr>
              <w:t>65. panta 10. punkta otrajā daļā paredzētā atkāpe, ar ko nosaka, ka darbības, ar kurām stiprina spējas reaģēt uz krīzi Covid-19 uzliesmojuma kontekstā, ir attiecināmas no 2020. gada 1. februāra;</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svītrots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Italic6a"/>
            </w:pPr>
            <w:r>
              <w:t>(Šis grozījums attiecas uz visu izskatāmā tiesību akta tekstu.</w:t>
            </w:r>
            <w:r>
              <w:t xml:space="preserve"> </w:t>
            </w:r>
            <w:r>
              <w:t>Grozījuma pieņemšanas gadījumā attiecīgas tehniskās izmaiņas jāveic visā tekstā.)</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12.a punkts (jauns)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12.a</w:t>
            </w:r>
            <w:r>
              <w:tab/>
            </w:r>
            <w:r>
              <w:rPr>
                <w:rFonts w:ascii="Times New Roman" w:eastAsia="Times New Roman" w:hAnsi="Times New Roman" w:cs="Times New Roman"/>
                <w:b/>
                <w:i/>
                <w:strike w:val="0"/>
                <w:color w:val="auto"/>
                <w:sz w:val="24"/>
                <w:highlight w:val="none"/>
                <w:u w:val="none" w:color="auto"/>
                <w:vertAlign w:val="baseline"/>
              </w:rPr>
              <w:t>atkāpjoties no 23. panta, – makroekonomiskie nosacījumi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Eider Gardiazabal Rubial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13.a punkts (jauns)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13.a</w:t>
            </w:r>
            <w:r>
              <w:t xml:space="preserve"> </w:t>
            </w:r>
            <w:r>
              <w:rPr>
                <w:rFonts w:ascii="Times New Roman" w:eastAsia="Times New Roman" w:hAnsi="Times New Roman" w:cs="Times New Roman"/>
                <w:b/>
                <w:i/>
                <w:strike w:val="0"/>
                <w:color w:val="auto"/>
                <w:sz w:val="24"/>
                <w:highlight w:val="none"/>
                <w:u w:val="none" w:color="auto"/>
                <w:vertAlign w:val="baseline"/>
              </w:rPr>
              <w:t>Vēlākais līdz 2021. gada beigām Komisija nāk klajā ar pārskatu par 92.b panta 2. punktā minēto papildu resursu izmantošanu.</w:t>
            </w:r>
            <w:r>
              <w:t xml:space="preserve"> </w:t>
            </w:r>
            <w:r>
              <w:rPr>
                <w:rFonts w:ascii="Times New Roman" w:eastAsia="Times New Roman" w:hAnsi="Times New Roman" w:cs="Times New Roman"/>
                <w:b/>
                <w:i/>
                <w:strike w:val="0"/>
                <w:color w:val="auto"/>
                <w:sz w:val="24"/>
                <w:highlight w:val="none"/>
                <w:u w:val="none" w:color="auto"/>
                <w:vertAlign w:val="baseline"/>
              </w:rPr>
              <w:t>Ja nepieciešams, šim obligātajam pārskatam pievieno leģislatīvā akta priekšlikumu šīs regulas grozīšanai, lai nodrošinātu, ka šie papildu resursi tiek pilnībā izmantoti.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Vana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Verts/ALE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13.a punkts (jauns)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13.a</w:t>
            </w:r>
            <w:r>
              <w:tab/>
            </w:r>
            <w:r>
              <w:rPr>
                <w:rFonts w:ascii="Times New Roman" w:eastAsia="Times New Roman" w:hAnsi="Times New Roman" w:cs="Times New Roman"/>
                <w:b/>
                <w:i/>
                <w:strike w:val="0"/>
                <w:color w:val="auto"/>
                <w:sz w:val="24"/>
                <w:highlight w:val="none"/>
                <w:u w:val="none" w:color="auto"/>
                <w:vertAlign w:val="baseline"/>
              </w:rPr>
              <w:t>Papildu resursus nedara pieejamus ieguldījumiem, kas ir saistīti ar fosilā kurināmā izpēti, ražošanu, pārstrādi, izplatīšanu, uzglabāšanu, transportēšanu, pārvadi vai sadedzināšanu vai lidostu vai automaģistrāļu būvniecību.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Dimitrios Papadimoulis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GUE/NGL</w:t>
      </w:r>
      <w:r>
        <w:rPr>
          <w:rStyle w:val="HideTWBInt"/>
        </w:rPr>
        <w:t>}</w:t>
      </w:r>
      <w:r>
        <w:t>GUE/NGL grupas vārdā</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pants – 1. daļa – 2. punkts</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92.b pants – 13.a punkts (jauns)</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13.a</w:t>
            </w:r>
            <w:r>
              <w:tab/>
            </w:r>
            <w:r>
              <w:rPr>
                <w:rFonts w:ascii="Times New Roman" w:eastAsia="Times New Roman" w:hAnsi="Times New Roman" w:cs="Times New Roman"/>
                <w:b/>
                <w:i/>
                <w:strike w:val="0"/>
                <w:color w:val="auto"/>
                <w:sz w:val="24"/>
                <w:highlight w:val="none"/>
                <w:u w:val="none" w:color="auto"/>
                <w:vertAlign w:val="baseline"/>
              </w:rPr>
              <w:t>Komisija, dalībvalstis un vadošās iestādes nodrošina, ka tiek pilnībā ievēroti piemērojamie noteikumi par attiecīgo resursu pareizu pārvaldību un par to tērēšanas pārredzamību.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Grozījums Nr.</w:t>
      </w:r>
      <w:r>
        <w:tab/>
      </w:r>
      <w:r>
        <w:tab/>
      </w:r>
      <w:r>
        <w:rPr>
          <w:rStyle w:val="HideTWBExt"/>
        </w:rPr>
        <w:t>&lt;</w:t>
      </w:r>
      <w:r>
        <w:rPr>
          <w:rStyle w:val="HideTWBExt"/>
        </w:rPr>
        <w:t>NumAm</w:t>
      </w:r>
      <w:r>
        <w:rPr>
          <w:rStyle w:val="HideTWBExt"/>
        </w:rPr>
        <w:t>&gt;</w:t>
      </w:r>
      <w:r>
        <w:t>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Clotilde Armand</w:t>
      </w:r>
      <w:r>
        <w:t xml:space="preserve">, </w:t>
      </w:r>
      <w:r>
        <w:t>Martin Hojsík</w:t>
      </w:r>
      <w:r>
        <w:t xml:space="preserve">, </w:t>
      </w:r>
      <w:r>
        <w:t>Nicolae Ştefănuță</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Regulas priekšlikums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I pielikums – 1. daļa</w:t>
      </w:r>
      <w:r>
        <w:rPr>
          <w:rStyle w:val="HideTWBExt"/>
        </w:rPr>
        <w:t>&lt;/</w:t>
      </w:r>
      <w:r>
        <w:rPr>
          <w:rStyle w:val="HideTWBExt"/>
        </w:rPr>
        <w:t>Article</w:t>
      </w:r>
      <w:r>
        <w:rPr>
          <w:rStyle w:val="HideTWBExt"/>
        </w:rPr>
        <w:t>&gt;</w:t>
      </w:r>
    </w:p>
    <w:p>
      <w:r>
        <w:t>Regula (ES) Nr. 1303/2013</w:t>
      </w:r>
    </w:p>
    <w:p>
      <w:r>
        <w:rPr>
          <w:rStyle w:val="HideTWBExt"/>
        </w:rPr>
        <w:t>&lt;</w:t>
      </w:r>
      <w:r>
        <w:rPr>
          <w:rStyle w:val="HideTWBExt"/>
        </w:rPr>
        <w:t>Article2</w:t>
      </w:r>
      <w:r>
        <w:rPr>
          <w:rStyle w:val="HideTWBExt"/>
        </w:rPr>
        <w:t>&gt;</w:t>
      </w:r>
      <w:r>
        <w:t>VIIa pielikums – 2. punkts – 1. daļa</w:t>
      </w:r>
      <w:r>
        <w:rPr>
          <w:rStyle w:val="HideTWBExt"/>
        </w:rPr>
        <w:t>&lt;/</w:t>
      </w:r>
      <w:r>
        <w:rPr>
          <w:rStyle w:val="HideTWBExt"/>
        </w:rPr>
        <w:t>Article2</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Komisijas ierosinātais teksts</w:t>
            </w:r>
          </w:p>
        </w:tc>
        <w:tc>
          <w:tcPr>
            <w:tcW w:w="4876" w:type="dxa"/>
            <w:vAlign w:val="top"/>
          </w:tcPr>
          <w:p>
            <w:pPr>
              <w:pStyle w:val="AmColumnHeading"/>
            </w:pPr>
            <w:r>
              <w:t>Grozījums</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Piemērojot 1. punktā aprakstītos noteikumus, dalībvalstīm visā 2020.–</w:t>
            </w:r>
            <w:r>
              <w:rPr>
                <w:rFonts w:ascii="Times New Roman" w:eastAsia="Times New Roman" w:hAnsi="Times New Roman" w:cs="Times New Roman"/>
                <w:b/>
                <w:i/>
                <w:strike w:val="0"/>
                <w:color w:val="auto"/>
                <w:sz w:val="24"/>
                <w:highlight w:val="none"/>
                <w:u w:val="none" w:color="auto"/>
                <w:vertAlign w:val="baseline"/>
              </w:rPr>
              <w:t>2022</w:t>
            </w:r>
            <w:r>
              <w:t>. gada laikposmā piešķīrumi nav lielāki par:</w:t>
            </w:r>
          </w:p>
        </w:tc>
        <w:tc>
          <w:tcPr>
            <w:tcW w:w="4876" w:type="dxa"/>
            <w:vAlign w:val="top"/>
          </w:tcPr>
          <w:p>
            <w:pPr>
              <w:pStyle w:val="Normal6a"/>
            </w:pPr>
            <w:r>
              <w:t>2.</w:t>
            </w:r>
            <w:r>
              <w:tab/>
            </w:r>
            <w:r>
              <w:t>Piemērojot 1. punktā aprakstītos noteikumus, dalībvalstīm visā 2020.–</w:t>
            </w:r>
            <w:r>
              <w:rPr>
                <w:rFonts w:ascii="Times New Roman" w:eastAsia="Times New Roman" w:hAnsi="Times New Roman" w:cs="Times New Roman"/>
                <w:b/>
                <w:i/>
                <w:strike w:val="0"/>
                <w:color w:val="auto"/>
                <w:sz w:val="24"/>
                <w:highlight w:val="none"/>
                <w:u w:val="none" w:color="auto"/>
                <w:vertAlign w:val="baseline"/>
              </w:rPr>
              <w:t>2024</w:t>
            </w:r>
            <w:r>
              <w:t>. gada laikposmā piešķīrumi nav lielāki par: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655.679</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54</w:t>
    </w:r>
    <w:r>
      <w:fldChar w:fldCharType="end"/>
    </w:r>
    <w:r>
      <w:t>/</w:t>
    </w:r>
    <w:r>
      <w:fldChar w:fldCharType="begin"/>
    </w:r>
    <w:r>
      <w:instrText>NUMPAGES</w:instrText>
    </w:r>
    <w:r>
      <w:fldChar w:fldCharType="separate"/>
    </w:r>
    <w:r>
      <w:t>55</w:t>
    </w:r>
    <w:r>
      <w:fldChar w:fldCharType="end"/>
    </w:r>
    <w:r>
      <w:tab/>
    </w:r>
    <w:r>
      <w:rPr>
        <w:rStyle w:val="HideTWBExt"/>
      </w:rPr>
      <w:t>&lt;</w:t>
    </w:r>
    <w:r>
      <w:rPr>
        <w:rStyle w:val="HideTWBExt"/>
      </w:rPr>
      <w:t>PathFdR</w:t>
    </w:r>
    <w:r>
      <w:rPr>
        <w:rStyle w:val="HideTWBExt"/>
      </w:rPr>
      <w:t>&gt;</w:t>
    </w:r>
    <w:r>
      <w:t>AM\1210204LV.docx</w:t>
    </w:r>
    <w:r>
      <w:rPr>
        <w:rStyle w:val="HideTWBExt"/>
      </w:rPr>
      <w:t>&lt;/</w:t>
    </w:r>
    <w:r>
      <w:rPr>
        <w:rStyle w:val="HideTWBExt"/>
      </w:rPr>
      <w:t>PathFdR</w:t>
    </w:r>
    <w:r>
      <w:rPr>
        <w:rStyle w:val="HideTWBExt"/>
      </w:rPr>
      <w:t>&gt;</w:t>
    </w:r>
  </w:p>
  <w:p>
    <w:pPr>
      <w:pStyle w:val="EPFooter2"/>
    </w:pPr>
    <w: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AM\1210204LV.docx</w:t>
    </w:r>
    <w:r>
      <w:rPr>
        <w:rStyle w:val="HideTWBExt"/>
      </w:rPr>
      <w:t>&lt;/</w:t>
    </w:r>
    <w:r>
      <w:rPr>
        <w:rStyle w:val="HideTWBExt"/>
      </w:rPr>
      <w:t>PathFdR</w:t>
    </w:r>
    <w:r>
      <w:rPr>
        <w:rStyle w:val="HideTWBExt"/>
      </w:rPr>
      <w:t>&gt;</w:t>
    </w:r>
    <w:r>
      <w:tab/>
    </w:r>
    <w:r>
      <w:fldChar w:fldCharType="begin"/>
    </w:r>
    <w:r>
      <w:instrText>PAGE</w:instrText>
    </w:r>
    <w:r>
      <w:fldChar w:fldCharType="separate"/>
    </w:r>
    <w:r>
      <w:t>55</w:t>
    </w:r>
    <w:r>
      <w:fldChar w:fldCharType="end"/>
    </w:r>
    <w:r>
      <w:t>/</w:t>
    </w:r>
    <w:r>
      <w:fldChar w:fldCharType="begin"/>
    </w:r>
    <w:r>
      <w:instrText>NUMPAGES</w:instrText>
    </w:r>
    <w:r>
      <w:fldChar w:fldCharType="separate"/>
    </w:r>
    <w:r>
      <w:t>55</w:t>
    </w:r>
    <w:r>
      <w:fldChar w:fldCharType="end"/>
    </w:r>
    <w:r>
      <w:tab/>
    </w:r>
    <w:r>
      <w:t>PE</w:t>
    </w:r>
    <w:r>
      <w:rPr>
        <w:rStyle w:val="HideTWBExt"/>
      </w:rPr>
      <w:t>&lt;</w:t>
    </w:r>
    <w:r>
      <w:rPr>
        <w:rStyle w:val="HideTWBExt"/>
      </w:rPr>
      <w:t>NoPE</w:t>
    </w:r>
    <w:r>
      <w:rPr>
        <w:rStyle w:val="HideTWBExt"/>
      </w:rPr>
      <w:t>&gt;</w:t>
    </w:r>
    <w:r>
      <w:t>655.679</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AM\1210204LV.docx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655.679</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LV</w:t>
    </w:r>
    <w:r>
      <w:tab/>
    </w:r>
    <w:r>
      <w:rPr>
        <w:rStyle w:val="EPFooter2Middle"/>
      </w:rPr>
      <w:t>Vienoti daudzveidībā</w:t>
    </w:r>
    <w:r>
      <w:tab/>
    </w:r>
    <w:r>
      <w:t>LV</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55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1210204</vt:lpwstr>
  </property>
  <property fmtid="{D5CDD505-2E9C-101B-9397-08002B2CF9AE}" pid="4" name="&lt;Model&gt;">
    <vt:lpwstr>AM_Com_LegOpinion</vt:lpwstr>
  </property>
  <property fmtid="{D5CDD505-2E9C-101B-9397-08002B2CF9AE}" pid="5" name="&lt;Type&gt;">
    <vt:lpwstr>AM</vt:lpwstr>
  </property>
  <property fmtid="{D5CDD505-2E9C-101B-9397-08002B2CF9AE}" pid="6" name="DMXMLUID">
    <vt:lpwstr>20200803-181713-003941-945557</vt:lpwstr>
  </property>
  <property fmtid="{D5CDD505-2E9C-101B-9397-08002B2CF9AE}" pid="7" name="FooterPath">
    <vt:lpwstr>AM\1210204LV.docx</vt:lpwstr>
  </property>
  <property fmtid="{D5CDD505-2E9C-101B-9397-08002B2CF9AE}" pid="8" name="PE Number">
    <vt:lpwstr>655.679</vt:lpwstr>
  </property>
  <property fmtid="{D5CDD505-2E9C-101B-9397-08002B2CF9AE}" pid="9" name="UID">
    <vt:lpwstr>eu.europa.europarl-DIN1-2020-0000053932_02.00-lv-01.00_text-xml</vt:lpwstr>
  </property>
</Properties>
</file>