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17789C" w:rsidRPr="00A631DE" w:rsidTr="00C85D0F">
        <w:trPr>
          <w:trHeight w:hRule="exact" w:val="1418"/>
        </w:trPr>
        <w:tc>
          <w:tcPr>
            <w:tcW w:w="6804" w:type="dxa"/>
            <w:shd w:val="clear" w:color="auto" w:fill="auto"/>
            <w:vAlign w:val="center"/>
          </w:tcPr>
          <w:p w:rsidR="0017789C" w:rsidRPr="00A631DE" w:rsidRDefault="0074470F" w:rsidP="00C85D0F">
            <w:pPr>
              <w:pStyle w:val="EPName"/>
            </w:pPr>
            <w:r w:rsidRPr="00A631DE">
              <w:t>692.872</w:t>
            </w:r>
            <w:r w:rsidR="000B3A50" w:rsidRPr="00A631DE">
              <w:t>European Parliament</w:t>
            </w:r>
          </w:p>
          <w:p w:rsidR="0017789C" w:rsidRPr="00A631DE" w:rsidRDefault="0074470F" w:rsidP="0074470F">
            <w:pPr>
              <w:pStyle w:val="EPTerm"/>
            </w:pPr>
            <w:r w:rsidRPr="00A631DE">
              <w:t>2019-2024</w:t>
            </w:r>
          </w:p>
        </w:tc>
        <w:tc>
          <w:tcPr>
            <w:tcW w:w="2268" w:type="dxa"/>
            <w:shd w:val="clear" w:color="auto" w:fill="auto"/>
          </w:tcPr>
          <w:p w:rsidR="0017789C" w:rsidRPr="00A631DE" w:rsidRDefault="0017789C" w:rsidP="00C85D0F">
            <w:pPr>
              <w:pStyle w:val="EPLogo"/>
            </w:pPr>
            <w:r w:rsidRPr="00A631DE">
              <w:drawing>
                <wp:inline distT="0" distB="0" distL="0" distR="0" wp14:anchorId="4B8BE00E" wp14:editId="501F4E6E">
                  <wp:extent cx="1158875" cy="652145"/>
                  <wp:effectExtent l="0" t="0" r="0" b="0"/>
                  <wp:docPr id="1" name="Picture 1"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652145"/>
                          </a:xfrm>
                          <a:prstGeom prst="rect">
                            <a:avLst/>
                          </a:prstGeom>
                          <a:noFill/>
                          <a:ln>
                            <a:noFill/>
                          </a:ln>
                        </pic:spPr>
                      </pic:pic>
                    </a:graphicData>
                  </a:graphic>
                </wp:inline>
              </w:drawing>
            </w:r>
          </w:p>
        </w:tc>
      </w:tr>
    </w:tbl>
    <w:p w:rsidR="00C815D0" w:rsidRPr="00A631DE" w:rsidRDefault="00C815D0" w:rsidP="00C815D0">
      <w:pPr>
        <w:pStyle w:val="LineTop"/>
      </w:pPr>
    </w:p>
    <w:p w:rsidR="00C815D0" w:rsidRPr="00A631DE" w:rsidRDefault="00C815D0" w:rsidP="00C815D0">
      <w:pPr>
        <w:pStyle w:val="EPBody"/>
      </w:pPr>
      <w:r w:rsidRPr="00A631DE">
        <w:rPr>
          <w:rStyle w:val="HideTWBExt"/>
          <w:noProof w:val="0"/>
        </w:rPr>
        <w:t>&lt;</w:t>
      </w:r>
      <w:r w:rsidRPr="00A631DE">
        <w:rPr>
          <w:rStyle w:val="HideTWBExt"/>
          <w:i w:val="0"/>
          <w:noProof w:val="0"/>
        </w:rPr>
        <w:t>Commission&gt;</w:t>
      </w:r>
      <w:r w:rsidR="0074470F" w:rsidRPr="00A631DE">
        <w:rPr>
          <w:rStyle w:val="HideTWBInt"/>
        </w:rPr>
        <w:t>{CONT}</w:t>
      </w:r>
      <w:r w:rsidR="0074470F" w:rsidRPr="00A631DE">
        <w:t>Committee on Budgetary Control</w:t>
      </w:r>
      <w:r w:rsidRPr="00A631DE">
        <w:rPr>
          <w:rStyle w:val="HideTWBExt"/>
          <w:noProof w:val="0"/>
        </w:rPr>
        <w:t>&lt;/</w:t>
      </w:r>
      <w:r w:rsidRPr="00A631DE">
        <w:rPr>
          <w:rStyle w:val="HideTWBExt"/>
          <w:i w:val="0"/>
          <w:noProof w:val="0"/>
        </w:rPr>
        <w:t>Commission</w:t>
      </w:r>
      <w:r w:rsidRPr="00A631DE">
        <w:rPr>
          <w:rStyle w:val="HideTWBExt"/>
          <w:noProof w:val="0"/>
        </w:rPr>
        <w:t>&gt;</w:t>
      </w:r>
    </w:p>
    <w:p w:rsidR="00C815D0" w:rsidRPr="00A631DE" w:rsidRDefault="00C815D0" w:rsidP="00C815D0">
      <w:pPr>
        <w:pStyle w:val="LineBottom"/>
      </w:pPr>
    </w:p>
    <w:p w:rsidR="00E95C2B" w:rsidRPr="00A631DE" w:rsidRDefault="00E95C2B">
      <w:pPr>
        <w:pStyle w:val="CoverDateNoRef"/>
      </w:pPr>
      <w:r w:rsidRPr="00A631DE">
        <w:rPr>
          <w:rStyle w:val="HideTWBExt"/>
          <w:noProof w:val="0"/>
        </w:rPr>
        <w:t>&lt;Date&gt;</w:t>
      </w:r>
      <w:r w:rsidR="00A631DE" w:rsidRPr="00A631DE">
        <w:rPr>
          <w:rStyle w:val="HideTWBInt"/>
        </w:rPr>
        <w:t>{19</w:t>
      </w:r>
      <w:r w:rsidR="0074470F" w:rsidRPr="00A631DE">
        <w:rPr>
          <w:rStyle w:val="HideTWBInt"/>
        </w:rPr>
        <w:t>/05/2021}</w:t>
      </w:r>
      <w:r w:rsidR="00A631DE" w:rsidRPr="00A631DE">
        <w:t>19</w:t>
      </w:r>
      <w:bookmarkStart w:id="0" w:name="_GoBack"/>
      <w:bookmarkEnd w:id="0"/>
      <w:r w:rsidR="0074470F" w:rsidRPr="00A631DE">
        <w:t>.5.2021</w:t>
      </w:r>
      <w:r w:rsidRPr="00A631DE">
        <w:rPr>
          <w:rStyle w:val="HideTWBExt"/>
          <w:noProof w:val="0"/>
        </w:rPr>
        <w:t>&lt;/Date&gt;</w:t>
      </w:r>
    </w:p>
    <w:p w:rsidR="00E95C2B" w:rsidRPr="00A631DE" w:rsidRDefault="00E95C2B">
      <w:pPr>
        <w:pStyle w:val="CoverDocType24a"/>
      </w:pPr>
      <w:r w:rsidRPr="00A631DE">
        <w:rPr>
          <w:rStyle w:val="HideTWBExt"/>
          <w:b w:val="0"/>
          <w:noProof w:val="0"/>
        </w:rPr>
        <w:t>&lt;TitreType&gt;</w:t>
      </w:r>
      <w:r w:rsidR="000B3A50" w:rsidRPr="00A631DE">
        <w:t>WORKING DOCUMENT</w:t>
      </w:r>
      <w:r w:rsidRPr="00A631DE">
        <w:rPr>
          <w:rStyle w:val="HideTWBExt"/>
          <w:b w:val="0"/>
          <w:noProof w:val="0"/>
        </w:rPr>
        <w:t>&lt;/TitreType&gt;</w:t>
      </w:r>
    </w:p>
    <w:p w:rsidR="00E95C2B" w:rsidRPr="00A631DE" w:rsidRDefault="00E95C2B">
      <w:pPr>
        <w:pStyle w:val="CoverNormal24a"/>
      </w:pPr>
      <w:r w:rsidRPr="00A631DE">
        <w:rPr>
          <w:rStyle w:val="HideTWBExt"/>
          <w:noProof w:val="0"/>
        </w:rPr>
        <w:t>&lt;Titre&gt;</w:t>
      </w:r>
      <w:r w:rsidR="000B3A50" w:rsidRPr="00A631DE">
        <w:t xml:space="preserve">on </w:t>
      </w:r>
      <w:r w:rsidR="0074470F" w:rsidRPr="00A631DE">
        <w:rPr>
          <w:b/>
          <w:bCs/>
        </w:rPr>
        <w:t>ECA Special Report 04/2021: Customs controls: insufficient harmonisation hampers EU financial interests</w:t>
      </w:r>
      <w:r w:rsidRPr="00A631DE">
        <w:rPr>
          <w:rStyle w:val="HideTWBExt"/>
          <w:noProof w:val="0"/>
        </w:rPr>
        <w:t>&lt;/Titre&gt;</w:t>
      </w:r>
    </w:p>
    <w:p w:rsidR="00E95C2B" w:rsidRPr="00A631DE" w:rsidRDefault="00E95C2B">
      <w:pPr>
        <w:pStyle w:val="CoverNormal24a"/>
      </w:pPr>
      <w:r w:rsidRPr="00A631DE">
        <w:rPr>
          <w:rStyle w:val="HideTWBExt"/>
          <w:noProof w:val="0"/>
        </w:rPr>
        <w:t>&lt;Commission&gt;</w:t>
      </w:r>
      <w:r w:rsidR="0074470F" w:rsidRPr="00A631DE">
        <w:rPr>
          <w:rStyle w:val="HideTWBInt"/>
        </w:rPr>
        <w:t>{CONT}</w:t>
      </w:r>
      <w:r w:rsidR="0074470F" w:rsidRPr="00A631DE">
        <w:t>Committee on Budgetary Control</w:t>
      </w:r>
      <w:r w:rsidRPr="00A631DE">
        <w:rPr>
          <w:rStyle w:val="HideTWBExt"/>
          <w:noProof w:val="0"/>
        </w:rPr>
        <w:t>&lt;/Commission&gt;</w:t>
      </w:r>
    </w:p>
    <w:p w:rsidR="00E95C2B" w:rsidRPr="00A631DE" w:rsidRDefault="0074470F">
      <w:pPr>
        <w:pStyle w:val="CoverNormal24a"/>
        <w:rPr>
          <w:lang w:val="fr-FR"/>
        </w:rPr>
      </w:pPr>
      <w:r w:rsidRPr="00A631DE">
        <w:rPr>
          <w:lang w:val="fr-FR"/>
        </w:rPr>
        <w:t>Rapporteur:</w:t>
      </w:r>
      <w:r w:rsidR="00E95C2B" w:rsidRPr="00A631DE">
        <w:rPr>
          <w:lang w:val="fr-FR"/>
        </w:rPr>
        <w:t xml:space="preserve"> </w:t>
      </w:r>
      <w:r w:rsidR="00E95C2B" w:rsidRPr="00A631DE">
        <w:rPr>
          <w:rStyle w:val="HideTWBExt"/>
          <w:noProof w:val="0"/>
          <w:lang w:val="fr-FR"/>
        </w:rPr>
        <w:t>&lt;Depute&gt;</w:t>
      </w:r>
      <w:r w:rsidRPr="00A631DE">
        <w:rPr>
          <w:lang w:val="fr-FR"/>
        </w:rPr>
        <w:t>Olivier Chastel</w:t>
      </w:r>
      <w:r w:rsidR="00E95C2B" w:rsidRPr="00A631DE">
        <w:rPr>
          <w:rStyle w:val="HideTWBExt"/>
          <w:noProof w:val="0"/>
          <w:lang w:val="fr-FR"/>
        </w:rPr>
        <w:t>&lt;/Depute&gt;</w:t>
      </w:r>
    </w:p>
    <w:p w:rsidR="0074470F" w:rsidRPr="00A631DE" w:rsidRDefault="00E95C2B" w:rsidP="0074470F">
      <w:pPr>
        <w:jc w:val="both"/>
        <w:rPr>
          <w:b/>
          <w:szCs w:val="24"/>
          <w:u w:val="single"/>
        </w:rPr>
      </w:pPr>
      <w:r w:rsidRPr="00A631DE">
        <w:rPr>
          <w:lang w:val="fr-FR"/>
        </w:rPr>
        <w:br w:type="page"/>
      </w:r>
      <w:r w:rsidR="0074470F" w:rsidRPr="00A631DE">
        <w:rPr>
          <w:b/>
          <w:szCs w:val="24"/>
          <w:u w:val="single"/>
        </w:rPr>
        <w:lastRenderedPageBreak/>
        <w:t>Introduction</w:t>
      </w:r>
    </w:p>
    <w:p w:rsidR="0074470F" w:rsidRPr="00A631DE" w:rsidRDefault="0074470F" w:rsidP="0074470F">
      <w:pPr>
        <w:jc w:val="both"/>
        <w:rPr>
          <w:szCs w:val="24"/>
        </w:rPr>
      </w:pPr>
      <w:r w:rsidRPr="00A631DE">
        <w:rPr>
          <w:szCs w:val="24"/>
        </w:rPr>
        <w:t>The EU Customs Union exists since 1968. It covers all trade in goods and it involves both the free movement of goods within the customs territory and a common customs tariff and a common commercial policy in relations with third countries. As a result, all EU Member States apply the same customs duties to imports from outside the EU and the EU acts through its common commercial policy as one trade bloc in drawing up international trade deals.</w:t>
      </w:r>
    </w:p>
    <w:p w:rsidR="0074470F" w:rsidRPr="00A631DE" w:rsidRDefault="0074470F" w:rsidP="0074470F">
      <w:pPr>
        <w:jc w:val="both"/>
        <w:rPr>
          <w:szCs w:val="24"/>
        </w:rPr>
      </w:pPr>
      <w:r w:rsidRPr="00A631DE">
        <w:rPr>
          <w:szCs w:val="24"/>
        </w:rPr>
        <w:t>The customs union is an area of exclusive EU competence, meaning that the EU alone is able to legislate and adopt binding acts. However, the individual national customs authorities of Member States are responsible for the actual implementation of the Customs Union. Many commentators have criticised a perceived non-uniform application of customs rules by Member States, pointing out that this leads both to problems of unfair competition between Member States and to fraud.</w:t>
      </w:r>
      <w:r w:rsidRPr="00A631DE">
        <w:rPr>
          <w:rStyle w:val="FootnoteReference"/>
          <w:szCs w:val="24"/>
        </w:rPr>
        <w:footnoteReference w:id="1"/>
      </w:r>
    </w:p>
    <w:p w:rsidR="0074470F" w:rsidRPr="00A631DE" w:rsidRDefault="0074470F" w:rsidP="0074470F">
      <w:pPr>
        <w:jc w:val="both"/>
        <w:rPr>
          <w:b/>
          <w:szCs w:val="24"/>
        </w:rPr>
      </w:pPr>
    </w:p>
    <w:p w:rsidR="0074470F" w:rsidRPr="00A631DE" w:rsidRDefault="0074470F" w:rsidP="0074470F">
      <w:pPr>
        <w:jc w:val="both"/>
        <w:rPr>
          <w:b/>
          <w:szCs w:val="24"/>
        </w:rPr>
      </w:pPr>
      <w:r w:rsidRPr="00A631DE">
        <w:rPr>
          <w:b/>
          <w:szCs w:val="24"/>
        </w:rPr>
        <w:t>The role of Customs Controls</w:t>
      </w:r>
      <w:r w:rsidRPr="00A631DE">
        <w:rPr>
          <w:rStyle w:val="FootnoteReference"/>
          <w:b/>
          <w:szCs w:val="24"/>
        </w:rPr>
        <w:footnoteReference w:id="2"/>
      </w:r>
      <w:r w:rsidRPr="00A631DE">
        <w:rPr>
          <w:b/>
          <w:szCs w:val="24"/>
        </w:rPr>
        <w:t xml:space="preserve"> </w:t>
      </w:r>
    </w:p>
    <w:p w:rsidR="0074470F" w:rsidRPr="00A631DE" w:rsidRDefault="0074470F" w:rsidP="0074470F">
      <w:pPr>
        <w:shd w:val="clear" w:color="auto" w:fill="FFFFFF"/>
        <w:spacing w:after="150"/>
        <w:jc w:val="both"/>
        <w:rPr>
          <w:color w:val="333333"/>
          <w:szCs w:val="24"/>
        </w:rPr>
      </w:pPr>
      <w:r w:rsidRPr="00A631DE">
        <w:rPr>
          <w:color w:val="333333"/>
          <w:szCs w:val="24"/>
        </w:rPr>
        <w:t>Customs are involved in the implementation and enforcement of EU legislation on import and export from and to non-EU countries.</w:t>
      </w:r>
    </w:p>
    <w:p w:rsidR="0074470F" w:rsidRPr="00A631DE" w:rsidRDefault="0074470F" w:rsidP="0074470F">
      <w:pPr>
        <w:shd w:val="clear" w:color="auto" w:fill="FFFFFF"/>
        <w:spacing w:after="150"/>
        <w:jc w:val="both"/>
        <w:rPr>
          <w:color w:val="333333"/>
          <w:szCs w:val="24"/>
        </w:rPr>
      </w:pPr>
      <w:r w:rsidRPr="00A631DE">
        <w:rPr>
          <w:color w:val="333333"/>
          <w:szCs w:val="24"/>
        </w:rPr>
        <w:t>Previously, customs controls focussed more on the fiscal aspects of customs work, but in recent years, there has been an increasing emphasis on the importance of customs controls for purposes such as security, safety and protection of the environment.</w:t>
      </w:r>
    </w:p>
    <w:p w:rsidR="0074470F" w:rsidRPr="00A631DE" w:rsidRDefault="0074470F" w:rsidP="0074470F">
      <w:pPr>
        <w:shd w:val="clear" w:color="auto" w:fill="FFFFFF"/>
        <w:spacing w:after="150"/>
        <w:rPr>
          <w:color w:val="333333"/>
          <w:szCs w:val="24"/>
        </w:rPr>
      </w:pPr>
      <w:r w:rsidRPr="00A631DE">
        <w:rPr>
          <w:color w:val="333333"/>
          <w:szCs w:val="24"/>
        </w:rPr>
        <w:t>This includes controls on:</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The duties to be paid, and the correct description of the goods, their origin and value</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Security and safety measures  (smuggling, drugs, cigarettes, weapons, counterfeited products, fight against terrorism)</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Compliance with environmental legislation</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Compliance with Common Agriculture Policy (CAP) rules</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Health requirements, veterinary, phytosanitary and quality regulations.</w:t>
      </w:r>
    </w:p>
    <w:p w:rsidR="0074470F" w:rsidRPr="00A631DE" w:rsidRDefault="0074470F" w:rsidP="0074470F">
      <w:pPr>
        <w:shd w:val="clear" w:color="auto" w:fill="FFFFFF"/>
        <w:spacing w:after="150"/>
        <w:rPr>
          <w:color w:val="333333"/>
          <w:szCs w:val="24"/>
        </w:rPr>
      </w:pPr>
      <w:r w:rsidRPr="00A631DE">
        <w:rPr>
          <w:color w:val="333333"/>
          <w:szCs w:val="24"/>
        </w:rPr>
        <w:t>In addition, customs are also often supporting the work of other services such as police and immigration services.</w:t>
      </w:r>
    </w:p>
    <w:p w:rsidR="0074470F" w:rsidRPr="00A631DE" w:rsidRDefault="0074470F" w:rsidP="0074470F">
      <w:pPr>
        <w:shd w:val="clear" w:color="auto" w:fill="FFFFFF"/>
        <w:spacing w:after="150"/>
        <w:rPr>
          <w:b/>
          <w:color w:val="333333"/>
          <w:szCs w:val="24"/>
        </w:rPr>
      </w:pPr>
      <w:r w:rsidRPr="00A631DE">
        <w:rPr>
          <w:b/>
          <w:color w:val="333333"/>
          <w:szCs w:val="24"/>
        </w:rPr>
        <w:t>Operating in a fast-moving environment</w:t>
      </w:r>
    </w:p>
    <w:p w:rsidR="0074470F" w:rsidRPr="00A631DE" w:rsidRDefault="0074470F" w:rsidP="0074470F">
      <w:pPr>
        <w:shd w:val="clear" w:color="auto" w:fill="FFFFFF"/>
        <w:spacing w:after="150"/>
        <w:rPr>
          <w:color w:val="333333"/>
          <w:szCs w:val="24"/>
        </w:rPr>
      </w:pPr>
      <w:r w:rsidRPr="00A631DE">
        <w:rPr>
          <w:color w:val="333333"/>
          <w:szCs w:val="24"/>
        </w:rPr>
        <w:t>Customs controls must be quick, effective and based on modern risk management techniques in order not to disrupt trade flows in a fast-moving economy.</w:t>
      </w:r>
    </w:p>
    <w:p w:rsidR="0074470F" w:rsidRPr="00A631DE" w:rsidRDefault="0074470F" w:rsidP="0074470F">
      <w:pPr>
        <w:shd w:val="clear" w:color="auto" w:fill="FFFFFF"/>
        <w:spacing w:after="150"/>
        <w:rPr>
          <w:color w:val="333333"/>
          <w:szCs w:val="24"/>
        </w:rPr>
      </w:pPr>
      <w:r w:rsidRPr="00A631DE">
        <w:rPr>
          <w:color w:val="333333"/>
          <w:szCs w:val="24"/>
        </w:rPr>
        <w:t>Effective controls, avoiding unnecessary delays or costs for economic operators is achieved through…</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close co-operation with business, particularly when it comes to exchange of information.</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the use of modern IT techniques and tools</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highly specialised examination equipment</w:t>
      </w:r>
    </w:p>
    <w:p w:rsidR="0074470F" w:rsidRPr="00A631DE" w:rsidRDefault="00F62195" w:rsidP="00F62195">
      <w:pPr>
        <w:widowControl/>
        <w:shd w:val="clear" w:color="auto" w:fill="FFFFFF"/>
        <w:tabs>
          <w:tab w:val="left" w:pos="720"/>
        </w:tabs>
        <w:spacing w:before="100" w:beforeAutospacing="1" w:after="100" w:afterAutospacing="1"/>
        <w:ind w:left="720" w:hanging="360"/>
        <w:rPr>
          <w:color w:val="333333"/>
          <w:szCs w:val="24"/>
        </w:rPr>
      </w:pPr>
      <w:r w:rsidRPr="00A631DE">
        <w:rPr>
          <w:rFonts w:ascii="Symbol" w:hAnsi="Symbol"/>
          <w:color w:val="333333"/>
          <w:sz w:val="20"/>
          <w:szCs w:val="24"/>
        </w:rPr>
        <w:t></w:t>
      </w:r>
      <w:r w:rsidRPr="00A631DE">
        <w:rPr>
          <w:rFonts w:ascii="Symbol" w:hAnsi="Symbol"/>
          <w:color w:val="333333"/>
          <w:sz w:val="20"/>
          <w:szCs w:val="24"/>
        </w:rPr>
        <w:tab/>
      </w:r>
      <w:r w:rsidR="0074470F" w:rsidRPr="00A631DE">
        <w:rPr>
          <w:color w:val="333333"/>
          <w:szCs w:val="24"/>
        </w:rPr>
        <w:t>efficient risk management methods</w:t>
      </w:r>
    </w:p>
    <w:p w:rsidR="00464BF7" w:rsidRPr="00A631DE" w:rsidRDefault="00464BF7" w:rsidP="0074470F">
      <w:pPr>
        <w:jc w:val="both"/>
        <w:rPr>
          <w:b/>
          <w:szCs w:val="24"/>
        </w:rPr>
      </w:pPr>
    </w:p>
    <w:p w:rsidR="0074470F" w:rsidRPr="00A631DE" w:rsidRDefault="0074470F" w:rsidP="0074470F">
      <w:pPr>
        <w:jc w:val="both"/>
        <w:rPr>
          <w:rFonts w:eastAsiaTheme="minorHAnsi"/>
          <w:b/>
          <w:szCs w:val="24"/>
          <w:lang w:eastAsia="en-US"/>
        </w:rPr>
      </w:pPr>
      <w:r w:rsidRPr="00A631DE">
        <w:rPr>
          <w:b/>
          <w:szCs w:val="24"/>
        </w:rPr>
        <w:t>ECA Special Report n° 04 / 2021</w:t>
      </w:r>
    </w:p>
    <w:p w:rsidR="00464BF7" w:rsidRPr="00A631DE" w:rsidRDefault="00464BF7" w:rsidP="0074470F">
      <w:pPr>
        <w:jc w:val="both"/>
        <w:rPr>
          <w:b/>
          <w:szCs w:val="24"/>
          <w:u w:val="single"/>
        </w:rPr>
      </w:pPr>
    </w:p>
    <w:p w:rsidR="0074470F" w:rsidRPr="00A631DE" w:rsidRDefault="0074470F" w:rsidP="0074470F">
      <w:pPr>
        <w:jc w:val="both"/>
        <w:rPr>
          <w:rFonts w:asciiTheme="minorHAnsi" w:hAnsiTheme="minorHAnsi" w:cstheme="minorBidi"/>
          <w:b/>
          <w:szCs w:val="24"/>
          <w:u w:val="single"/>
        </w:rPr>
      </w:pPr>
      <w:r w:rsidRPr="00A631DE">
        <w:rPr>
          <w:b/>
          <w:szCs w:val="24"/>
          <w:u w:val="single"/>
        </w:rPr>
        <w:t xml:space="preserve">Summary of background content </w:t>
      </w:r>
    </w:p>
    <w:p w:rsidR="0074470F" w:rsidRPr="00A631DE" w:rsidRDefault="0074470F" w:rsidP="0074470F">
      <w:pPr>
        <w:autoSpaceDE w:val="0"/>
        <w:autoSpaceDN w:val="0"/>
        <w:adjustRightInd w:val="0"/>
        <w:jc w:val="both"/>
        <w:rPr>
          <w:b/>
          <w:color w:val="000000"/>
          <w:szCs w:val="24"/>
        </w:rPr>
      </w:pPr>
      <w:r w:rsidRPr="00A631DE">
        <w:rPr>
          <w:color w:val="000000"/>
          <w:szCs w:val="24"/>
        </w:rPr>
        <w:t xml:space="preserve">The Union Customs Code (UCC) is the EU’s main customs legislation and requires the Commission to ensure that the Member States apply customs controls uniformly. In light of the UCC, the Commission adopted a new regulatory framework, consisting of the Financial Risks Criteria and Standards Implementing decision (FRC decision) and a corresponding guideline. </w:t>
      </w:r>
      <w:r w:rsidRPr="00A631DE">
        <w:rPr>
          <w:b/>
          <w:color w:val="000000"/>
          <w:szCs w:val="24"/>
        </w:rPr>
        <w:t>The aim of the framework is to ensure that Member States establish the common financial risk criteria and standards required by the UCC.</w:t>
      </w:r>
    </w:p>
    <w:p w:rsidR="0074470F" w:rsidRPr="00A631DE" w:rsidRDefault="0074470F" w:rsidP="0074470F">
      <w:pPr>
        <w:jc w:val="both"/>
        <w:rPr>
          <w:color w:val="000000"/>
          <w:szCs w:val="24"/>
          <w:u w:val="single"/>
        </w:rPr>
      </w:pPr>
    </w:p>
    <w:p w:rsidR="0074470F" w:rsidRPr="00A631DE" w:rsidRDefault="0074470F" w:rsidP="0074470F">
      <w:pPr>
        <w:jc w:val="both"/>
        <w:rPr>
          <w:b/>
          <w:color w:val="000000"/>
          <w:szCs w:val="24"/>
          <w:u w:val="single"/>
        </w:rPr>
      </w:pPr>
      <w:r w:rsidRPr="00A631DE">
        <w:rPr>
          <w:b/>
          <w:color w:val="000000"/>
          <w:szCs w:val="24"/>
          <w:u w:val="single"/>
        </w:rPr>
        <w:t>Audit scope and approach</w:t>
      </w:r>
    </w:p>
    <w:p w:rsidR="0074470F" w:rsidRPr="00A631DE" w:rsidRDefault="0074470F" w:rsidP="0074470F">
      <w:pPr>
        <w:jc w:val="both"/>
        <w:rPr>
          <w:b/>
          <w:color w:val="000000"/>
          <w:szCs w:val="24"/>
          <w:u w:val="single"/>
        </w:rPr>
      </w:pPr>
    </w:p>
    <w:p w:rsidR="0074470F" w:rsidRPr="00A631DE" w:rsidRDefault="0074470F" w:rsidP="0074470F">
      <w:pPr>
        <w:autoSpaceDE w:val="0"/>
        <w:autoSpaceDN w:val="0"/>
        <w:adjustRightInd w:val="0"/>
        <w:jc w:val="both"/>
        <w:rPr>
          <w:color w:val="000000"/>
          <w:szCs w:val="24"/>
        </w:rPr>
      </w:pPr>
      <w:r w:rsidRPr="00A631DE">
        <w:rPr>
          <w:color w:val="000000"/>
          <w:szCs w:val="24"/>
        </w:rPr>
        <w:t>The audit was carried out in light of the new regulatory framework. It covered the Commission’s establishment of common financial risk criteria and standards, as well as the way Member States implemented them.</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autoSpaceDE w:val="0"/>
        <w:autoSpaceDN w:val="0"/>
        <w:adjustRightInd w:val="0"/>
        <w:jc w:val="both"/>
        <w:rPr>
          <w:color w:val="000000"/>
          <w:szCs w:val="24"/>
        </w:rPr>
      </w:pPr>
      <w:r w:rsidRPr="00A631DE">
        <w:rPr>
          <w:color w:val="000000"/>
          <w:szCs w:val="24"/>
        </w:rPr>
        <w:t>The audit was conducted by</w:t>
      </w:r>
    </w:p>
    <w:p w:rsidR="0074470F" w:rsidRPr="00A631DE" w:rsidRDefault="0074470F" w:rsidP="0074470F">
      <w:pPr>
        <w:autoSpaceDE w:val="0"/>
        <w:autoSpaceDN w:val="0"/>
        <w:adjustRightInd w:val="0"/>
        <w:jc w:val="both"/>
        <w:rPr>
          <w:color w:val="000000"/>
          <w:szCs w:val="24"/>
        </w:rPr>
      </w:pP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analysing whether the framework ensured uniform application of customs controls, whether the framework was adequate and how Member States used their risk management systems to select import declaration controls</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examining whether the Commission had sufficient monitoring, review and reporting arrangements</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visiting the customs authorities in five Member States to assess the application of the regulatory framework in practice</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collecting information from all Member States on their perceptions regarding the level of customs control harmonisation, the adequacy of the framework, and the degree to which they had implemented the common risk criteria and standards</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jc w:val="both"/>
        <w:rPr>
          <w:b/>
          <w:color w:val="000000"/>
          <w:szCs w:val="24"/>
          <w:u w:val="single"/>
        </w:rPr>
      </w:pPr>
      <w:r w:rsidRPr="00A631DE">
        <w:rPr>
          <w:b/>
          <w:color w:val="000000"/>
          <w:szCs w:val="24"/>
          <w:u w:val="single"/>
        </w:rPr>
        <w:t>Main findings</w:t>
      </w:r>
    </w:p>
    <w:p w:rsidR="0074470F" w:rsidRPr="00A631DE" w:rsidRDefault="0074470F" w:rsidP="0074470F">
      <w:pPr>
        <w:jc w:val="both"/>
        <w:rPr>
          <w:b/>
          <w:color w:val="000000"/>
          <w:szCs w:val="24"/>
          <w:u w:val="single"/>
        </w:rPr>
      </w:pPr>
    </w:p>
    <w:p w:rsidR="0074470F" w:rsidRPr="00A631DE" w:rsidRDefault="0074470F" w:rsidP="0074470F">
      <w:pPr>
        <w:autoSpaceDE w:val="0"/>
        <w:autoSpaceDN w:val="0"/>
        <w:adjustRightInd w:val="0"/>
        <w:jc w:val="both"/>
        <w:rPr>
          <w:color w:val="000000"/>
          <w:szCs w:val="24"/>
        </w:rPr>
      </w:pPr>
      <w:r w:rsidRPr="00A631DE">
        <w:rPr>
          <w:b/>
          <w:color w:val="000000"/>
          <w:szCs w:val="24"/>
        </w:rPr>
        <w:t>The audit found that the framework is not leading to a uniform application of customs controls.</w:t>
      </w:r>
      <w:r w:rsidRPr="00A631DE">
        <w:rPr>
          <w:color w:val="000000"/>
          <w:szCs w:val="24"/>
        </w:rPr>
        <w:t xml:space="preserve"> There were shortcomings in both the content of the framework as well as its application in practice.</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autoSpaceDE w:val="0"/>
        <w:autoSpaceDN w:val="0"/>
        <w:adjustRightInd w:val="0"/>
        <w:jc w:val="both"/>
        <w:rPr>
          <w:color w:val="000000"/>
          <w:szCs w:val="24"/>
        </w:rPr>
      </w:pPr>
      <w:r w:rsidRPr="00A631DE">
        <w:rPr>
          <w:color w:val="000000"/>
          <w:szCs w:val="24"/>
        </w:rPr>
        <w:t>The audit identified several weaknesses with regards to the content of the framework:</w:t>
      </w:r>
    </w:p>
    <w:p w:rsidR="0074470F" w:rsidRPr="00A631DE" w:rsidRDefault="0074470F" w:rsidP="0074470F">
      <w:pPr>
        <w:autoSpaceDE w:val="0"/>
        <w:autoSpaceDN w:val="0"/>
        <w:adjustRightInd w:val="0"/>
        <w:jc w:val="both"/>
        <w:rPr>
          <w:color w:val="000000"/>
          <w:szCs w:val="24"/>
        </w:rPr>
      </w:pP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 xml:space="preserve">The framework does not define the concept of risk well and with enough detail. This can lead to situations where Member States’ customs authorities do not prioritise controls on imports that pose a high risk to the EU’s financial interests. </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The risk criteria do not specify the circumstances under which controls should be activated. Member States can therefore activate controls under different circumstances, and the application is not uniform. This lack of harmonisation in customs controls could allow non-compliant importers to target EU points of entry with lower levels of controls.</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szCs w:val="24"/>
        </w:rPr>
        <w:t>The FRC decision does not lay down specific rules on the nature and duration of customs controls.</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guidance lacks an in-depth description with quantifiable indicators that custom authorities can use for their risk analysis in practice.</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framework does not include a risk analysis at EU level</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framework does not describe appropriate data-mining techniques for risk analysis</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framework does not describe appropriate methods for addressing risks resulting from e-commerce</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framework does not provide a harmonised approach to random selections of declarations for control</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b/>
        </w:rPr>
        <w:t>There is no EU wide platform or database to share information on risky importers systematically across Member States. The framework does not cover the implementation of such a system</w:t>
      </w:r>
      <w:r w:rsidR="0074470F" w:rsidRPr="00A631DE">
        <w:rPr>
          <w:rFonts w:ascii="Times New Roman" w:hAnsi="Times New Roman" w:cs="Times New Roman"/>
        </w:rPr>
        <w:t>.</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The framework includes little reporting, monitoring and review requirements. The FRC decision specifies intervals in which Member States must report to the Commission on the implementation of the common financial risk criteria, but these intervals may be too long to maintain an up-to-date system of information.</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 xml:space="preserve">The framework allows Member States to reduce the number of controls they carry out to a “feasible” amount. It does not set limits in this regard, which means that the number of controls across Member States is not harmonised and under the discretion of the Member States. </w:t>
      </w:r>
    </w:p>
    <w:p w:rsidR="0074470F" w:rsidRPr="00A631DE" w:rsidRDefault="0074470F" w:rsidP="0074470F">
      <w:pPr>
        <w:jc w:val="both"/>
        <w:rPr>
          <w:b/>
          <w:szCs w:val="24"/>
        </w:rPr>
      </w:pPr>
    </w:p>
    <w:p w:rsidR="0074470F" w:rsidRPr="00A631DE" w:rsidRDefault="0074470F" w:rsidP="0074470F">
      <w:pPr>
        <w:pStyle w:val="Default"/>
        <w:jc w:val="both"/>
        <w:rPr>
          <w:rFonts w:ascii="Times New Roman" w:hAnsi="Times New Roman" w:cs="Times New Roman"/>
        </w:rPr>
      </w:pPr>
      <w:r w:rsidRPr="00A631DE">
        <w:rPr>
          <w:rFonts w:ascii="Times New Roman" w:hAnsi="Times New Roman" w:cs="Times New Roman"/>
        </w:rPr>
        <w:t>The audit identified several issues regarding the practical application of the framework:</w:t>
      </w:r>
    </w:p>
    <w:p w:rsidR="0074470F" w:rsidRPr="00A631DE" w:rsidRDefault="0074470F" w:rsidP="0074470F">
      <w:pPr>
        <w:pStyle w:val="Default"/>
        <w:jc w:val="both"/>
        <w:rPr>
          <w:rFonts w:ascii="Times New Roman" w:hAnsi="Times New Roman" w:cs="Times New Roman"/>
        </w:rPr>
      </w:pP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Member States did not identify and interpret risk signals in the same way. This resulted in different criteria for selecting imports for control, as well as differences in the risk profiles they created.</w:t>
      </w:r>
    </w:p>
    <w:p w:rsidR="0074470F" w:rsidRPr="00A631DE" w:rsidRDefault="00F62195" w:rsidP="00F62195">
      <w:pPr>
        <w:pStyle w:val="Default"/>
        <w:ind w:left="720" w:hanging="360"/>
        <w:jc w:val="both"/>
        <w:rPr>
          <w:rFonts w:ascii="Times New Roman" w:hAnsi="Times New Roman" w:cs="Times New Roman"/>
          <w:b/>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b/>
        </w:rPr>
        <w:t>Member States did not systematically share information on risky importers with one another.</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Member States did not apply similar procedures for reducing the number of controls, which lead to different national practices when addressing similar risks. Although Member States generally used the methods for control selection prescribed in the FRC decision, they applied these methods in substantially different ways.</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Not all of the five Member States visited subjected all declarations to an automated risk analysis, as is required by the FRC decision.</w:t>
      </w:r>
    </w:p>
    <w:p w:rsidR="0074470F" w:rsidRPr="00A631DE" w:rsidRDefault="00F62195" w:rsidP="00F62195">
      <w:pPr>
        <w:pStyle w:val="Default"/>
        <w:ind w:left="72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Even after the adoption of the FRC decision, Member States have different risk management practices. They did not change their risk management system or control capacity significantly after implementing the FRC decision.</w:t>
      </w:r>
    </w:p>
    <w:p w:rsidR="0074470F" w:rsidRPr="00A631DE" w:rsidRDefault="0074470F" w:rsidP="0074470F">
      <w:pPr>
        <w:pStyle w:val="Default"/>
        <w:jc w:val="both"/>
        <w:rPr>
          <w:rFonts w:ascii="Times New Roman" w:hAnsi="Times New Roman" w:cs="Times New Roman"/>
        </w:rPr>
      </w:pPr>
    </w:p>
    <w:p w:rsidR="0074470F" w:rsidRPr="00A631DE" w:rsidRDefault="0074470F" w:rsidP="0074470F">
      <w:pPr>
        <w:pStyle w:val="Default"/>
        <w:jc w:val="both"/>
        <w:rPr>
          <w:rFonts w:ascii="Times New Roman" w:hAnsi="Times New Roman" w:cs="Times New Roman"/>
        </w:rPr>
      </w:pPr>
    </w:p>
    <w:p w:rsidR="0074470F" w:rsidRPr="00A631DE" w:rsidRDefault="0074470F" w:rsidP="0074470F">
      <w:pPr>
        <w:jc w:val="both"/>
        <w:rPr>
          <w:b/>
          <w:szCs w:val="24"/>
          <w:u w:val="single"/>
        </w:rPr>
      </w:pPr>
      <w:r w:rsidRPr="00A631DE">
        <w:rPr>
          <w:b/>
          <w:szCs w:val="24"/>
          <w:u w:val="single"/>
        </w:rPr>
        <w:t>Recommendations</w:t>
      </w:r>
    </w:p>
    <w:p w:rsidR="0074470F" w:rsidRPr="00A631DE" w:rsidRDefault="0074470F" w:rsidP="0074470F">
      <w:pPr>
        <w:jc w:val="both"/>
        <w:rPr>
          <w:b/>
          <w:szCs w:val="24"/>
          <w:u w:val="single"/>
        </w:rPr>
      </w:pPr>
    </w:p>
    <w:p w:rsidR="0074470F" w:rsidRPr="00A631DE" w:rsidRDefault="0074470F" w:rsidP="0074470F">
      <w:pPr>
        <w:autoSpaceDE w:val="0"/>
        <w:autoSpaceDN w:val="0"/>
        <w:adjustRightInd w:val="0"/>
        <w:jc w:val="both"/>
        <w:rPr>
          <w:color w:val="000000"/>
          <w:szCs w:val="24"/>
        </w:rPr>
      </w:pPr>
      <w:r w:rsidRPr="00A631DE">
        <w:rPr>
          <w:color w:val="000000"/>
          <w:szCs w:val="24"/>
        </w:rPr>
        <w:t xml:space="preserve">The ECA recommends the Commission (in cooperation with the Member States) to enhance the uniform application of customs controls. It should do so by </w:t>
      </w:r>
    </w:p>
    <w:p w:rsidR="0074470F" w:rsidRPr="00A631DE" w:rsidRDefault="0074470F" w:rsidP="0074470F">
      <w:pPr>
        <w:autoSpaceDE w:val="0"/>
        <w:autoSpaceDN w:val="0"/>
        <w:adjustRightInd w:val="0"/>
        <w:jc w:val="both"/>
        <w:rPr>
          <w:color w:val="000000"/>
          <w:szCs w:val="24"/>
        </w:rPr>
      </w:pP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strengthening the rules for Member States by adding more detail to the framework, as well as instructions on how to apply it</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transferring some of the rules in the guidance (non-binding) to the FRC decision (binding)</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adapting the framework to ensure that the risks related to e-commerce imports are properly addressed</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improving the quality of risk signals</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addressing gaps in the handling of declarations across Member States</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developing an EU-wide risk database</w:t>
      </w:r>
    </w:p>
    <w:p w:rsidR="0074470F" w:rsidRPr="00A631DE" w:rsidRDefault="00F62195" w:rsidP="00F62195">
      <w:pPr>
        <w:widowControl/>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setting out sound arrangements for monitoring the Member States’ application of the framework</w:t>
      </w:r>
    </w:p>
    <w:p w:rsidR="0074470F" w:rsidRPr="00A631DE" w:rsidRDefault="0074470F" w:rsidP="0074470F">
      <w:pPr>
        <w:autoSpaceDE w:val="0"/>
        <w:autoSpaceDN w:val="0"/>
        <w:adjustRightInd w:val="0"/>
        <w:ind w:left="720"/>
        <w:jc w:val="both"/>
        <w:rPr>
          <w:color w:val="000000"/>
          <w:szCs w:val="24"/>
        </w:rPr>
      </w:pPr>
    </w:p>
    <w:p w:rsidR="0074470F" w:rsidRPr="00A631DE" w:rsidRDefault="0074470F" w:rsidP="0074470F">
      <w:pPr>
        <w:autoSpaceDE w:val="0"/>
        <w:autoSpaceDN w:val="0"/>
        <w:adjustRightInd w:val="0"/>
        <w:jc w:val="both"/>
        <w:rPr>
          <w:b/>
          <w:color w:val="000000"/>
          <w:szCs w:val="24"/>
        </w:rPr>
      </w:pPr>
      <w:r w:rsidRPr="00A631DE">
        <w:rPr>
          <w:b/>
          <w:color w:val="000000"/>
          <w:szCs w:val="24"/>
        </w:rPr>
        <w:t>Timeframe: 2022</w:t>
      </w:r>
    </w:p>
    <w:p w:rsidR="0074470F" w:rsidRPr="00A631DE" w:rsidRDefault="0074470F" w:rsidP="0074470F">
      <w:pPr>
        <w:autoSpaceDE w:val="0"/>
        <w:autoSpaceDN w:val="0"/>
        <w:adjustRightInd w:val="0"/>
        <w:rPr>
          <w:color w:val="000000"/>
          <w:szCs w:val="24"/>
        </w:rPr>
      </w:pPr>
      <w:r w:rsidRPr="00A631DE">
        <w:rPr>
          <w:color w:val="000000"/>
          <w:szCs w:val="24"/>
        </w:rPr>
        <w:t xml:space="preserve"> </w:t>
      </w:r>
    </w:p>
    <w:p w:rsidR="0074470F" w:rsidRPr="00A631DE" w:rsidRDefault="0074470F" w:rsidP="0074470F">
      <w:pPr>
        <w:autoSpaceDE w:val="0"/>
        <w:autoSpaceDN w:val="0"/>
        <w:adjustRightInd w:val="0"/>
        <w:jc w:val="both"/>
        <w:rPr>
          <w:color w:val="000000"/>
          <w:szCs w:val="24"/>
        </w:rPr>
      </w:pPr>
      <w:r w:rsidRPr="00A631DE">
        <w:rPr>
          <w:color w:val="000000"/>
          <w:szCs w:val="24"/>
        </w:rPr>
        <w:t xml:space="preserve">The ECA further recommends the Commission to create a central function at EU level to better guide overall customs control. </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autoSpaceDE w:val="0"/>
        <w:autoSpaceDN w:val="0"/>
        <w:adjustRightInd w:val="0"/>
        <w:jc w:val="both"/>
        <w:rPr>
          <w:color w:val="000000"/>
          <w:szCs w:val="24"/>
        </w:rPr>
      </w:pPr>
      <w:r w:rsidRPr="00A631DE">
        <w:rPr>
          <w:color w:val="000000"/>
          <w:szCs w:val="24"/>
        </w:rPr>
        <w:t>More specifically, the role of the central function should include:</w:t>
      </w:r>
    </w:p>
    <w:p w:rsidR="0074470F" w:rsidRPr="00A631DE" w:rsidRDefault="0074470F" w:rsidP="0074470F">
      <w:pPr>
        <w:autoSpaceDE w:val="0"/>
        <w:autoSpaceDN w:val="0"/>
        <w:adjustRightInd w:val="0"/>
        <w:jc w:val="both"/>
        <w:rPr>
          <w:color w:val="000000"/>
          <w:szCs w:val="24"/>
        </w:rPr>
      </w:pPr>
    </w:p>
    <w:p w:rsidR="0074470F" w:rsidRPr="00A631DE" w:rsidRDefault="00F62195" w:rsidP="00F62195">
      <w:pPr>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defining the risks that should be subject to an integrated approach and, in cooperation with Member States, ensuring that such risks are addressed appropriately</w:t>
      </w:r>
    </w:p>
    <w:p w:rsidR="0074470F" w:rsidRPr="00A631DE" w:rsidRDefault="00F62195" w:rsidP="00F62195">
      <w:pPr>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developing and implementing effective data mining capabilities to carry out data analysis at EU level and identify EU-relevant risks</w:t>
      </w:r>
    </w:p>
    <w:p w:rsidR="0074470F" w:rsidRPr="00A631DE" w:rsidRDefault="00F62195" w:rsidP="00F62195">
      <w:pPr>
        <w:autoSpaceDE w:val="0"/>
        <w:autoSpaceDN w:val="0"/>
        <w:adjustRightInd w:val="0"/>
        <w:ind w:left="72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exploring ways to develop IT risk management systems, to allow direct and automatic application of control recommendations for EU-relevant risks</w:t>
      </w:r>
    </w:p>
    <w:p w:rsidR="0074470F" w:rsidRPr="00A631DE" w:rsidRDefault="0074470F" w:rsidP="0074470F">
      <w:pPr>
        <w:pStyle w:val="ListParagraph"/>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p>
    <w:p w:rsidR="0074470F" w:rsidRPr="00A631DE" w:rsidRDefault="0074470F" w:rsidP="0074470F">
      <w:pPr>
        <w:autoSpaceDE w:val="0"/>
        <w:autoSpaceDN w:val="0"/>
        <w:adjustRightInd w:val="0"/>
        <w:jc w:val="both"/>
        <w:rPr>
          <w:b/>
          <w:color w:val="000000"/>
          <w:szCs w:val="24"/>
        </w:rPr>
      </w:pPr>
      <w:r w:rsidRPr="00A631DE">
        <w:rPr>
          <w:b/>
          <w:color w:val="000000"/>
          <w:szCs w:val="24"/>
        </w:rPr>
        <w:t>Timeframe: 2023</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spacing w:after="240"/>
        <w:jc w:val="both"/>
        <w:rPr>
          <w:b/>
          <w:szCs w:val="24"/>
        </w:rPr>
      </w:pPr>
      <w:r w:rsidRPr="00A631DE">
        <w:rPr>
          <w:b/>
          <w:szCs w:val="24"/>
        </w:rPr>
        <w:t>EU - BUDGET IMPLICATION / EUROPEAN FUNDS COVERED:</w:t>
      </w:r>
    </w:p>
    <w:p w:rsidR="0074470F" w:rsidRPr="00A631DE" w:rsidRDefault="0074470F" w:rsidP="0074470F">
      <w:pPr>
        <w:autoSpaceDE w:val="0"/>
        <w:autoSpaceDN w:val="0"/>
        <w:adjustRightInd w:val="0"/>
        <w:jc w:val="both"/>
        <w:rPr>
          <w:color w:val="000000"/>
          <w:szCs w:val="24"/>
        </w:rPr>
      </w:pPr>
      <w:r w:rsidRPr="00A631DE">
        <w:rPr>
          <w:color w:val="000000"/>
          <w:szCs w:val="24"/>
        </w:rPr>
        <w:t>The special report addresses how customs controls can be conducted in an effective and harmonised manner across the EU. Ensuring an efficient flow of goods across the EU is crucial, as the EU’s imports and exports comprise around 25% of the EU’s GDP (EUR 4 trillion in 2019). In addition, customs duties on imports are an important source of EU budget revenue, amounting to €21.4 billion (13 % of the total) in 2019. While the special report does not directly cover specific EU funds, it focuses on a topic with strong budget implication.</w:t>
      </w:r>
    </w:p>
    <w:p w:rsidR="0074470F" w:rsidRPr="00A631DE" w:rsidRDefault="0074470F" w:rsidP="0074470F">
      <w:pPr>
        <w:autoSpaceDE w:val="0"/>
        <w:autoSpaceDN w:val="0"/>
        <w:adjustRightInd w:val="0"/>
        <w:jc w:val="both"/>
        <w:rPr>
          <w:color w:val="000000"/>
          <w:szCs w:val="24"/>
        </w:rPr>
      </w:pPr>
    </w:p>
    <w:p w:rsidR="0074470F" w:rsidRPr="00A631DE" w:rsidRDefault="0074470F" w:rsidP="0074470F">
      <w:pPr>
        <w:rPr>
          <w:rFonts w:eastAsiaTheme="minorHAnsi"/>
          <w:b/>
          <w:szCs w:val="24"/>
          <w:u w:val="single"/>
          <w:lang w:eastAsia="en-US"/>
        </w:rPr>
      </w:pPr>
      <w:r w:rsidRPr="00A631DE">
        <w:rPr>
          <w:b/>
          <w:szCs w:val="24"/>
          <w:u w:val="single"/>
        </w:rPr>
        <w:t>The Rapporteur’s point of view</w:t>
      </w:r>
    </w:p>
    <w:p w:rsidR="0074470F" w:rsidRPr="00A631DE" w:rsidRDefault="00F62195" w:rsidP="00F62195">
      <w:pPr>
        <w:pStyle w:val="Default"/>
        <w:ind w:left="36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 xml:space="preserve">Regrets that, notwithstanding the quality of the report, the outcome does not reveal anything new - customs management has many weaknesses, and these weaknesses have a colossal impact on the finances of the EU </w:t>
      </w:r>
    </w:p>
    <w:p w:rsidR="0074470F" w:rsidRPr="00A631DE" w:rsidRDefault="00F62195" w:rsidP="00F62195">
      <w:pPr>
        <w:pStyle w:val="Default"/>
        <w:ind w:left="36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Reminds that the European Commission has an obligation under Article 17(1) of the TFEU to oversee that Member States apply the EU law. The role of “guardian of the Treaties” is essential for ensuring the EU’s overall performance and accountability</w:t>
      </w:r>
    </w:p>
    <w:p w:rsidR="0074470F" w:rsidRPr="00A631DE" w:rsidRDefault="00F62195" w:rsidP="00F62195">
      <w:pPr>
        <w:pStyle w:val="Default"/>
        <w:ind w:left="36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Insists on the need of Member States sharing information with each other on importers deemed to be at risk</w:t>
      </w:r>
    </w:p>
    <w:p w:rsidR="0074470F" w:rsidRPr="00A631DE" w:rsidRDefault="00F62195" w:rsidP="00F62195">
      <w:pPr>
        <w:pStyle w:val="Default"/>
        <w:ind w:left="36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Underlines, moreover, that an efficient customs control requires closer cooperation between customs authorities and other law enforcement authorities operating at the EU’s borders, including through interoperability between relevant information systems</w:t>
      </w:r>
    </w:p>
    <w:p w:rsidR="0074470F" w:rsidRPr="00A631DE" w:rsidRDefault="00F62195" w:rsidP="00F62195">
      <w:pPr>
        <w:pStyle w:val="Default"/>
        <w:ind w:left="360" w:hanging="360"/>
        <w:jc w:val="both"/>
        <w:rPr>
          <w:rFonts w:ascii="Times New Roman" w:hAnsi="Times New Roman" w:cs="Times New Roman"/>
        </w:rPr>
      </w:pPr>
      <w:r w:rsidRPr="00A631DE">
        <w:rPr>
          <w:rFonts w:ascii="Symbol" w:hAnsi="Symbol" w:cs="Times New Roman"/>
        </w:rPr>
        <w:t></w:t>
      </w:r>
      <w:r w:rsidRPr="00A631DE">
        <w:rPr>
          <w:rFonts w:ascii="Symbol" w:hAnsi="Symbol" w:cs="Times New Roman"/>
        </w:rPr>
        <w:tab/>
      </w:r>
      <w:r w:rsidR="0074470F" w:rsidRPr="00A631DE">
        <w:rPr>
          <w:rFonts w:ascii="Times New Roman" w:hAnsi="Times New Roman" w:cs="Times New Roman"/>
        </w:rPr>
        <w:t>Points out that the non-uniform application of customs rules by Member States  leads both to problems of unfair competition between Member States and to fraud</w:t>
      </w:r>
    </w:p>
    <w:p w:rsidR="0074470F" w:rsidRPr="00A631DE" w:rsidRDefault="00F62195" w:rsidP="00F62195">
      <w:pPr>
        <w:ind w:left="36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color w:val="000000"/>
          <w:szCs w:val="24"/>
        </w:rPr>
        <w:t>Underlines that the success of many EU policies depends on Member States putting EU law into practice in their jurisdiction</w:t>
      </w:r>
    </w:p>
    <w:p w:rsidR="0074470F" w:rsidRPr="00A631DE" w:rsidRDefault="00F62195" w:rsidP="00F62195">
      <w:pPr>
        <w:ind w:left="360" w:hanging="360"/>
        <w:jc w:val="both"/>
        <w:rPr>
          <w:color w:val="000000"/>
          <w:szCs w:val="24"/>
        </w:rPr>
      </w:pPr>
      <w:r w:rsidRPr="00A631DE">
        <w:rPr>
          <w:rFonts w:ascii="Symbol" w:hAnsi="Symbol"/>
          <w:color w:val="000000"/>
          <w:szCs w:val="24"/>
        </w:rPr>
        <w:t></w:t>
      </w:r>
      <w:r w:rsidRPr="00A631DE">
        <w:rPr>
          <w:rFonts w:ascii="Symbol" w:hAnsi="Symbol"/>
          <w:color w:val="000000"/>
          <w:szCs w:val="24"/>
        </w:rPr>
        <w:tab/>
      </w:r>
      <w:r w:rsidR="0074470F" w:rsidRPr="00A631DE">
        <w:rPr>
          <w:szCs w:val="24"/>
        </w:rPr>
        <w:t xml:space="preserve">Questions, therefore,  the Commission on the actions taken so far or planned to support Member States to apply customs controls in a uniform and harmonised manner </w:t>
      </w:r>
    </w:p>
    <w:p w:rsidR="0074470F" w:rsidRPr="00A631DE" w:rsidRDefault="0074470F" w:rsidP="0074470F">
      <w:pPr>
        <w:pStyle w:val="Default"/>
        <w:ind w:left="360"/>
        <w:jc w:val="both"/>
        <w:rPr>
          <w:rFonts w:ascii="Times New Roman" w:hAnsi="Times New Roman" w:cs="Times New Roman"/>
        </w:rPr>
      </w:pPr>
    </w:p>
    <w:p w:rsidR="0074470F" w:rsidRPr="00A631DE" w:rsidRDefault="0074470F" w:rsidP="0074470F">
      <w:pPr>
        <w:rPr>
          <w:color w:val="000000"/>
          <w:szCs w:val="24"/>
        </w:rPr>
      </w:pPr>
      <w:r w:rsidRPr="00A631DE">
        <w:br w:type="page"/>
      </w:r>
    </w:p>
    <w:p w:rsidR="0074470F" w:rsidRPr="00A631DE" w:rsidRDefault="0074470F" w:rsidP="0074470F">
      <w:pPr>
        <w:rPr>
          <w:b/>
          <w:szCs w:val="24"/>
        </w:rPr>
      </w:pPr>
      <w:r w:rsidRPr="00A631DE">
        <w:rPr>
          <w:b/>
          <w:szCs w:val="24"/>
        </w:rPr>
        <w:t>Facts and Figures (2019)</w:t>
      </w:r>
      <w:r w:rsidRPr="00A631DE">
        <w:rPr>
          <w:rStyle w:val="FootnoteReference"/>
          <w:b/>
          <w:szCs w:val="24"/>
        </w:rPr>
        <w:footnoteReference w:id="3"/>
      </w:r>
    </w:p>
    <w:p w:rsidR="00464BF7" w:rsidRPr="00A631DE" w:rsidRDefault="00464BF7" w:rsidP="0074470F">
      <w:pPr>
        <w:rPr>
          <w:b/>
          <w:szCs w:val="24"/>
        </w:rPr>
      </w:pPr>
    </w:p>
    <w:p w:rsidR="0074470F" w:rsidRPr="00A631DE" w:rsidRDefault="0074470F" w:rsidP="0074470F">
      <w:pPr>
        <w:rPr>
          <w:b/>
          <w:szCs w:val="24"/>
        </w:rPr>
      </w:pPr>
      <w:r w:rsidRPr="00A631DE">
        <w:rPr>
          <w:b/>
          <w:szCs w:val="24"/>
        </w:rPr>
        <w:t>The EU is the largest trading bloc in the world</w:t>
      </w:r>
    </w:p>
    <w:p w:rsidR="0074470F" w:rsidRPr="00A631DE" w:rsidRDefault="0074470F" w:rsidP="0074470F">
      <w:pPr>
        <w:jc w:val="both"/>
        <w:rPr>
          <w:sz w:val="22"/>
          <w:szCs w:val="22"/>
        </w:rPr>
      </w:pPr>
      <w:r w:rsidRPr="00A631DE">
        <w:t>The EU is the largest trading block in the world, accounting for over 15% of the world trade, alongside the United States and China. In 2019, the value of the EU trade with other countries amounted to EUR 4.09 trillion</w:t>
      </w:r>
      <w:r w:rsidR="00464BF7" w:rsidRPr="00A631DE">
        <w:rPr>
          <w:rStyle w:val="FootnoteReference"/>
        </w:rPr>
        <w:footnoteReference w:id="4"/>
      </w:r>
      <w:r w:rsidR="00464BF7" w:rsidRPr="00A631DE">
        <w:t>.</w:t>
      </w:r>
      <w:r w:rsidRPr="00A631DE">
        <w:t xml:space="preserve"> Half of EU external trade was mainly with five main partners: the United States, China, Switzerland, Russia and Turkey.</w:t>
      </w:r>
    </w:p>
    <w:p w:rsidR="0074470F" w:rsidRPr="00A631DE" w:rsidRDefault="0074470F" w:rsidP="0074470F">
      <w:r w:rsidRPr="00A631DE">
        <w:drawing>
          <wp:inline distT="0" distB="0" distL="0" distR="0">
            <wp:extent cx="5724525" cy="2447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a:ln>
                      <a:noFill/>
                    </a:ln>
                  </pic:spPr>
                </pic:pic>
              </a:graphicData>
            </a:graphic>
          </wp:inline>
        </w:drawing>
      </w:r>
    </w:p>
    <w:p w:rsidR="0074470F" w:rsidRPr="00A631DE" w:rsidRDefault="0074470F" w:rsidP="0074470F">
      <w:r w:rsidRPr="00A631DE">
        <w:t>To manage this volume of international trade in 2019, more than 2,000 EU customs offices, working 24 hours a day and 365 days a year, handled the import, export or transit of over 868 million articles. The amount of customs duties collected in 2019 reached € 26.7 billion.</w:t>
      </w:r>
    </w:p>
    <w:p w:rsidR="0074470F" w:rsidRPr="00A631DE" w:rsidRDefault="0074470F" w:rsidP="0074470F">
      <w:r w:rsidRPr="00A631DE">
        <w:drawing>
          <wp:inline distT="0" distB="0" distL="0" distR="0">
            <wp:extent cx="471043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0430" cy="3143250"/>
                    </a:xfrm>
                    <a:prstGeom prst="rect">
                      <a:avLst/>
                    </a:prstGeom>
                    <a:noFill/>
                    <a:ln>
                      <a:noFill/>
                    </a:ln>
                  </pic:spPr>
                </pic:pic>
              </a:graphicData>
            </a:graphic>
          </wp:inline>
        </w:drawing>
      </w:r>
    </w:p>
    <w:p w:rsidR="0074470F" w:rsidRPr="00A631DE" w:rsidRDefault="0074470F" w:rsidP="0074470F">
      <w:r w:rsidRPr="00A631DE">
        <w:t>Source: DG Taxation and Customs Union and Eurostat</w:t>
      </w:r>
    </w:p>
    <w:p w:rsidR="0074470F" w:rsidRPr="00A631DE" w:rsidRDefault="0074470F" w:rsidP="0074470F">
      <w:pPr>
        <w:rPr>
          <w:b/>
          <w:szCs w:val="24"/>
        </w:rPr>
      </w:pPr>
      <w:r w:rsidRPr="00A631DE">
        <w:rPr>
          <w:b/>
          <w:szCs w:val="24"/>
        </w:rPr>
        <w:t xml:space="preserve">Various means of carrying freight are used in the EU trade </w:t>
      </w:r>
    </w:p>
    <w:p w:rsidR="0074470F" w:rsidRPr="00A631DE" w:rsidRDefault="0074470F" w:rsidP="0074470F">
      <w:pPr>
        <w:rPr>
          <w:sz w:val="22"/>
          <w:szCs w:val="22"/>
        </w:rPr>
      </w:pPr>
      <w:r w:rsidRPr="00A631DE">
        <w:t>The most frequently used form of transport in the EU trade is maritime transport, followed by air and road transport.</w:t>
      </w:r>
    </w:p>
    <w:p w:rsidR="0074470F" w:rsidRPr="00A631DE" w:rsidRDefault="0074470F" w:rsidP="0074470F"/>
    <w:p w:rsidR="0074470F" w:rsidRPr="00A631DE" w:rsidRDefault="0074470F" w:rsidP="0074470F">
      <w:r w:rsidRPr="00A631DE">
        <w:drawing>
          <wp:inline distT="0" distB="0" distL="0" distR="0">
            <wp:extent cx="5729605" cy="303847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3038475"/>
                    </a:xfrm>
                    <a:prstGeom prst="rect">
                      <a:avLst/>
                    </a:prstGeom>
                    <a:noFill/>
                    <a:ln>
                      <a:noFill/>
                    </a:ln>
                  </pic:spPr>
                </pic:pic>
              </a:graphicData>
            </a:graphic>
          </wp:inline>
        </w:drawing>
      </w:r>
    </w:p>
    <w:p w:rsidR="0074470F" w:rsidRPr="00A631DE" w:rsidRDefault="0074470F" w:rsidP="0074470F"/>
    <w:p w:rsidR="0074470F" w:rsidRPr="00A631DE" w:rsidRDefault="0074470F" w:rsidP="0074470F">
      <w:pPr>
        <w:rPr>
          <w:b/>
          <w:szCs w:val="24"/>
        </w:rPr>
      </w:pPr>
      <w:r w:rsidRPr="00A631DE">
        <w:rPr>
          <w:b/>
          <w:szCs w:val="24"/>
        </w:rPr>
        <w:t>Customs duties mean revenue</w:t>
      </w:r>
    </w:p>
    <w:p w:rsidR="0074470F" w:rsidRPr="00A631DE" w:rsidRDefault="0074470F" w:rsidP="0074470F">
      <w:pPr>
        <w:rPr>
          <w:sz w:val="22"/>
          <w:szCs w:val="22"/>
        </w:rPr>
      </w:pPr>
      <w:r w:rsidRPr="00A631DE">
        <w:t>Customs duties are one of the sources of income for the budget of the EU and its Member States.</w:t>
      </w:r>
    </w:p>
    <w:p w:rsidR="0074470F" w:rsidRPr="00A631DE" w:rsidRDefault="0074470F" w:rsidP="0074470F">
      <w:r w:rsidRPr="00A631DE">
        <w:drawing>
          <wp:inline distT="0" distB="0" distL="0" distR="0">
            <wp:extent cx="5734050" cy="2891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891155"/>
                    </a:xfrm>
                    <a:prstGeom prst="rect">
                      <a:avLst/>
                    </a:prstGeom>
                    <a:noFill/>
                    <a:ln>
                      <a:noFill/>
                    </a:ln>
                  </pic:spPr>
                </pic:pic>
              </a:graphicData>
            </a:graphic>
          </wp:inline>
        </w:drawing>
      </w:r>
    </w:p>
    <w:p w:rsidR="0074470F" w:rsidRPr="00A631DE" w:rsidRDefault="0074470F" w:rsidP="0074470F">
      <w:r w:rsidRPr="00A631DE">
        <w:t>Source: DG Taxation and Customs Union and Eurostat</w:t>
      </w:r>
    </w:p>
    <w:p w:rsidR="0074470F" w:rsidRPr="00A631DE" w:rsidRDefault="0074470F" w:rsidP="0074470F"/>
    <w:p w:rsidR="0074470F" w:rsidRPr="00A631DE" w:rsidRDefault="0074470F" w:rsidP="0074470F"/>
    <w:p w:rsidR="0074470F" w:rsidRPr="00A631DE" w:rsidRDefault="0074470F" w:rsidP="0074470F">
      <w:pPr>
        <w:rPr>
          <w:b/>
          <w:szCs w:val="24"/>
        </w:rPr>
      </w:pPr>
      <w:r w:rsidRPr="00A631DE">
        <w:rPr>
          <w:b/>
          <w:szCs w:val="24"/>
        </w:rPr>
        <w:t>Customs are business friendly</w:t>
      </w:r>
    </w:p>
    <w:p w:rsidR="0074470F" w:rsidRPr="00A631DE" w:rsidRDefault="0074470F" w:rsidP="0074470F">
      <w:pPr>
        <w:jc w:val="both"/>
        <w:rPr>
          <w:sz w:val="22"/>
          <w:szCs w:val="22"/>
        </w:rPr>
      </w:pPr>
      <w:r w:rsidRPr="00A631DE">
        <w:t>The Union Customs Code aims to maintain a proper balance between customs controls and facilitation of legitimate trade, to enable the EU to prosper and develop competitive businesses.</w:t>
      </w:r>
    </w:p>
    <w:p w:rsidR="0074470F" w:rsidRPr="00A631DE" w:rsidRDefault="0074470F" w:rsidP="0074470F">
      <w:r w:rsidRPr="00A631DE">
        <w:drawing>
          <wp:inline distT="0" distB="0" distL="0" distR="0">
            <wp:extent cx="5734050" cy="402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029075"/>
                    </a:xfrm>
                    <a:prstGeom prst="rect">
                      <a:avLst/>
                    </a:prstGeom>
                    <a:noFill/>
                    <a:ln>
                      <a:noFill/>
                    </a:ln>
                  </pic:spPr>
                </pic:pic>
              </a:graphicData>
            </a:graphic>
          </wp:inline>
        </w:drawing>
      </w:r>
    </w:p>
    <w:p w:rsidR="0074470F" w:rsidRPr="00A631DE" w:rsidRDefault="0074470F" w:rsidP="0074470F">
      <w:r w:rsidRPr="00A631DE">
        <w:t>Source: DG Taxation and Customs Union</w:t>
      </w:r>
    </w:p>
    <w:p w:rsidR="0074470F" w:rsidRPr="00A631DE" w:rsidRDefault="0074470F" w:rsidP="0074470F">
      <w:pPr>
        <w:rPr>
          <w:b/>
        </w:rPr>
      </w:pPr>
    </w:p>
    <w:p w:rsidR="0074470F" w:rsidRPr="00A631DE" w:rsidRDefault="0074470F" w:rsidP="0074470F">
      <w:pPr>
        <w:rPr>
          <w:b/>
        </w:rPr>
      </w:pPr>
      <w:r w:rsidRPr="00A631DE">
        <w:rPr>
          <w:b/>
        </w:rPr>
        <w:t>Business operators</w:t>
      </w:r>
    </w:p>
    <w:p w:rsidR="0074470F" w:rsidRPr="00A631DE" w:rsidRDefault="0074470F" w:rsidP="0074470F">
      <w:pPr>
        <w:rPr>
          <w:b/>
        </w:rPr>
      </w:pPr>
    </w:p>
    <w:p w:rsidR="0074470F" w:rsidRPr="00A631DE" w:rsidRDefault="0074470F" w:rsidP="0074470F">
      <w:pPr>
        <w:jc w:val="both"/>
      </w:pPr>
      <w:r w:rsidRPr="00A631DE">
        <w:t xml:space="preserve">To be able to carry out commercial activities related to importing and exporting goods (in the role of a consignee, declarant or representative), business operators have to register in the </w:t>
      </w:r>
      <w:hyperlink r:id="rId14" w:history="1">
        <w:r w:rsidRPr="00A631DE">
          <w:rPr>
            <w:rStyle w:val="Hyperlink"/>
          </w:rPr>
          <w:t>Economic Operators Identification and Registration system (EORI)</w:t>
        </w:r>
      </w:hyperlink>
      <w:r w:rsidRPr="00A631DE">
        <w:t>. At the end of 2019 there were over 7 million entities registered in the EORI system.</w:t>
      </w:r>
    </w:p>
    <w:p w:rsidR="0074470F" w:rsidRPr="00A631DE" w:rsidRDefault="0074470F" w:rsidP="0074470F">
      <w:pPr>
        <w:rPr>
          <w:b/>
          <w:szCs w:val="24"/>
        </w:rPr>
      </w:pPr>
    </w:p>
    <w:p w:rsidR="0074470F" w:rsidRPr="00A631DE" w:rsidRDefault="0074470F" w:rsidP="0074470F">
      <w:pPr>
        <w:rPr>
          <w:b/>
          <w:szCs w:val="24"/>
        </w:rPr>
      </w:pPr>
      <w:r w:rsidRPr="00A631DE">
        <w:rPr>
          <w:b/>
          <w:szCs w:val="24"/>
        </w:rPr>
        <w:t>Simplifications</w:t>
      </w:r>
    </w:p>
    <w:p w:rsidR="0074470F" w:rsidRPr="00A631DE" w:rsidRDefault="0074470F" w:rsidP="0074470F">
      <w:pPr>
        <w:rPr>
          <w:b/>
          <w:szCs w:val="24"/>
        </w:rPr>
      </w:pPr>
      <w:r w:rsidRPr="00A631DE">
        <w:rPr>
          <w:b/>
          <w:szCs w:val="24"/>
        </w:rPr>
        <w:t xml:space="preserve"> </w:t>
      </w:r>
    </w:p>
    <w:p w:rsidR="0074470F" w:rsidRPr="00A631DE" w:rsidRDefault="0074470F" w:rsidP="0074470F">
      <w:pPr>
        <w:jc w:val="both"/>
        <w:rPr>
          <w:sz w:val="22"/>
          <w:szCs w:val="22"/>
        </w:rPr>
      </w:pPr>
      <w:r w:rsidRPr="00A631DE">
        <w:t>Simplifications such as the simplified procedure or authorised warehouses enable business operators to perform customs procedures faster and more efficiently reducing administrative burden and costs.</w:t>
      </w:r>
    </w:p>
    <w:p w:rsidR="0074470F" w:rsidRPr="00A631DE" w:rsidRDefault="0074470F" w:rsidP="0074470F">
      <w:pPr>
        <w:jc w:val="both"/>
        <w:rPr>
          <w:b/>
        </w:rPr>
      </w:pPr>
    </w:p>
    <w:p w:rsidR="0074470F" w:rsidRPr="00A631DE" w:rsidRDefault="0074470F" w:rsidP="0074470F">
      <w:pPr>
        <w:jc w:val="both"/>
        <w:rPr>
          <w:b/>
        </w:rPr>
      </w:pPr>
      <w:r w:rsidRPr="00A631DE">
        <w:rPr>
          <w:b/>
        </w:rPr>
        <w:t xml:space="preserve">Paperless environment </w:t>
      </w:r>
    </w:p>
    <w:p w:rsidR="0074470F" w:rsidRPr="00A631DE" w:rsidRDefault="0074470F" w:rsidP="0074470F">
      <w:pPr>
        <w:jc w:val="both"/>
        <w:rPr>
          <w:b/>
        </w:rPr>
      </w:pPr>
    </w:p>
    <w:p w:rsidR="0074470F" w:rsidRPr="00A631DE" w:rsidRDefault="0074470F" w:rsidP="0074470F">
      <w:pPr>
        <w:jc w:val="both"/>
      </w:pPr>
      <w:r w:rsidRPr="00A631DE">
        <w:t>The electronic customs systems are crucial for the operation of the Customs Union. The replacement of paper based customs procedures with EU wide electronic procedures has created a more efficient and modern customs environment. Nowadays nearly all customs declarations are submitted electronically. With the ongoing implementation of the Union Customs Code electronic systems, EU traders will be able to use customs electronic systems for other elements of their business operations.</w:t>
      </w:r>
    </w:p>
    <w:p w:rsidR="0074470F" w:rsidRPr="00A631DE" w:rsidRDefault="0074470F" w:rsidP="0074470F">
      <w:r w:rsidRPr="00A631DE">
        <w:drawing>
          <wp:inline distT="0" distB="0" distL="0" distR="0">
            <wp:extent cx="5729605" cy="202882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2028825"/>
                    </a:xfrm>
                    <a:prstGeom prst="rect">
                      <a:avLst/>
                    </a:prstGeom>
                    <a:noFill/>
                    <a:ln>
                      <a:noFill/>
                    </a:ln>
                  </pic:spPr>
                </pic:pic>
              </a:graphicData>
            </a:graphic>
          </wp:inline>
        </w:drawing>
      </w:r>
    </w:p>
    <w:p w:rsidR="0074470F" w:rsidRPr="00A631DE" w:rsidRDefault="0074470F" w:rsidP="0074470F"/>
    <w:p w:rsidR="0074470F" w:rsidRPr="00A631DE" w:rsidRDefault="0074470F" w:rsidP="0074470F">
      <w:r w:rsidRPr="00A631DE">
        <w:t>Duties collected in 2019 increased compared to 2018, reaching EUR 26 707 billion, in line with the sustained rise in the value of goods imported. The share of customs duties in the total EU revenue remained stable at 13% in 2019. The picture below shows the structure of EU revenue in 2019.</w:t>
      </w:r>
    </w:p>
    <w:p w:rsidR="0074470F" w:rsidRPr="00A631DE" w:rsidRDefault="0074470F" w:rsidP="007447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994"/>
      </w:tblGrid>
      <w:tr w:rsidR="0074470F" w:rsidRPr="00A631DE" w:rsidTr="0074470F">
        <w:tc>
          <w:tcPr>
            <w:tcW w:w="4508" w:type="dxa"/>
            <w:hideMark/>
          </w:tcPr>
          <w:p w:rsidR="0074470F" w:rsidRPr="00A631DE" w:rsidRDefault="0074470F">
            <w:pPr>
              <w:rPr>
                <w:rFonts w:cstheme="minorBidi"/>
              </w:rPr>
            </w:pPr>
            <w:r w:rsidRPr="00A631DE">
              <w:drawing>
                <wp:inline distT="0" distB="0" distL="0" distR="0">
                  <wp:extent cx="3081655" cy="2209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655" cy="2209800"/>
                          </a:xfrm>
                          <a:prstGeom prst="rect">
                            <a:avLst/>
                          </a:prstGeom>
                          <a:noFill/>
                          <a:ln>
                            <a:noFill/>
                          </a:ln>
                        </pic:spPr>
                      </pic:pic>
                    </a:graphicData>
                  </a:graphic>
                </wp:inline>
              </w:drawing>
            </w:r>
          </w:p>
        </w:tc>
        <w:tc>
          <w:tcPr>
            <w:tcW w:w="4508" w:type="dxa"/>
          </w:tcPr>
          <w:p w:rsidR="0074470F" w:rsidRPr="00A631DE" w:rsidRDefault="0074470F">
            <w:pPr>
              <w:rPr>
                <w:rFonts w:cstheme="minorBidi"/>
              </w:rPr>
            </w:pPr>
          </w:p>
          <w:p w:rsidR="0074470F" w:rsidRPr="00A631DE" w:rsidRDefault="0074470F">
            <w:pPr>
              <w:rPr>
                <w:rFonts w:cstheme="minorBidi"/>
              </w:rPr>
            </w:pPr>
            <w:r w:rsidRPr="00A631DE">
              <w:rPr>
                <w:rFonts w:cstheme="minorBidi"/>
              </w:rPr>
              <w:t xml:space="preserve">Source: DG Budget </w:t>
            </w:r>
          </w:p>
          <w:p w:rsidR="0074470F" w:rsidRPr="00A631DE" w:rsidRDefault="0074470F">
            <w:pPr>
              <w:rPr>
                <w:rFonts w:cstheme="minorBidi"/>
              </w:rPr>
            </w:pPr>
            <w:r w:rsidRPr="00A631DE">
              <w:rPr>
                <w:rFonts w:cstheme="minorBidi"/>
              </w:rPr>
              <w:t>* GNI- Gross National Income</w:t>
            </w:r>
          </w:p>
          <w:p w:rsidR="0074470F" w:rsidRPr="00A631DE" w:rsidRDefault="0074470F">
            <w:pPr>
              <w:rPr>
                <w:rFonts w:cstheme="minorBidi"/>
              </w:rPr>
            </w:pPr>
          </w:p>
        </w:tc>
      </w:tr>
    </w:tbl>
    <w:p w:rsidR="0074470F" w:rsidRPr="00A631DE" w:rsidRDefault="0074470F" w:rsidP="0074470F">
      <w:pPr>
        <w:rPr>
          <w:rFonts w:asciiTheme="minorHAnsi" w:hAnsiTheme="minorHAnsi" w:cstheme="minorBidi"/>
          <w:sz w:val="22"/>
          <w:szCs w:val="22"/>
          <w:lang w:eastAsia="en-US"/>
        </w:rPr>
      </w:pPr>
    </w:p>
    <w:p w:rsidR="00E95C2B" w:rsidRPr="00A631DE" w:rsidRDefault="00E95C2B">
      <w:pPr>
        <w:pStyle w:val="Normal12a"/>
      </w:pPr>
    </w:p>
    <w:p w:rsidR="0069647F" w:rsidRPr="00A631DE" w:rsidRDefault="0069647F" w:rsidP="0069647F"/>
    <w:sectPr w:rsidR="0069647F" w:rsidRPr="00A631DE" w:rsidSect="002E5ABC">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134" w:right="1418" w:bottom="1418" w:left="1418" w:header="1134"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A50" w:rsidRPr="000B3A50" w:rsidRDefault="000B3A50">
      <w:r w:rsidRPr="000B3A50">
        <w:separator/>
      </w:r>
    </w:p>
  </w:endnote>
  <w:endnote w:type="continuationSeparator" w:id="0">
    <w:p w:rsidR="000B3A50" w:rsidRPr="000B3A50" w:rsidRDefault="000B3A50">
      <w:r w:rsidRPr="000B3A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DokChampa">
    <w:altName w:val="Leelawadee UI"/>
    <w:charset w:val="DE"/>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2B" w:rsidRPr="000B3A50" w:rsidRDefault="00CE3D6F" w:rsidP="009A3FD8">
    <w:pPr>
      <w:pStyle w:val="EPFooter"/>
    </w:pPr>
    <w:r w:rsidRPr="000B3A50">
      <w:t>PE</w:t>
    </w:r>
    <w:r w:rsidR="00E95C2B" w:rsidRPr="000B3A50">
      <w:rPr>
        <w:rStyle w:val="HideTWBExt"/>
        <w:noProof w:val="0"/>
      </w:rPr>
      <w:t>&lt;NoPE&gt;</w:t>
    </w:r>
    <w:r w:rsidR="0074470F" w:rsidRPr="0074470F">
      <w:t>692.872</w:t>
    </w:r>
    <w:r w:rsidR="00E95C2B" w:rsidRPr="000B3A50">
      <w:rPr>
        <w:rStyle w:val="HideTWBExt"/>
        <w:noProof w:val="0"/>
      </w:rPr>
      <w:t>&lt;/NoPE&gt;&lt;Version&gt;</w:t>
    </w:r>
    <w:r w:rsidR="000B3A50" w:rsidRPr="000B3A50">
      <w:t>v</w:t>
    </w:r>
    <w:r w:rsidR="0074470F" w:rsidRPr="0074470F">
      <w:t>01-00</w:t>
    </w:r>
    <w:r w:rsidR="00E95C2B" w:rsidRPr="000B3A50">
      <w:rPr>
        <w:rStyle w:val="HideTWBExt"/>
        <w:noProof w:val="0"/>
      </w:rPr>
      <w:t>&lt;/Version&gt;</w:t>
    </w:r>
    <w:r w:rsidR="00E95C2B" w:rsidRPr="000B3A50">
      <w:tab/>
    </w:r>
    <w:r w:rsidR="0069647F" w:rsidRPr="000B3A50">
      <w:fldChar w:fldCharType="begin"/>
    </w:r>
    <w:r w:rsidR="0069647F" w:rsidRPr="000B3A50">
      <w:instrText xml:space="preserve"> PAGE </w:instrText>
    </w:r>
    <w:r w:rsidR="0069647F" w:rsidRPr="000B3A50">
      <w:fldChar w:fldCharType="separate"/>
    </w:r>
    <w:r w:rsidR="00A631DE">
      <w:rPr>
        <w:noProof/>
      </w:rPr>
      <w:t>10</w:t>
    </w:r>
    <w:r w:rsidR="0069647F" w:rsidRPr="000B3A50">
      <w:fldChar w:fldCharType="end"/>
    </w:r>
    <w:r w:rsidR="0069647F" w:rsidRPr="000B3A50">
      <w:t>/</w:t>
    </w:r>
    <w:fldSimple w:instr=" NUMPAGES ">
      <w:r w:rsidR="00A631DE">
        <w:rPr>
          <w:noProof/>
        </w:rPr>
        <w:t>10</w:t>
      </w:r>
    </w:fldSimple>
    <w:r w:rsidR="00E95C2B" w:rsidRPr="000B3A50">
      <w:tab/>
    </w:r>
    <w:r w:rsidR="00E95C2B" w:rsidRPr="000B3A50">
      <w:rPr>
        <w:rStyle w:val="HideTWBExt"/>
        <w:noProof w:val="0"/>
      </w:rPr>
      <w:t>&lt;PathFdR&gt;</w:t>
    </w:r>
    <w:r w:rsidR="0074470F" w:rsidRPr="0074470F">
      <w:t>DT\1231769EN.docx</w:t>
    </w:r>
    <w:r w:rsidR="00E95C2B" w:rsidRPr="000B3A50">
      <w:rPr>
        <w:rStyle w:val="HideTWBExt"/>
        <w:noProof w:val="0"/>
      </w:rPr>
      <w:t>&lt;/PathFdR&gt;</w:t>
    </w:r>
  </w:p>
  <w:p w:rsidR="00E95C2B" w:rsidRPr="000B3A50" w:rsidRDefault="00464BF7">
    <w:pPr>
      <w:pStyle w:val="EPFooter2"/>
    </w:pPr>
    <w:fldSimple w:instr=" DOCPROPERTY &quot;&lt;Extension&gt;&quot; ">
      <w:r w:rsidR="00A631DE">
        <w:t>EN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2B" w:rsidRPr="000B3A50" w:rsidRDefault="00E95C2B" w:rsidP="009A3FD8">
    <w:pPr>
      <w:pStyle w:val="EPFooter"/>
    </w:pPr>
    <w:r w:rsidRPr="000B3A50">
      <w:rPr>
        <w:rStyle w:val="HideTWBExt"/>
        <w:noProof w:val="0"/>
      </w:rPr>
      <w:t>&lt;PathFdR&gt;</w:t>
    </w:r>
    <w:r w:rsidR="0074470F" w:rsidRPr="0074470F">
      <w:t>DT\1231769EN.docx</w:t>
    </w:r>
    <w:r w:rsidRPr="000B3A50">
      <w:rPr>
        <w:rStyle w:val="HideTWBExt"/>
        <w:noProof w:val="0"/>
      </w:rPr>
      <w:t>&lt;/PathFdR&gt;</w:t>
    </w:r>
    <w:r w:rsidRPr="000B3A50">
      <w:tab/>
    </w:r>
    <w:r w:rsidR="0069647F" w:rsidRPr="000B3A50">
      <w:fldChar w:fldCharType="begin"/>
    </w:r>
    <w:r w:rsidR="0069647F" w:rsidRPr="000B3A50">
      <w:instrText xml:space="preserve"> PAGE </w:instrText>
    </w:r>
    <w:r w:rsidR="0069647F" w:rsidRPr="000B3A50">
      <w:fldChar w:fldCharType="separate"/>
    </w:r>
    <w:r w:rsidR="00A631DE">
      <w:rPr>
        <w:noProof/>
      </w:rPr>
      <w:t>10</w:t>
    </w:r>
    <w:r w:rsidR="0069647F" w:rsidRPr="000B3A50">
      <w:fldChar w:fldCharType="end"/>
    </w:r>
    <w:r w:rsidR="0069647F" w:rsidRPr="000B3A50">
      <w:t>/</w:t>
    </w:r>
    <w:fldSimple w:instr=" NUMPAGES ">
      <w:r w:rsidR="00A631DE">
        <w:rPr>
          <w:noProof/>
        </w:rPr>
        <w:t>10</w:t>
      </w:r>
    </w:fldSimple>
    <w:r w:rsidRPr="000B3A50">
      <w:tab/>
    </w:r>
    <w:r w:rsidR="00CE3D6F" w:rsidRPr="000B3A50">
      <w:t>PE</w:t>
    </w:r>
    <w:r w:rsidRPr="000B3A50">
      <w:rPr>
        <w:rStyle w:val="HideTWBExt"/>
        <w:noProof w:val="0"/>
      </w:rPr>
      <w:t>&lt;NoPE&gt;</w:t>
    </w:r>
    <w:r w:rsidR="0074470F" w:rsidRPr="0074470F">
      <w:t>692.872</w:t>
    </w:r>
    <w:r w:rsidRPr="000B3A50">
      <w:rPr>
        <w:rStyle w:val="HideTWBExt"/>
        <w:noProof w:val="0"/>
      </w:rPr>
      <w:t>&lt;/NoPE&gt;&lt;Version&gt;</w:t>
    </w:r>
    <w:r w:rsidR="000B3A50" w:rsidRPr="000B3A50">
      <w:t>v</w:t>
    </w:r>
    <w:r w:rsidR="0074470F" w:rsidRPr="0074470F">
      <w:t>01-00</w:t>
    </w:r>
    <w:r w:rsidRPr="000B3A50">
      <w:rPr>
        <w:rStyle w:val="HideTWBExt"/>
        <w:noProof w:val="0"/>
      </w:rPr>
      <w:t>&lt;/Version&gt;</w:t>
    </w:r>
  </w:p>
  <w:p w:rsidR="00E95C2B" w:rsidRPr="000B3A50" w:rsidRDefault="0069647F">
    <w:pPr>
      <w:pStyle w:val="EPFooter2"/>
    </w:pPr>
    <w:r w:rsidRPr="000B3A50">
      <w:tab/>
    </w:r>
    <w:r w:rsidR="00E95C2B" w:rsidRPr="000B3A50">
      <w:tab/>
    </w:r>
    <w:fldSimple w:instr=" DOCPROPERTY &quot;&lt;Extension&gt;&quot; ">
      <w:r w:rsidR="00A631DE">
        <w:t>EN</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2B" w:rsidRPr="000B3A50" w:rsidRDefault="00E95C2B" w:rsidP="009A3FD8">
    <w:pPr>
      <w:pStyle w:val="EPFooter"/>
    </w:pPr>
    <w:r w:rsidRPr="000B3A50">
      <w:rPr>
        <w:rStyle w:val="HideTWBExt"/>
        <w:noProof w:val="0"/>
      </w:rPr>
      <w:t>&lt;PathFdR&gt;</w:t>
    </w:r>
    <w:r w:rsidR="0074470F" w:rsidRPr="0074470F">
      <w:t>DT\1231769EN.docx</w:t>
    </w:r>
    <w:r w:rsidRPr="000B3A50">
      <w:rPr>
        <w:rStyle w:val="HideTWBExt"/>
        <w:noProof w:val="0"/>
      </w:rPr>
      <w:t>&lt;/PathFdR&gt;</w:t>
    </w:r>
    <w:r w:rsidRPr="000B3A50">
      <w:tab/>
    </w:r>
    <w:r w:rsidRPr="000B3A50">
      <w:tab/>
    </w:r>
    <w:r w:rsidR="00CE3D6F" w:rsidRPr="000B3A50">
      <w:t>PE</w:t>
    </w:r>
    <w:r w:rsidRPr="000B3A50">
      <w:rPr>
        <w:rStyle w:val="HideTWBExt"/>
        <w:noProof w:val="0"/>
      </w:rPr>
      <w:t>&lt;NoPE&gt;</w:t>
    </w:r>
    <w:r w:rsidR="0074470F" w:rsidRPr="0074470F">
      <w:t>692.872</w:t>
    </w:r>
    <w:r w:rsidRPr="000B3A50">
      <w:rPr>
        <w:rStyle w:val="HideTWBExt"/>
        <w:noProof w:val="0"/>
      </w:rPr>
      <w:t>&lt;/NoPE&gt;&lt;Version&gt;</w:t>
    </w:r>
    <w:r w:rsidR="000B3A50" w:rsidRPr="000B3A50">
      <w:t>v</w:t>
    </w:r>
    <w:r w:rsidR="0074470F" w:rsidRPr="0074470F">
      <w:t>01-00</w:t>
    </w:r>
    <w:r w:rsidRPr="000B3A50">
      <w:rPr>
        <w:rStyle w:val="HideTWBExt"/>
        <w:noProof w:val="0"/>
      </w:rPr>
      <w:t>&lt;/Version&gt;</w:t>
    </w:r>
  </w:p>
  <w:p w:rsidR="00E95C2B" w:rsidRPr="000B3A50" w:rsidRDefault="00464BF7" w:rsidP="00C815D0">
    <w:pPr>
      <w:pStyle w:val="EPFooter2"/>
      <w:tabs>
        <w:tab w:val="clear" w:pos="4535"/>
        <w:tab w:val="center" w:pos="4536"/>
      </w:tabs>
    </w:pPr>
    <w:fldSimple w:instr=" DOCPROPERTY &quot;&lt;Extension&gt;&quot; ">
      <w:r w:rsidR="00A631DE">
        <w:t>EN</w:t>
      </w:r>
    </w:fldSimple>
    <w:r w:rsidR="00C815D0" w:rsidRPr="000B3A50">
      <w:tab/>
    </w:r>
    <w:r w:rsidR="0074470F">
      <w:rPr>
        <w:b w:val="0"/>
        <w:i/>
        <w:color w:val="C0C0C0"/>
        <w:sz w:val="22"/>
        <w:szCs w:val="22"/>
      </w:rPr>
      <w:t>United in diversity</w:t>
    </w:r>
    <w:r w:rsidR="00C815D0" w:rsidRPr="000B3A50">
      <w:tab/>
    </w:r>
    <w:fldSimple w:instr=" DOCPROPERTY &quot;&lt;Extension&gt;&quot; ">
      <w:r w:rsidR="00A631DE">
        <w:t>EN</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A50" w:rsidRPr="000B3A50" w:rsidRDefault="000B3A50">
      <w:r w:rsidRPr="000B3A50">
        <w:separator/>
      </w:r>
    </w:p>
  </w:footnote>
  <w:footnote w:type="continuationSeparator" w:id="0">
    <w:p w:rsidR="000B3A50" w:rsidRPr="000B3A50" w:rsidRDefault="000B3A50">
      <w:r w:rsidRPr="000B3A50">
        <w:continuationSeparator/>
      </w:r>
    </w:p>
  </w:footnote>
  <w:footnote w:id="1">
    <w:p w:rsidR="0074470F" w:rsidRDefault="0074470F" w:rsidP="0074470F">
      <w:pPr>
        <w:pStyle w:val="FootnoteText"/>
      </w:pPr>
      <w:r>
        <w:rPr>
          <w:rStyle w:val="FootnoteReference"/>
        </w:rPr>
        <w:footnoteRef/>
      </w:r>
      <w:r>
        <w:t xml:space="preserve"> </w:t>
      </w:r>
      <w:hyperlink r:id="rId1" w:history="1">
        <w:r>
          <w:rPr>
            <w:rStyle w:val="Hyperlink"/>
          </w:rPr>
          <w:t>https://ec.europa.eu/taxation_customs/general-information-customs/eu-customs-strategy_en</w:t>
        </w:r>
      </w:hyperlink>
      <w:r>
        <w:t xml:space="preserve"> </w:t>
      </w:r>
    </w:p>
  </w:footnote>
  <w:footnote w:id="2">
    <w:p w:rsidR="0074470F" w:rsidRDefault="0074470F" w:rsidP="0074470F">
      <w:pPr>
        <w:pStyle w:val="FootnoteText"/>
      </w:pPr>
      <w:r>
        <w:rPr>
          <w:rStyle w:val="FootnoteReference"/>
        </w:rPr>
        <w:footnoteRef/>
      </w:r>
      <w:r>
        <w:t xml:space="preserve"> </w:t>
      </w:r>
      <w:hyperlink r:id="rId2" w:history="1">
        <w:r>
          <w:rPr>
            <w:rStyle w:val="Hyperlink"/>
          </w:rPr>
          <w:t>https://ec.europa.eu/taxation_customs/business/customs-controls/general_en</w:t>
        </w:r>
      </w:hyperlink>
      <w:r>
        <w:t xml:space="preserve"> </w:t>
      </w:r>
    </w:p>
  </w:footnote>
  <w:footnote w:id="3">
    <w:p w:rsidR="0074470F" w:rsidRDefault="0074470F" w:rsidP="0074470F">
      <w:pPr>
        <w:pStyle w:val="FootnoteText"/>
      </w:pPr>
      <w:r>
        <w:rPr>
          <w:rStyle w:val="FootnoteReference"/>
        </w:rPr>
        <w:footnoteRef/>
      </w:r>
      <w:r>
        <w:t xml:space="preserve"> </w:t>
      </w:r>
      <w:hyperlink r:id="rId3" w:history="1">
        <w:r>
          <w:rPr>
            <w:rStyle w:val="Hyperlink"/>
          </w:rPr>
          <w:t>https://ec.europa.eu/taxation_customs/sites/taxation/files/facts_figures_en.pdf</w:t>
        </w:r>
      </w:hyperlink>
    </w:p>
  </w:footnote>
  <w:footnote w:id="4">
    <w:p w:rsidR="00464BF7" w:rsidRDefault="00464BF7">
      <w:pPr>
        <w:pStyle w:val="FootnoteText"/>
      </w:pPr>
      <w:r>
        <w:rPr>
          <w:rStyle w:val="FootnoteReference"/>
        </w:rPr>
        <w:footnoteRef/>
      </w:r>
      <w:r>
        <w:t xml:space="preserve"> </w:t>
      </w:r>
      <w:r w:rsidRPr="00464BF7">
        <w:t>1 trillion = 1 x 10¹².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0F" w:rsidRDefault="00744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0F" w:rsidRDefault="00744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0F" w:rsidRDefault="00744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22A8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0EE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B40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525D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3091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26A2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C9A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120C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AA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4278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D79C2"/>
    <w:multiLevelType w:val="hybridMultilevel"/>
    <w:tmpl w:val="BC22E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506900"/>
    <w:multiLevelType w:val="hybridMultilevel"/>
    <w:tmpl w:val="C0FC0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A524A8"/>
    <w:multiLevelType w:val="multilevel"/>
    <w:tmpl w:val="09C2A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444CA"/>
    <w:multiLevelType w:val="hybridMultilevel"/>
    <w:tmpl w:val="64581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4363A7"/>
    <w:multiLevelType w:val="multilevel"/>
    <w:tmpl w:val="B7D4D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A53B99"/>
    <w:multiLevelType w:val="hybridMultilevel"/>
    <w:tmpl w:val="4732C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283E48"/>
    <w:multiLevelType w:val="hybridMultilevel"/>
    <w:tmpl w:val="2B28F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D4422B3"/>
    <w:multiLevelType w:val="hybridMultilevel"/>
    <w:tmpl w:val="E0AA6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DFE48B7"/>
    <w:multiLevelType w:val="hybridMultilevel"/>
    <w:tmpl w:val="D3F60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4"/>
  </w:num>
  <w:num w:numId="42">
    <w:abstractNumId w:val="12"/>
  </w:num>
  <w:num w:numId="43">
    <w:abstractNumId w:val="11"/>
  </w:num>
  <w:num w:numId="44">
    <w:abstractNumId w:val="17"/>
  </w:num>
  <w:num w:numId="45">
    <w:abstractNumId w:val="15"/>
  </w:num>
  <w:num w:numId="46">
    <w:abstractNumId w:val="13"/>
  </w:num>
  <w:num w:numId="47">
    <w:abstractNumId w:val="10"/>
  </w:num>
  <w:num w:numId="48">
    <w:abstractNumId w:val="18"/>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MNU" w:val=" 1"/>
    <w:docVar w:name="COMKEY" w:val="CONT"/>
    <w:docVar w:name="LastEditedSection" w:val=" 1"/>
    <w:docVar w:name="strDocTypeID" w:val="DT"/>
    <w:docVar w:name="strSubDir" w:val="1231"/>
    <w:docVar w:name="TXTLANGUE" w:val="EN"/>
    <w:docVar w:name="TXTLANGUEMIN" w:val="en"/>
    <w:docVar w:name="TXTNRPE" w:val="692.872"/>
    <w:docVar w:name="TXTPEorAP" w:val="PE"/>
    <w:docVar w:name="TXTROUTE" w:val="DT\1231769EN.docx"/>
    <w:docVar w:name="TXTTITLE" w:val="ECA Special Report 04/2021: Customs controls: insufficient harmonisation hampers EU financial interests"/>
    <w:docVar w:name="TXTVERSION" w:val="01-00"/>
  </w:docVars>
  <w:rsids>
    <w:rsidRoot w:val="000B3A50"/>
    <w:rsid w:val="00032638"/>
    <w:rsid w:val="00073A59"/>
    <w:rsid w:val="0007415E"/>
    <w:rsid w:val="000B3A50"/>
    <w:rsid w:val="00114261"/>
    <w:rsid w:val="00122ADA"/>
    <w:rsid w:val="00161AF7"/>
    <w:rsid w:val="0017789C"/>
    <w:rsid w:val="001B00C9"/>
    <w:rsid w:val="001F6102"/>
    <w:rsid w:val="00202489"/>
    <w:rsid w:val="002051D5"/>
    <w:rsid w:val="00231414"/>
    <w:rsid w:val="002E5ABC"/>
    <w:rsid w:val="0034458D"/>
    <w:rsid w:val="00394A92"/>
    <w:rsid w:val="00453B3D"/>
    <w:rsid w:val="00464BF7"/>
    <w:rsid w:val="00556A6A"/>
    <w:rsid w:val="005B45C1"/>
    <w:rsid w:val="00622945"/>
    <w:rsid w:val="0069647F"/>
    <w:rsid w:val="006F2813"/>
    <w:rsid w:val="0074470F"/>
    <w:rsid w:val="007C3AD2"/>
    <w:rsid w:val="0082308F"/>
    <w:rsid w:val="00885958"/>
    <w:rsid w:val="0092328A"/>
    <w:rsid w:val="009338B0"/>
    <w:rsid w:val="009A3FD8"/>
    <w:rsid w:val="00A234E0"/>
    <w:rsid w:val="00A47613"/>
    <w:rsid w:val="00A47BE9"/>
    <w:rsid w:val="00A631DE"/>
    <w:rsid w:val="00C067AE"/>
    <w:rsid w:val="00C815D0"/>
    <w:rsid w:val="00C90201"/>
    <w:rsid w:val="00CE3D6F"/>
    <w:rsid w:val="00CF406E"/>
    <w:rsid w:val="00D30181"/>
    <w:rsid w:val="00D4186C"/>
    <w:rsid w:val="00DB015A"/>
    <w:rsid w:val="00E95C2B"/>
    <w:rsid w:val="00EA693B"/>
    <w:rsid w:val="00F62195"/>
    <w:rsid w:val="00F828AE"/>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2BEA4D"/>
  <w15:chartTrackingRefBased/>
  <w15:docId w15:val="{BDE5B2F5-F4D2-4318-81DB-31857E2A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semiHidden="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08F"/>
    <w:pPr>
      <w:widowControl w:val="0"/>
    </w:pPr>
    <w:rPr>
      <w:sz w:val="24"/>
    </w:rPr>
  </w:style>
  <w:style w:type="paragraph" w:styleId="Heading1">
    <w:name w:val="heading 1"/>
    <w:basedOn w:val="Normal"/>
    <w:next w:val="Normal"/>
    <w:semiHidden/>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qFormat/>
    <w:pPr>
      <w:keepNext/>
      <w:spacing w:before="240" w:after="60"/>
      <w:outlineLvl w:val="1"/>
    </w:pPr>
    <w:rPr>
      <w:rFonts w:ascii="Arial" w:hAnsi="Arial"/>
      <w:b/>
      <w:i/>
    </w:rPr>
  </w:style>
  <w:style w:type="paragraph" w:styleId="Heading3">
    <w:name w:val="heading 3"/>
    <w:basedOn w:val="Normal"/>
    <w:next w:val="Normal"/>
    <w:semiHidden/>
    <w:qFormat/>
    <w:pPr>
      <w:keepNext/>
      <w:spacing w:before="240" w:after="60"/>
      <w:outlineLvl w:val="2"/>
    </w:pPr>
    <w:rPr>
      <w:rFonts w:ascii="Arial" w:hAnsi="Arial"/>
    </w:rPr>
  </w:style>
  <w:style w:type="paragraph" w:styleId="Heading4">
    <w:name w:val="heading 4"/>
    <w:basedOn w:val="Normal"/>
    <w:next w:val="Normal"/>
    <w:semiHidden/>
    <w:qFormat/>
    <w:pPr>
      <w:keepNext/>
      <w:spacing w:before="240" w:after="60"/>
      <w:outlineLvl w:val="3"/>
    </w:pPr>
    <w:rPr>
      <w:rFonts w:ascii="Arial" w:hAnsi="Arial"/>
      <w:b/>
    </w:rPr>
  </w:style>
  <w:style w:type="paragraph" w:styleId="Heading5">
    <w:name w:val="heading 5"/>
    <w:basedOn w:val="Normal"/>
    <w:next w:val="Normal"/>
    <w:semiHidden/>
    <w:qFormat/>
    <w:pPr>
      <w:spacing w:before="240" w:after="60"/>
      <w:outlineLvl w:val="4"/>
    </w:pPr>
    <w:rPr>
      <w:sz w:val="22"/>
    </w:rPr>
  </w:style>
  <w:style w:type="paragraph" w:styleId="Heading6">
    <w:name w:val="heading 6"/>
    <w:basedOn w:val="Normal"/>
    <w:next w:val="Normal"/>
    <w:semiHidden/>
    <w:qFormat/>
    <w:pPr>
      <w:spacing w:before="240" w:after="60"/>
      <w:outlineLvl w:val="5"/>
    </w:pPr>
    <w:rPr>
      <w:i/>
      <w:sz w:val="22"/>
    </w:rPr>
  </w:style>
  <w:style w:type="paragraph" w:styleId="Heading7">
    <w:name w:val="heading 7"/>
    <w:basedOn w:val="Normal"/>
    <w:next w:val="Normal"/>
    <w:semiHidden/>
    <w:qFormat/>
    <w:pPr>
      <w:spacing w:before="240" w:after="60"/>
      <w:outlineLvl w:val="6"/>
    </w:pPr>
    <w:rPr>
      <w:rFonts w:ascii="Arial" w:hAnsi="Arial"/>
    </w:rPr>
  </w:style>
  <w:style w:type="paragraph" w:styleId="Heading8">
    <w:name w:val="heading 8"/>
    <w:basedOn w:val="Normal"/>
    <w:next w:val="Normal"/>
    <w:semiHidden/>
    <w:qFormat/>
    <w:pPr>
      <w:spacing w:before="240" w:after="60"/>
      <w:outlineLvl w:val="7"/>
    </w:pPr>
    <w:rPr>
      <w:rFonts w:ascii="Arial" w:hAnsi="Arial"/>
      <w:i/>
    </w:rPr>
  </w:style>
  <w:style w:type="paragraph" w:styleId="Heading9">
    <w:name w:val="heading 9"/>
    <w:basedOn w:val="Normal"/>
    <w:next w:val="Normal"/>
    <w:semiHidden/>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deTWBExt">
    <w:name w:val="HideTWBExt"/>
    <w:rPr>
      <w:rFonts w:ascii="Arial" w:hAnsi="Arial"/>
      <w:noProof/>
      <w:vanish/>
      <w:color w:val="000080"/>
      <w:sz w:val="20"/>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z w:val="48"/>
    </w:rPr>
  </w:style>
  <w:style w:type="paragraph" w:customStyle="1" w:styleId="Normal12a">
    <w:name w:val="Normal12a"/>
    <w:basedOn w:val="Normal"/>
    <w:pPr>
      <w:spacing w:after="240"/>
    </w:pPr>
  </w:style>
  <w:style w:type="paragraph" w:styleId="TOC1">
    <w:name w:val="toc 1"/>
    <w:basedOn w:val="Normal12a"/>
    <w:next w:val="Normal12a"/>
    <w:autoRedefine/>
    <w:semiHidden/>
  </w:style>
  <w:style w:type="paragraph" w:styleId="TOCHeading">
    <w:name w:val="TOC Heading"/>
    <w:basedOn w:val="Normal"/>
    <w:next w:val="Normal"/>
    <w:semiHidden/>
    <w:qFormat/>
    <w:pPr>
      <w:keepNext/>
      <w:spacing w:before="240" w:after="240"/>
      <w:jc w:val="center"/>
    </w:pPr>
    <w:rPr>
      <w:rFonts w:ascii="Arial" w:hAnsi="Arial"/>
      <w:b/>
    </w:rPr>
  </w:style>
  <w:style w:type="character" w:customStyle="1" w:styleId="HideTWBInt">
    <w:name w:val="HideTWBInt"/>
    <w:rPr>
      <w:rFonts w:ascii="Arial" w:hAnsi="Arial" w:cs="Arial"/>
      <w:vanish/>
      <w:color w:val="808080"/>
      <w:sz w:val="20"/>
    </w:rPr>
  </w:style>
  <w:style w:type="paragraph" w:customStyle="1" w:styleId="EPName">
    <w:name w:val="EPName"/>
    <w:basedOn w:val="Normal"/>
    <w:rsid w:val="001B00C9"/>
    <w:pPr>
      <w:spacing w:before="80" w:after="80"/>
    </w:pPr>
    <w:rPr>
      <w:rFonts w:ascii="Arial Narrow" w:hAnsi="Arial Narrow" w:cs="Arial"/>
      <w:b/>
      <w:sz w:val="32"/>
      <w:szCs w:val="22"/>
    </w:rPr>
  </w:style>
  <w:style w:type="paragraph" w:customStyle="1" w:styleId="CoverNormal24a">
    <w:name w:val="CoverNormal24a"/>
    <w:basedOn w:val="Normal"/>
    <w:rsid w:val="00DB015A"/>
    <w:pPr>
      <w:spacing w:after="480"/>
      <w:ind w:left="1417"/>
    </w:pPr>
  </w:style>
  <w:style w:type="paragraph" w:customStyle="1" w:styleId="CoverDocType24a">
    <w:name w:val="CoverDocType24a"/>
    <w:basedOn w:val="Normal"/>
    <w:rsid w:val="009A3FD8"/>
    <w:pPr>
      <w:spacing w:after="480"/>
      <w:ind w:left="1418"/>
    </w:pPr>
    <w:rPr>
      <w:rFonts w:ascii="Arial" w:hAnsi="Arial"/>
      <w:b/>
      <w:sz w:val="48"/>
    </w:rPr>
  </w:style>
  <w:style w:type="paragraph" w:customStyle="1" w:styleId="CoverDateNoRef">
    <w:name w:val="CoverDateNoRef"/>
    <w:basedOn w:val="Normal"/>
    <w:rsid w:val="0092328A"/>
    <w:pPr>
      <w:spacing w:before="1560" w:after="1200"/>
    </w:pPr>
  </w:style>
  <w:style w:type="paragraph" w:styleId="Header">
    <w:name w:val="header"/>
    <w:basedOn w:val="Normal"/>
    <w:link w:val="HeaderChar"/>
    <w:semiHidden/>
    <w:rsid w:val="00202489"/>
    <w:pPr>
      <w:tabs>
        <w:tab w:val="center" w:pos="4513"/>
        <w:tab w:val="right" w:pos="9026"/>
      </w:tabs>
    </w:pPr>
  </w:style>
  <w:style w:type="table" w:styleId="TableGrid">
    <w:name w:val="Table Grid"/>
    <w:basedOn w:val="TableNormal"/>
    <w:uiPriority w:val="39"/>
    <w:rsid w:val="00C8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C815D0"/>
    <w:pPr>
      <w:jc w:val="center"/>
    </w:pPr>
    <w:rPr>
      <w:rFonts w:ascii="Arial" w:hAnsi="Arial" w:cs="Arial"/>
      <w:i/>
      <w:sz w:val="22"/>
      <w:szCs w:val="22"/>
    </w:rPr>
  </w:style>
  <w:style w:type="paragraph" w:customStyle="1" w:styleId="LineTop">
    <w:name w:val="LineTop"/>
    <w:basedOn w:val="Normal"/>
    <w:next w:val="Normal"/>
    <w:rsid w:val="00C815D0"/>
    <w:pPr>
      <w:pBdr>
        <w:top w:val="single" w:sz="4" w:space="1" w:color="auto"/>
      </w:pBdr>
      <w:jc w:val="center"/>
    </w:pPr>
    <w:rPr>
      <w:rFonts w:ascii="Arial" w:hAnsi="Arial" w:cs="Arial"/>
      <w:sz w:val="16"/>
      <w:szCs w:val="16"/>
    </w:rPr>
  </w:style>
  <w:style w:type="paragraph" w:customStyle="1" w:styleId="LineBottom">
    <w:name w:val="LineBottom"/>
    <w:basedOn w:val="Normal"/>
    <w:next w:val="Normal"/>
    <w:rsid w:val="0092328A"/>
    <w:pPr>
      <w:pBdr>
        <w:bottom w:val="single" w:sz="4" w:space="1" w:color="auto"/>
      </w:pBdr>
      <w:spacing w:after="240"/>
      <w:jc w:val="center"/>
    </w:pPr>
    <w:rPr>
      <w:rFonts w:ascii="Arial" w:hAnsi="Arial" w:cs="Arial"/>
      <w:sz w:val="16"/>
      <w:szCs w:val="16"/>
    </w:rPr>
  </w:style>
  <w:style w:type="paragraph" w:customStyle="1" w:styleId="EPTerm">
    <w:name w:val="EPTerm"/>
    <w:basedOn w:val="Normal"/>
    <w:next w:val="Normal"/>
    <w:rsid w:val="001B00C9"/>
    <w:pPr>
      <w:spacing w:after="80"/>
    </w:pPr>
    <w:rPr>
      <w:rFonts w:ascii="Arial" w:hAnsi="Arial" w:cs="Arial"/>
      <w:sz w:val="20"/>
      <w:szCs w:val="22"/>
    </w:rPr>
  </w:style>
  <w:style w:type="paragraph" w:customStyle="1" w:styleId="EPLogo">
    <w:name w:val="EPLogo"/>
    <w:basedOn w:val="Normal"/>
    <w:qFormat/>
    <w:rsid w:val="001B00C9"/>
    <w:pPr>
      <w:jc w:val="right"/>
    </w:pPr>
  </w:style>
  <w:style w:type="paragraph" w:customStyle="1" w:styleId="EPFooter">
    <w:name w:val="EPFooter"/>
    <w:basedOn w:val="Normal"/>
    <w:rsid w:val="009A3FD8"/>
    <w:pPr>
      <w:tabs>
        <w:tab w:val="center" w:pos="4535"/>
        <w:tab w:val="right" w:pos="9071"/>
      </w:tabs>
      <w:spacing w:before="240" w:after="240"/>
    </w:pPr>
    <w:rPr>
      <w:sz w:val="22"/>
    </w:rPr>
  </w:style>
  <w:style w:type="character" w:customStyle="1" w:styleId="HeaderChar">
    <w:name w:val="Header Char"/>
    <w:basedOn w:val="DefaultParagraphFont"/>
    <w:link w:val="Header"/>
    <w:semiHidden/>
    <w:rsid w:val="00202489"/>
    <w:rPr>
      <w:sz w:val="24"/>
    </w:rPr>
  </w:style>
  <w:style w:type="character" w:customStyle="1" w:styleId="Heading2Char">
    <w:name w:val="Heading 2 Char"/>
    <w:basedOn w:val="DefaultParagraphFont"/>
    <w:link w:val="Heading2"/>
    <w:uiPriority w:val="9"/>
    <w:semiHidden/>
    <w:rsid w:val="0074470F"/>
    <w:rPr>
      <w:rFonts w:ascii="Arial" w:hAnsi="Arial"/>
      <w:b/>
      <w:i/>
      <w:sz w:val="24"/>
    </w:rPr>
  </w:style>
  <w:style w:type="character" w:styleId="Hyperlink">
    <w:name w:val="Hyperlink"/>
    <w:basedOn w:val="DefaultParagraphFont"/>
    <w:uiPriority w:val="99"/>
    <w:unhideWhenUsed/>
    <w:rsid w:val="0074470F"/>
    <w:rPr>
      <w:color w:val="0563C1" w:themeColor="hyperlink"/>
      <w:u w:val="single"/>
    </w:rPr>
  </w:style>
  <w:style w:type="paragraph" w:styleId="FootnoteText">
    <w:name w:val="footnote text"/>
    <w:basedOn w:val="Normal"/>
    <w:link w:val="FootnoteTextChar"/>
    <w:uiPriority w:val="99"/>
    <w:unhideWhenUsed/>
    <w:rsid w:val="0074470F"/>
    <w:pPr>
      <w:widowControl/>
    </w:pPr>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rsid w:val="0074470F"/>
    <w:rPr>
      <w:rFonts w:asciiTheme="minorHAnsi" w:eastAsiaTheme="minorHAnsi" w:hAnsiTheme="minorHAnsi" w:cstheme="minorBidi"/>
      <w:lang w:eastAsia="en-US"/>
    </w:rPr>
  </w:style>
  <w:style w:type="paragraph" w:styleId="ListParagraph">
    <w:name w:val="List Paragraph"/>
    <w:basedOn w:val="Normal"/>
    <w:uiPriority w:val="34"/>
    <w:qFormat/>
    <w:rsid w:val="0074470F"/>
    <w:pPr>
      <w:widowControl/>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74470F"/>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unhideWhenUsed/>
    <w:rsid w:val="0074470F"/>
    <w:rPr>
      <w:vertAlign w:val="superscript"/>
    </w:rPr>
  </w:style>
  <w:style w:type="paragraph" w:styleId="Footer">
    <w:name w:val="footer"/>
    <w:basedOn w:val="Normal"/>
    <w:link w:val="FooterChar"/>
    <w:semiHidden/>
    <w:rsid w:val="00F62195"/>
    <w:pPr>
      <w:tabs>
        <w:tab w:val="center" w:pos="4513"/>
        <w:tab w:val="right" w:pos="9026"/>
      </w:tabs>
    </w:pPr>
  </w:style>
  <w:style w:type="character" w:customStyle="1" w:styleId="FooterChar">
    <w:name w:val="Footer Char"/>
    <w:basedOn w:val="DefaultParagraphFont"/>
    <w:link w:val="Footer"/>
    <w:semiHidden/>
    <w:rsid w:val="00F6219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54322">
      <w:bodyDiv w:val="1"/>
      <w:marLeft w:val="0"/>
      <w:marRight w:val="0"/>
      <w:marTop w:val="0"/>
      <w:marBottom w:val="0"/>
      <w:divBdr>
        <w:top w:val="none" w:sz="0" w:space="0" w:color="auto"/>
        <w:left w:val="none" w:sz="0" w:space="0" w:color="auto"/>
        <w:bottom w:val="none" w:sz="0" w:space="0" w:color="auto"/>
        <w:right w:val="none" w:sz="0" w:space="0" w:color="auto"/>
      </w:divBdr>
    </w:div>
    <w:div w:id="16208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taxation_customs/business/customs-procedures/general-overview/economic-operators-registration-identification-number-eori_en"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axation_customs/sites/taxation/files/facts_figures_en.pdf" TargetMode="External"/><Relationship Id="rId2" Type="http://schemas.openxmlformats.org/officeDocument/2006/relationships/hyperlink" Target="https://ec.europa.eu/taxation_customs/business/customs-controls/general_en" TargetMode="External"/><Relationship Id="rId1" Type="http://schemas.openxmlformats.org/officeDocument/2006/relationships/hyperlink" Target="https://ec.europa.eu/taxation_customs/general-information-customs/eu-customs-strateg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1540A-CC0D-41B6-9228-A21A44B8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2130</Words>
  <Characters>11782</Characters>
  <Application>Microsoft Office Word</Application>
  <DocSecurity>0</DocSecurity>
  <Lines>274</Lines>
  <Paragraphs>128</Paragraphs>
  <ScaleCrop>false</ScaleCrop>
  <HeadingPairs>
    <vt:vector size="2" baseType="variant">
      <vt:variant>
        <vt:lpstr>Title</vt:lpstr>
      </vt:variant>
      <vt:variant>
        <vt:i4>1</vt:i4>
      </vt:variant>
    </vt:vector>
  </HeadingPairs>
  <TitlesOfParts>
    <vt:vector size="1" baseType="lpstr">
      <vt:lpstr>DT</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dc:title>
  <dc:subject/>
  <dc:creator>ARESU Anna</dc:creator>
  <cp:keywords/>
  <dc:description/>
  <cp:lastModifiedBy>VELCHEVA Kameliya</cp:lastModifiedBy>
  <cp:revision>2</cp:revision>
  <cp:lastPrinted>2004-11-28T15:15:00Z</cp:lastPrinted>
  <dcterms:created xsi:type="dcterms:W3CDTF">2021-05-19T09:06:00Z</dcterms:created>
  <dcterms:modified xsi:type="dcterms:W3CDTF">2021-05-19T09:06:00Z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Extension&gt;">
    <vt:lpwstr>EN</vt:lpwstr>
  </property>
  <property fmtid="{D5CDD505-2E9C-101B-9397-08002B2CF9AE}" pid="3" name="Created with">
    <vt:lpwstr>9.9.1 Build [20200705]</vt:lpwstr>
  </property>
  <property fmtid="{D5CDD505-2E9C-101B-9397-08002B2CF9AE}" pid="4" name="LastEdited with">
    <vt:lpwstr>9.9.1 Build [20200705]</vt:lpwstr>
  </property>
  <property fmtid="{D5CDD505-2E9C-101B-9397-08002B2CF9AE}" pid="5" name="&lt;FdR&gt;">
    <vt:lpwstr>1231769</vt:lpwstr>
  </property>
  <property fmtid="{D5CDD505-2E9C-101B-9397-08002B2CF9AE}" pid="6" name="&lt;Type&gt;">
    <vt:lpwstr>DT</vt:lpwstr>
  </property>
  <property fmtid="{D5CDD505-2E9C-101B-9397-08002B2CF9AE}" pid="7" name="&lt;ModelCod&gt;">
    <vt:lpwstr>\\eiciBRUpr1\pdocep$\DocEP\DOCS\General\DT\DT.dotx(17/04/2020 19:26:05)</vt:lpwstr>
  </property>
  <property fmtid="{D5CDD505-2E9C-101B-9397-08002B2CF9AE}" pid="8" name="&lt;ModelTra&gt;">
    <vt:lpwstr>\\eiciBRUpr1\pdocep$\DocEP\TRANSFIL\EN\DT.EN(22/03/2016 08:28:51)</vt:lpwstr>
  </property>
  <property fmtid="{D5CDD505-2E9C-101B-9397-08002B2CF9AE}" pid="9" name="&lt;Model&gt;">
    <vt:lpwstr>DT</vt:lpwstr>
  </property>
  <property fmtid="{D5CDD505-2E9C-101B-9397-08002B2CF9AE}" pid="10" name="FooterPath">
    <vt:lpwstr>DT\1231769EN.docx</vt:lpwstr>
  </property>
  <property fmtid="{D5CDD505-2E9C-101B-9397-08002B2CF9AE}" pid="11" name="PE number">
    <vt:lpwstr>692.872</vt:lpwstr>
  </property>
  <property fmtid="{D5CDD505-2E9C-101B-9397-08002B2CF9AE}" pid="12" name="SendToEpades">
    <vt:lpwstr>OK - 2021/05/19 11:06</vt:lpwstr>
  </property>
</Properties>
</file>