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223704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223704" w:rsidRDefault="00223704" w:rsidP="00C85D0F">
            <w:pPr>
              <w:pStyle w:val="EPName"/>
            </w:pPr>
            <w:bookmarkStart w:id="0" w:name="_GoBack"/>
            <w:bookmarkEnd w:id="0"/>
            <w:r>
              <w:t>Parlamento Europeu</w:t>
            </w:r>
          </w:p>
          <w:p w:rsidR="00854CAC" w:rsidRPr="008808C5" w:rsidRDefault="008808C5" w:rsidP="008808C5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223704" w:rsidRDefault="00854CAC" w:rsidP="00C85D0F">
            <w:pPr>
              <w:pStyle w:val="EPLogo"/>
            </w:pPr>
            <w:r w:rsidRPr="00223704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223704" w:rsidRDefault="001746D0" w:rsidP="001746D0">
      <w:pPr>
        <w:pStyle w:val="LineTop"/>
      </w:pPr>
    </w:p>
    <w:p w:rsidR="001746D0" w:rsidRPr="00223704" w:rsidRDefault="001746D0" w:rsidP="001746D0">
      <w:pPr>
        <w:pStyle w:val="EPBody"/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{CONT}</w:t>
      </w:r>
      <w:r>
        <w:t>Comissão do Controlo Orçamental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1746D0" w:rsidRPr="00223704" w:rsidRDefault="001746D0" w:rsidP="001746D0">
      <w:pPr>
        <w:pStyle w:val="LineBottom"/>
      </w:pPr>
    </w:p>
    <w:p w:rsidR="002E2F2E" w:rsidRPr="00223704" w:rsidRDefault="002E2F2E">
      <w:pPr>
        <w:pStyle w:val="CoverReference"/>
      </w:pPr>
      <w:r>
        <w:rPr>
          <w:rStyle w:val="HideTWBExt"/>
          <w:b w:val="0"/>
        </w:rPr>
        <w:t>&lt;RefProc&gt;</w:t>
      </w:r>
      <w:r>
        <w:t>2020/2133(INI)</w:t>
      </w:r>
      <w:r>
        <w:rPr>
          <w:rStyle w:val="HideTWBExt"/>
          <w:b w:val="0"/>
        </w:rPr>
        <w:t>&lt;/RefProc&gt;</w:t>
      </w:r>
    </w:p>
    <w:p w:rsidR="002E2F2E" w:rsidRPr="00223704" w:rsidRDefault="002E2F2E">
      <w:pPr>
        <w:pStyle w:val="CoverDate"/>
      </w:pPr>
      <w:r>
        <w:rPr>
          <w:rStyle w:val="HideTWBExt"/>
        </w:rPr>
        <w:t>&lt;Date&gt;</w:t>
      </w:r>
      <w:r>
        <w:rPr>
          <w:rStyle w:val="HideTWBInt"/>
        </w:rPr>
        <w:t>{18/12/2020}</w:t>
      </w:r>
      <w:r>
        <w:t>18.12.2020</w:t>
      </w:r>
      <w:r>
        <w:rPr>
          <w:rStyle w:val="HideTWBExt"/>
        </w:rPr>
        <w:t>&lt;/Date&gt;</w:t>
      </w:r>
    </w:p>
    <w:p w:rsidR="002E2F2E" w:rsidRPr="00223704" w:rsidRDefault="002E2F2E">
      <w:pPr>
        <w:pStyle w:val="CoverDocType24a"/>
      </w:pPr>
      <w:r>
        <w:rPr>
          <w:rStyle w:val="HideTWBExt"/>
          <w:b w:val="0"/>
        </w:rPr>
        <w:t>&lt;TitreType&gt;</w:t>
      </w:r>
      <w:r>
        <w:t>PROJETO DE PARECER</w:t>
      </w:r>
      <w:r>
        <w:rPr>
          <w:rStyle w:val="HideTWBExt"/>
          <w:b w:val="0"/>
        </w:rPr>
        <w:t>&lt;/TitreType&gt;</w:t>
      </w:r>
    </w:p>
    <w:p w:rsidR="002E2F2E" w:rsidRPr="00223704" w:rsidRDefault="002E2F2E">
      <w:pPr>
        <w:pStyle w:val="CoverNormal24a"/>
      </w:pPr>
      <w:r>
        <w:rPr>
          <w:rStyle w:val="HideTWBExt"/>
        </w:rPr>
        <w:t>&lt;CommissionResp&gt;</w:t>
      </w:r>
      <w:r>
        <w:t>da Comissão do Controlo Orçamental</w:t>
      </w:r>
      <w:r>
        <w:rPr>
          <w:rStyle w:val="HideTWBExt"/>
        </w:rPr>
        <w:t>&lt;/CommissionResp&gt;</w:t>
      </w:r>
    </w:p>
    <w:p w:rsidR="002E2F2E" w:rsidRPr="00223704" w:rsidRDefault="002E2F2E">
      <w:pPr>
        <w:pStyle w:val="CoverNormal24a"/>
      </w:pPr>
      <w:r>
        <w:rPr>
          <w:rStyle w:val="HideTWBExt"/>
        </w:rPr>
        <w:t>&lt;CommissionInt&gt;</w:t>
      </w:r>
      <w:r>
        <w:t>dirigido à Comissão dos Assuntos Constitucionais</w:t>
      </w:r>
      <w:r>
        <w:rPr>
          <w:rStyle w:val="HideTWBExt"/>
        </w:rPr>
        <w:t>&lt;/CommissionInt&gt;</w:t>
      </w:r>
    </w:p>
    <w:p w:rsidR="002E2F2E" w:rsidRPr="008808C5" w:rsidRDefault="002E2F2E">
      <w:pPr>
        <w:pStyle w:val="CoverNormal"/>
      </w:pPr>
      <w:r w:rsidRPr="0058237F">
        <w:rPr>
          <w:rStyle w:val="HideTWBExt"/>
        </w:rPr>
        <w:t>&lt;Titre&gt;</w:t>
      </w:r>
      <w:r>
        <w:t>sobre o reforço da transparência e da integridade nas instituições da UE através da criação de um organismo de ética independente da UE</w:t>
      </w:r>
      <w:r w:rsidRPr="0058237F">
        <w:rPr>
          <w:rStyle w:val="HideTWBExt"/>
        </w:rPr>
        <w:t>&lt;/Titre&gt;</w:t>
      </w:r>
    </w:p>
    <w:p w:rsidR="002E2F2E" w:rsidRPr="00223704" w:rsidRDefault="002E2F2E">
      <w:pPr>
        <w:pStyle w:val="CoverNormal24a"/>
      </w:pPr>
      <w:r>
        <w:rPr>
          <w:rStyle w:val="HideTWBExt"/>
        </w:rPr>
        <w:t>&lt;DocRef&gt;</w:t>
      </w:r>
      <w:r>
        <w:t>(2020/2133(INI))</w:t>
      </w:r>
      <w:r>
        <w:rPr>
          <w:rStyle w:val="HideTWBExt"/>
        </w:rPr>
        <w:t>&lt;/DocRef&gt;</w:t>
      </w:r>
    </w:p>
    <w:p w:rsidR="002E2F2E" w:rsidRPr="00223704" w:rsidRDefault="008808C5">
      <w:pPr>
        <w:pStyle w:val="CoverNormal24a"/>
      </w:pPr>
      <w:r>
        <w:t xml:space="preserve">Relator de parecer: </w:t>
      </w:r>
      <w:r>
        <w:rPr>
          <w:rStyle w:val="HideTWBExt"/>
        </w:rPr>
        <w:t>&lt;Depute&gt;</w:t>
      </w:r>
      <w:r>
        <w:t>Mikuláš Peksa</w:t>
      </w:r>
      <w:r>
        <w:rPr>
          <w:rStyle w:val="HideTWBExt"/>
        </w:rPr>
        <w:t>&lt;/Depute&gt;</w:t>
      </w:r>
    </w:p>
    <w:p w:rsidR="00A72C35" w:rsidRPr="00223704" w:rsidRDefault="00A72C35" w:rsidP="00A72C35">
      <w:pPr>
        <w:pStyle w:val="CoverNormal"/>
      </w:pPr>
    </w:p>
    <w:p w:rsidR="002E2F2E" w:rsidRPr="00223704" w:rsidRDefault="002E2F2E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223704" w:rsidRDefault="002E2F2E">
      <w:pPr>
        <w:pStyle w:val="PageHeadingNotTOC"/>
      </w:pPr>
      <w:r>
        <w:br w:type="page"/>
      </w:r>
      <w:r>
        <w:lastRenderedPageBreak/>
        <w:t>SUGESTÕES</w:t>
      </w:r>
    </w:p>
    <w:p w:rsidR="008808C5" w:rsidRPr="009B304E" w:rsidRDefault="00223704" w:rsidP="008808C5">
      <w:pPr>
        <w:pStyle w:val="Normal12a"/>
      </w:pPr>
      <w:r>
        <w:t>A Comissão do Controlo Orçamental insta a Comissão dos Assuntos Constitucionais, competente quanto à matéria de fundo, a incorporar as seguintes sugestões na proposta de resolução que aprovar:</w:t>
      </w:r>
    </w:p>
    <w:p w:rsidR="008808C5" w:rsidRPr="008808C5" w:rsidRDefault="008808C5" w:rsidP="008808C5">
      <w:pPr>
        <w:pStyle w:val="NormalHanging12a"/>
      </w:pPr>
      <w:r>
        <w:t>1.</w:t>
      </w:r>
      <w:r>
        <w:tab/>
        <w:t xml:space="preserve">Salienta que a transparência, a responsabilização e a integridade são componentes fundamentais para a promoção dos princípios éticos na UE e são essenciais para proteger o orçamento da UE contra a fraude e a corrupção e manter a legitimidade democrática; recorda que a corrupção tem graves consequências financeiras e constitui uma séria ameaça para a democracia, o Estado de direito e o investimento público; recorda que os conflitos de interesses podem prejudicar significativamente os interesses financeiros e os processos de tomada de decisão da UE, pelo que devem ser evitados e condenados; </w:t>
      </w:r>
    </w:p>
    <w:p w:rsidR="008808C5" w:rsidRPr="008808C5" w:rsidRDefault="008808C5" w:rsidP="008808C5">
      <w:pPr>
        <w:pStyle w:val="NormalHanging12a"/>
      </w:pPr>
      <w:r>
        <w:t>2.</w:t>
      </w:r>
      <w:r>
        <w:tab/>
        <w:t xml:space="preserve">Recorda que o Tribunal de Contas Europeu (TCE) identificou insuficiências graves a este respeito na sua auditoria de 2019 sobre os quadros de ética das instituições da UE, do que resulta que é necessário realizar melhorias através da harmonização, da sensibilização e do reforço das regras de ética da UE; partilha a preocupação do TCE relativa à ausência de um quadro ético comum da UE que regule o trabalho dos representantes dos Estados-Membros no Conselho; </w:t>
      </w:r>
    </w:p>
    <w:p w:rsidR="008808C5" w:rsidRPr="008808C5" w:rsidRDefault="008808C5" w:rsidP="008808C5">
      <w:pPr>
        <w:pStyle w:val="NormalHanging12a"/>
      </w:pPr>
      <w:r>
        <w:t>3.</w:t>
      </w:r>
      <w:r>
        <w:tab/>
        <w:t xml:space="preserve">Salienta que o nível elevado de fragmentação do quadro jurídico em matéria de ética e a falta de supervisão impediram a implementação correta dos códigos de conduta nas instituições da UE; considera que a atual abordagem de autorregulação não é adequada para os objetivos pretendidos e não pode garantir a integridade; sublinha a necessidade de reforçar a integridade das instituições da UE e de restabelecer a confiança do público; </w:t>
      </w:r>
    </w:p>
    <w:p w:rsidR="008808C5" w:rsidRPr="008808C5" w:rsidRDefault="008808C5" w:rsidP="008808C5">
      <w:pPr>
        <w:pStyle w:val="NormalHanging12a"/>
      </w:pPr>
      <w:r>
        <w:t>4.</w:t>
      </w:r>
      <w:r>
        <w:tab/>
        <w:t>Defende a criação de um organismo de ética independente (OEI) comum a todas as instituições da UE; congratula-se com o facto de a Comissão a ter tornado essa criação uma prioridade e estar empenhada em apoiar os esforços do OEI para estabelecer um quadro ético comum a nível da UE;</w:t>
      </w:r>
    </w:p>
    <w:p w:rsidR="008808C5" w:rsidRPr="008808C5" w:rsidRDefault="008808C5" w:rsidP="008808C5">
      <w:pPr>
        <w:pStyle w:val="NormalHanging12a"/>
      </w:pPr>
      <w:r>
        <w:t xml:space="preserve">5. </w:t>
      </w:r>
      <w:r>
        <w:tab/>
        <w:t>Considera que existe um potencial elevado para as instituições da UE transferirem competências administrativas em matéria de tomada de decisão para o OEI com base num novo quadro ético harmonizado que irá criar, que deve incluir regras comuns sobre a publicação de declarações de interesses, a prevenção de conflitos de interesses e de portas giratórias, a aceitação de prendas ou de entretenimento, a proteção dos denunciantes e das vítimas de assédio, a transparência das reuniões com grupos de pressão, os contratos públicos, os calendários de reuniões dos quadros superiores e a utilização de contas bancárias transparentes para os fundos públicos;</w:t>
      </w:r>
    </w:p>
    <w:p w:rsidR="008808C5" w:rsidRPr="008808C5" w:rsidRDefault="008808C5" w:rsidP="008808C5">
      <w:pPr>
        <w:pStyle w:val="NormalHanging12a"/>
      </w:pPr>
      <w:r>
        <w:t>6.</w:t>
      </w:r>
      <w:r>
        <w:tab/>
        <w:t>Acredita que a capacitação do OEI com as atuais funções éticas internas das instituições da UE concentrará conhecimentos especializados e criará sinergias melhorando, por conseguinte, a aplicação das regras de ética; considera que essa transferência de competências representará poupanças consideráveis para o orçamento da UE;</w:t>
      </w:r>
    </w:p>
    <w:p w:rsidR="008808C5" w:rsidRPr="008808C5" w:rsidRDefault="008808C5" w:rsidP="008808C5">
      <w:pPr>
        <w:pStyle w:val="NormalHanging12a"/>
      </w:pPr>
      <w:r>
        <w:lastRenderedPageBreak/>
        <w:t>7.</w:t>
      </w:r>
      <w:r>
        <w:tab/>
        <w:t xml:space="preserve">Sublinha que o OEI deve ser responsável pela prevenção, monitorização, investigação e aplicação do quadro ético para a proteção dos interesses financeiros da UE; salienta que o OEI deve poder adotar medidas disciplinares e impor sanções financeiras para evitar abusos do orçamento da UE relacionados com comportamentos não éticos; </w:t>
      </w:r>
    </w:p>
    <w:p w:rsidR="008808C5" w:rsidRPr="008808C5" w:rsidRDefault="008808C5" w:rsidP="008808C5">
      <w:pPr>
        <w:pStyle w:val="NormalHanging12a"/>
      </w:pPr>
      <w:r>
        <w:t>8.</w:t>
      </w:r>
      <w:r>
        <w:tab/>
        <w:t>Salienta que as tarefas transferidas para o OEI podem ir além das atualmente exercidas pelas instituições; solicita que o OEI avalie a aplicação das regras de ética pelas instituições da UE e publique um relatório anual com as suas conclusões;</w:t>
      </w:r>
    </w:p>
    <w:p w:rsidR="008808C5" w:rsidRPr="008808C5" w:rsidRDefault="008808C5" w:rsidP="008808C5">
      <w:pPr>
        <w:pStyle w:val="NormalHanging12a"/>
      </w:pPr>
      <w:r>
        <w:t>9.</w:t>
      </w:r>
      <w:r>
        <w:tab/>
        <w:t>Solicita que o OEI dê o exemplo em matéria de transparência, publicando todas as decisões</w:t>
      </w:r>
      <w:bookmarkStart w:id="1" w:name="_Hlk58856842"/>
      <w:r>
        <w:t xml:space="preserve"> e despesas num formato de dados abertos legível por máquina</w:t>
      </w:r>
      <w:bookmarkEnd w:id="1"/>
      <w:r>
        <w:t xml:space="preserve"> disponível para todos os cidadãos; recomenda vivamente que qualquer software desenvolvido para respeitar as normas éticas na administração pública da UE seja disponibilizado através de uma licença de software gratuita e de fonte aberta e partilhado com qualquer instituição da Europa que o pretenda utilizar;</w:t>
      </w:r>
      <w:r>
        <w:rPr>
          <w:color w:val="FF011B"/>
        </w:rPr>
        <w:t xml:space="preserve"> </w:t>
      </w:r>
    </w:p>
    <w:p w:rsidR="008808C5" w:rsidRPr="008808C5" w:rsidRDefault="008808C5" w:rsidP="008808C5">
      <w:pPr>
        <w:pStyle w:val="NormalHanging12a"/>
      </w:pPr>
      <w:r>
        <w:t>10.</w:t>
      </w:r>
      <w:r>
        <w:tab/>
        <w:t xml:space="preserve">Congratula-se com a assinatura de um acordo interinstitucional (AII) entre as instituições da UE para a criação do OEI; salienta a importância de o Conselho, incluindo os representantes dos Estados-Membros que trabalham no Conselho, aderir ao AII, tendo em conta os reiterados pedidos do TCE e da Provedora de Justiça Europeia de reforçar a ética de trabalho e a transparência da instituição; recorda a obrigação do Conselho de lidar com os conflitos de interesses de alto nível, as portas giratórias e as regras de transparência dos grupos de pressão; </w:t>
      </w:r>
    </w:p>
    <w:p w:rsidR="008808C5" w:rsidRPr="008808C5" w:rsidRDefault="008808C5" w:rsidP="008808C5">
      <w:pPr>
        <w:pStyle w:val="NormalHanging12a"/>
      </w:pPr>
      <w:r>
        <w:t>11.</w:t>
      </w:r>
      <w:r>
        <w:tab/>
        <w:t>Salienta a importância de reforçar a cooperação mútua entre o OEI e os organismos da UE, como o Organismo Europeu de Luta Antifraude (OLAF), a Procuradoria Europeia (EPPO), a Provedora de Justiça Europeia, o Tribunal de Contas Europeu (TCE) e outros organismos no âmbito dos respetivos mandatos, e de essa cooperação gerar um intercâmbio constante de informações.</w:t>
      </w:r>
    </w:p>
    <w:p w:rsidR="008808C5" w:rsidRPr="009B304E" w:rsidRDefault="008808C5" w:rsidP="008808C5">
      <w:pPr>
        <w:pStyle w:val="Normal12Hanging"/>
        <w:jc w:val="both"/>
      </w:pPr>
    </w:p>
    <w:sectPr w:rsidR="008808C5" w:rsidRPr="009B304E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04" w:rsidRPr="00223704" w:rsidRDefault="00223704">
      <w:r w:rsidRPr="00223704">
        <w:separator/>
      </w:r>
    </w:p>
  </w:endnote>
  <w:endnote w:type="continuationSeparator" w:id="0">
    <w:p w:rsidR="00223704" w:rsidRPr="00223704" w:rsidRDefault="00223704">
      <w:r w:rsidRPr="002237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8237F" w:rsidRDefault="005D60C6" w:rsidP="00347D2C">
    <w:pPr>
      <w:pStyle w:val="EPFooter"/>
      <w:rPr>
        <w:lang w:val="fr-FR"/>
      </w:rPr>
    </w:pPr>
    <w:r w:rsidRPr="0058237F">
      <w:rPr>
        <w:lang w:val="fr-FR"/>
      </w:rPr>
      <w:t>PE</w:t>
    </w:r>
    <w:r w:rsidR="002E2F2E" w:rsidRPr="0058237F">
      <w:rPr>
        <w:rStyle w:val="HideTWBExt"/>
        <w:noProof w:val="0"/>
        <w:lang w:val="fr-FR"/>
      </w:rPr>
      <w:t>&lt;NoPE&gt;</w:t>
    </w:r>
    <w:r w:rsidR="008808C5" w:rsidRPr="0058237F">
      <w:rPr>
        <w:lang w:val="fr-FR"/>
      </w:rPr>
      <w:t>661.960</w:t>
    </w:r>
    <w:r w:rsidR="002E2F2E" w:rsidRPr="0058237F">
      <w:rPr>
        <w:rStyle w:val="HideTWBExt"/>
        <w:noProof w:val="0"/>
        <w:lang w:val="fr-FR"/>
      </w:rPr>
      <w:t>&lt;/NoPE&gt;&lt;Version&gt;</w:t>
    </w:r>
    <w:r w:rsidR="00223704" w:rsidRPr="0058237F">
      <w:rPr>
        <w:lang w:val="fr-FR"/>
      </w:rPr>
      <w:t>v</w:t>
    </w:r>
    <w:r w:rsidR="008808C5" w:rsidRPr="0058237F">
      <w:rPr>
        <w:lang w:val="fr-FR"/>
      </w:rPr>
      <w:t>01-00</w:t>
    </w:r>
    <w:r w:rsidR="002E2F2E" w:rsidRPr="0058237F">
      <w:rPr>
        <w:rStyle w:val="HideTWBExt"/>
        <w:noProof w:val="0"/>
        <w:lang w:val="fr-FR"/>
      </w:rPr>
      <w:t>&lt;/Version&gt;</w:t>
    </w:r>
    <w:r w:rsidR="002E2F2E" w:rsidRPr="0058237F">
      <w:rPr>
        <w:lang w:val="fr-FR"/>
      </w:rPr>
      <w:tab/>
    </w:r>
    <w:r w:rsidR="006102E7" w:rsidRPr="00223704">
      <w:fldChar w:fldCharType="begin"/>
    </w:r>
    <w:r w:rsidR="006102E7" w:rsidRPr="0058237F">
      <w:rPr>
        <w:lang w:val="fr-FR"/>
      </w:rPr>
      <w:instrText xml:space="preserve"> PAGE </w:instrText>
    </w:r>
    <w:r w:rsidR="006102E7" w:rsidRPr="00223704">
      <w:fldChar w:fldCharType="separate"/>
    </w:r>
    <w:r w:rsidR="0058237F">
      <w:rPr>
        <w:noProof/>
        <w:lang w:val="fr-FR"/>
      </w:rPr>
      <w:t>2</w:t>
    </w:r>
    <w:r w:rsidR="006102E7" w:rsidRPr="00223704">
      <w:fldChar w:fldCharType="end"/>
    </w:r>
    <w:r w:rsidR="006102E7" w:rsidRPr="0058237F">
      <w:rPr>
        <w:lang w:val="fr-FR"/>
      </w:rPr>
      <w:t>/</w:t>
    </w:r>
    <w:r w:rsidR="0058237F">
      <w:fldChar w:fldCharType="begin"/>
    </w:r>
    <w:r w:rsidR="0058237F" w:rsidRPr="0058237F">
      <w:rPr>
        <w:lang w:val="fr-FR"/>
      </w:rPr>
      <w:instrText xml:space="preserve"> NUMPAGES </w:instrText>
    </w:r>
    <w:r w:rsidR="0058237F">
      <w:fldChar w:fldCharType="separate"/>
    </w:r>
    <w:r w:rsidR="0058237F">
      <w:rPr>
        <w:noProof/>
        <w:lang w:val="fr-FR"/>
      </w:rPr>
      <w:t>4</w:t>
    </w:r>
    <w:r w:rsidR="0058237F">
      <w:rPr>
        <w:noProof/>
      </w:rPr>
      <w:fldChar w:fldCharType="end"/>
    </w:r>
    <w:r w:rsidR="002E2F2E" w:rsidRPr="0058237F">
      <w:rPr>
        <w:lang w:val="fr-FR"/>
      </w:rPr>
      <w:tab/>
    </w:r>
    <w:r w:rsidR="002E2F2E" w:rsidRPr="0058237F">
      <w:rPr>
        <w:rStyle w:val="HideTWBExt"/>
        <w:noProof w:val="0"/>
        <w:lang w:val="fr-FR"/>
      </w:rPr>
      <w:t>&lt;PathFdR&gt;</w:t>
    </w:r>
    <w:r w:rsidR="008808C5" w:rsidRPr="0058237F">
      <w:rPr>
        <w:lang w:val="fr-FR"/>
      </w:rPr>
      <w:t>PA\1219984PT.docx</w:t>
    </w:r>
    <w:r w:rsidR="002E2F2E" w:rsidRPr="0058237F">
      <w:rPr>
        <w:rStyle w:val="HideTWBExt"/>
        <w:noProof w:val="0"/>
        <w:lang w:val="fr-FR"/>
      </w:rPr>
      <w:t>&lt;/PathFdR&gt;</w:t>
    </w:r>
  </w:p>
  <w:p w:rsidR="002E2F2E" w:rsidRPr="00223704" w:rsidRDefault="0058237F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PT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23704" w:rsidRDefault="002E2F2E" w:rsidP="00347D2C">
    <w:pPr>
      <w:pStyle w:val="EPFooter"/>
    </w:pPr>
    <w:r w:rsidRPr="00223704">
      <w:rPr>
        <w:rStyle w:val="HideTWBExt"/>
        <w:noProof w:val="0"/>
      </w:rPr>
      <w:t>&lt;PathFdR&gt;</w:t>
    </w:r>
    <w:r w:rsidR="008808C5" w:rsidRPr="008808C5">
      <w:t>PA\1219984PT.docx</w:t>
    </w:r>
    <w:r w:rsidRPr="00223704">
      <w:rPr>
        <w:rStyle w:val="HideTWBExt"/>
        <w:noProof w:val="0"/>
      </w:rPr>
      <w:t>&lt;/PathFdR&gt;</w:t>
    </w:r>
    <w:r w:rsidRPr="00223704">
      <w:tab/>
    </w:r>
    <w:r w:rsidR="006102E7" w:rsidRPr="00223704">
      <w:fldChar w:fldCharType="begin"/>
    </w:r>
    <w:r w:rsidR="006102E7" w:rsidRPr="00223704">
      <w:instrText xml:space="preserve"> PAGE </w:instrText>
    </w:r>
    <w:r w:rsidR="006102E7" w:rsidRPr="00223704">
      <w:fldChar w:fldCharType="separate"/>
    </w:r>
    <w:r w:rsidR="0058237F">
      <w:rPr>
        <w:noProof/>
      </w:rPr>
      <w:t>4</w:t>
    </w:r>
    <w:r w:rsidR="006102E7" w:rsidRPr="00223704">
      <w:fldChar w:fldCharType="end"/>
    </w:r>
    <w:r w:rsidR="006102E7" w:rsidRPr="00223704">
      <w:t>/</w:t>
    </w:r>
    <w:r w:rsidR="0058237F">
      <w:fldChar w:fldCharType="begin"/>
    </w:r>
    <w:r w:rsidR="0058237F">
      <w:instrText xml:space="preserve"> NUMPAGES </w:instrText>
    </w:r>
    <w:r w:rsidR="0058237F">
      <w:fldChar w:fldCharType="separate"/>
    </w:r>
    <w:r w:rsidR="0058237F">
      <w:rPr>
        <w:noProof/>
      </w:rPr>
      <w:t>4</w:t>
    </w:r>
    <w:r w:rsidR="0058237F">
      <w:rPr>
        <w:noProof/>
      </w:rPr>
      <w:fldChar w:fldCharType="end"/>
    </w:r>
    <w:r w:rsidRPr="00223704">
      <w:tab/>
    </w:r>
    <w:r w:rsidR="005D60C6" w:rsidRPr="00223704">
      <w:t>PE</w:t>
    </w:r>
    <w:r w:rsidRPr="00223704">
      <w:rPr>
        <w:rStyle w:val="HideTWBExt"/>
        <w:noProof w:val="0"/>
      </w:rPr>
      <w:t>&lt;NoPE&gt;</w:t>
    </w:r>
    <w:r w:rsidR="008808C5" w:rsidRPr="008808C5">
      <w:t>661.960</w:t>
    </w:r>
    <w:r w:rsidRPr="00223704">
      <w:rPr>
        <w:rStyle w:val="HideTWBExt"/>
        <w:noProof w:val="0"/>
      </w:rPr>
      <w:t>&lt;/NoPE&gt;&lt;Version&gt;</w:t>
    </w:r>
    <w:r w:rsidR="00223704" w:rsidRPr="00223704">
      <w:t>v</w:t>
    </w:r>
    <w:r w:rsidR="008808C5" w:rsidRPr="008808C5">
      <w:t>01-00</w:t>
    </w:r>
    <w:r w:rsidRPr="00223704">
      <w:rPr>
        <w:rStyle w:val="HideTWBExt"/>
        <w:noProof w:val="0"/>
      </w:rPr>
      <w:t>&lt;/Version&gt;</w:t>
    </w:r>
  </w:p>
  <w:p w:rsidR="002E2F2E" w:rsidRPr="00223704" w:rsidRDefault="006102E7">
    <w:pPr>
      <w:pStyle w:val="EPFooter2"/>
    </w:pPr>
    <w:r w:rsidRPr="00223704">
      <w:tab/>
    </w:r>
    <w:r w:rsidR="002E2F2E" w:rsidRPr="00223704">
      <w:tab/>
    </w:r>
    <w:r w:rsidR="0058237F">
      <w:fldChar w:fldCharType="begin"/>
    </w:r>
    <w:r w:rsidR="0058237F">
      <w:instrText xml:space="preserve"> DOCPROPERTY "&lt;Extension&gt;" </w:instrText>
    </w:r>
    <w:r w:rsidR="0058237F">
      <w:fldChar w:fldCharType="separate"/>
    </w:r>
    <w:r w:rsidR="0058237F">
      <w:t>PT</w:t>
    </w:r>
    <w:r w:rsidR="0058237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23704" w:rsidRDefault="002E2F2E" w:rsidP="00347D2C">
    <w:pPr>
      <w:pStyle w:val="EPFooter"/>
    </w:pPr>
    <w:r w:rsidRPr="00223704">
      <w:rPr>
        <w:rStyle w:val="HideTWBExt"/>
        <w:noProof w:val="0"/>
      </w:rPr>
      <w:t>&lt;PathFdR&gt;</w:t>
    </w:r>
    <w:r w:rsidR="008808C5" w:rsidRPr="008808C5">
      <w:t>PA\1219984PT.docx</w:t>
    </w:r>
    <w:r w:rsidRPr="00223704">
      <w:rPr>
        <w:rStyle w:val="HideTWBExt"/>
        <w:noProof w:val="0"/>
      </w:rPr>
      <w:t>&lt;/PathFdR&gt;</w:t>
    </w:r>
    <w:r w:rsidRPr="00223704">
      <w:tab/>
    </w:r>
    <w:r w:rsidRPr="00223704">
      <w:tab/>
    </w:r>
    <w:r w:rsidR="005D60C6" w:rsidRPr="00223704">
      <w:t>PE</w:t>
    </w:r>
    <w:r w:rsidRPr="00223704">
      <w:rPr>
        <w:rStyle w:val="HideTWBExt"/>
        <w:noProof w:val="0"/>
      </w:rPr>
      <w:t>&lt;NoPE&gt;</w:t>
    </w:r>
    <w:r w:rsidR="008808C5" w:rsidRPr="008808C5">
      <w:t>661.960</w:t>
    </w:r>
    <w:r w:rsidRPr="00223704">
      <w:rPr>
        <w:rStyle w:val="HideTWBExt"/>
        <w:noProof w:val="0"/>
      </w:rPr>
      <w:t>&lt;/NoPE&gt;&lt;Version&gt;</w:t>
    </w:r>
    <w:r w:rsidR="00223704" w:rsidRPr="00223704">
      <w:t>v</w:t>
    </w:r>
    <w:r w:rsidR="008808C5" w:rsidRPr="008808C5">
      <w:t>01-00</w:t>
    </w:r>
    <w:r w:rsidRPr="00223704">
      <w:rPr>
        <w:rStyle w:val="HideTWBExt"/>
        <w:noProof w:val="0"/>
      </w:rPr>
      <w:t>&lt;/Version&gt;</w:t>
    </w:r>
  </w:p>
  <w:p w:rsidR="002E2F2E" w:rsidRPr="00223704" w:rsidRDefault="0058237F" w:rsidP="001746D0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PT</w:t>
    </w:r>
    <w:r>
      <w:fldChar w:fldCharType="end"/>
    </w:r>
    <w:r w:rsidR="001746D0" w:rsidRPr="00223704">
      <w:tab/>
    </w:r>
    <w:r w:rsidR="008808C5">
      <w:rPr>
        <w:b w:val="0"/>
        <w:i/>
        <w:color w:val="C0C0C0"/>
        <w:sz w:val="22"/>
        <w:szCs w:val="22"/>
      </w:rPr>
      <w:t>Unida na diversidade</w:t>
    </w:r>
    <w:r w:rsidR="001746D0" w:rsidRPr="00223704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PT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04" w:rsidRPr="00223704" w:rsidRDefault="00223704">
      <w:r w:rsidRPr="00223704">
        <w:separator/>
      </w:r>
    </w:p>
  </w:footnote>
  <w:footnote w:type="continuationSeparator" w:id="0">
    <w:p w:rsidR="00223704" w:rsidRPr="00223704" w:rsidRDefault="00223704">
      <w:r w:rsidRPr="002237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C5" w:rsidRDefault="00880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C5" w:rsidRDefault="00880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C5" w:rsidRDefault="00880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1"/>
    <w:docVar w:name="CJMNU" w:val="1"/>
    <w:docVar w:name="CODEMNU" w:val=" 1"/>
    <w:docVar w:name="COM2KEY" w:val="AFCO"/>
    <w:docVar w:name="COMKEY" w:val="CONT"/>
    <w:docVar w:name="LastEditedSection" w:val=" 1"/>
    <w:docVar w:name="RepeatBlock-AmendP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2\fbidi \froman\fcharset238\fprq2 Times New Roman CE;}_x000d__x000a_{\f293\fbidi \froman\fcharset204\fprq2 Times New Roman Cyr;}{\f295\fbidi \froman\fcharset161\fprq2 Times New Roman Greek;}{\f296\fbidi \froman\fcharset162\fprq2 Times New Roman Tur;}{\f297\fbidi \froman\fcharset177\fprq2 Times New Roman (Hebrew);}_x000d__x000a_{\f298\fbidi \froman\fcharset178\fprq2 Times New Roman (Arabic);}{\f299\fbidi \froman\fcharset186\fprq2 Times New Roman Baltic;}{\f300\fbidi \froman\fcharset163\fprq2 Times New Roman (Vietnamese);}{\f302\fbidi \fswiss\fcharset238\fprq2 Arial CE;}_x000d__x000a_{\f303\fbidi \fswiss\fcharset204\fprq2 Arial Cyr;}{\f305\fbidi \fswiss\fcharset161\fprq2 Arial Greek;}{\f306\fbidi \fswiss\fcharset162\fprq2 Arial Tur;}{\f307\fbidi \fswiss\fcharset177\fprq2 Arial (Hebrew);}_x000d__x000a_{\f308\fbidi \fswiss\fcharset178\fprq2 Arial (Arabic);}{\f309\fbidi \fswiss\fcharset186\fprq2 Arial Baltic;}{\f310\fbidi \fswiss\fcharset163\fprq2 Arial (Vietnamese);}{\f632\fbidi \froman\fcharset238\fprq2 Cambria Math CE;}_x000d__x000a_{\f633\fbidi \froman\fcharset204\fprq2 Cambria Math Cyr;}{\f635\fbidi \froman\fcharset161\fprq2 Cambria Math Greek;}{\f636\fbidi \froman\fcharset162\fprq2 Cambria Math Tur;}{\f639\fbidi \froman\fcharset186\fprq2 Cambria Math Baltic;}_x000d__x000a_{\f640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6644190 HideTWBInt;}{_x000d__x000a_\s18\ql \fi-567\li567\ri0\sa240\nowidctlpar\wrapdefault\aspalpha\aspnum\faauto\adjustright\rin0\lin567\itap0 \rtlch\fcs1 \af0\afs20\alang1025 \ltrch\fcs0 \fs24\lang2070\langfe2057\cgrid\langnp2070\langfenp2057 _x000d__x000a_\sbasedon0 \snext18 \spriority0 \styrsid6644190 NormalHanging12a;}}{\*\rsidtbl \rsid24658\rsid223860\rsid735077\rsid1718133\rsid2892074\rsid3565327\rsid4666813\rsid6246998\rsid6641733\rsid6644190\rsid7823322\rsid9636012\rsid10377208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author SILVA Carla Marina}{\operator SILVA Carla Marina}{\creatim\yr2020\mo12\dy22\hr9\min23}{\revtim\yr2020\mo12\dy22\hr9\min23}{\version1}{\edmins0}{\nofpages1}{\nofwords1}{\nofchars12}{\nofcharsws12}{\vern101}}{\*\xmlnstbl {\xmlns1 http://schemas.mic_x000d__x000a_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64419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CSilv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2469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2469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2469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24699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6644190 \rtlch\fcs1 \af0\afs20\alang1025 \ltrch\fcs0 \fs24\lang2070\langfe2057\cgrid\langnp2070\langfenp2057 {\rtlch\fcs1 \af0 _x000d__x000a_\ltrch\fcs0 \insrsid6644190\charrsid6897887 {\*\bkmkstart restart}#}{\rtlch\fcs1 \af1 \ltrch\fcs0 \cs17\v\f1\fs20\cf15\insrsid6644190\charrsid6897887 NRMSG}{\rtlch\fcs1 \af0 \ltrch\fcs0 \insrsid6644190\charrsid6897887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e_x000d__x000a_32ad3bd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19"/>
    <w:docVar w:name="TXTLANGUE" w:val="PT"/>
    <w:docVar w:name="TXTLANGUEMIN" w:val="pt"/>
    <w:docVar w:name="TXTNRPE" w:val="661.960"/>
    <w:docVar w:name="TXTNRPROC" w:val="2020/2133"/>
    <w:docVar w:name="TXTPEorAP" w:val="PE"/>
    <w:docVar w:name="TXTROUTE" w:val="PA\1219984PT.docx"/>
    <w:docVar w:name="TXTTITLE" w:val="on strengthening transparency and integrity in the EU institutions by setting up an independent EU ethics body"/>
    <w:docVar w:name="TXTVERSION" w:val="01-00"/>
  </w:docVars>
  <w:rsids>
    <w:rsidRoot w:val="00223704"/>
    <w:rsid w:val="000758E1"/>
    <w:rsid w:val="000E7EBF"/>
    <w:rsid w:val="00124F60"/>
    <w:rsid w:val="00135121"/>
    <w:rsid w:val="00140BE6"/>
    <w:rsid w:val="00147F4E"/>
    <w:rsid w:val="0016635E"/>
    <w:rsid w:val="001746D0"/>
    <w:rsid w:val="001B7393"/>
    <w:rsid w:val="001D2ED9"/>
    <w:rsid w:val="00223704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E2402"/>
    <w:rsid w:val="004C28FB"/>
    <w:rsid w:val="004C44C0"/>
    <w:rsid w:val="0052544E"/>
    <w:rsid w:val="0058237F"/>
    <w:rsid w:val="005940C3"/>
    <w:rsid w:val="00594C48"/>
    <w:rsid w:val="005B2F11"/>
    <w:rsid w:val="005C0BDF"/>
    <w:rsid w:val="005D60C6"/>
    <w:rsid w:val="006102E7"/>
    <w:rsid w:val="00640C1B"/>
    <w:rsid w:val="00657AFB"/>
    <w:rsid w:val="006D5BF7"/>
    <w:rsid w:val="008313E7"/>
    <w:rsid w:val="00854CAC"/>
    <w:rsid w:val="008808C5"/>
    <w:rsid w:val="008A32C5"/>
    <w:rsid w:val="008C6203"/>
    <w:rsid w:val="008D61E7"/>
    <w:rsid w:val="008F7002"/>
    <w:rsid w:val="0099493F"/>
    <w:rsid w:val="00A16BEA"/>
    <w:rsid w:val="00A312B3"/>
    <w:rsid w:val="00A72C35"/>
    <w:rsid w:val="00AE180F"/>
    <w:rsid w:val="00B362F7"/>
    <w:rsid w:val="00B5456B"/>
    <w:rsid w:val="00B74B53"/>
    <w:rsid w:val="00BC26E4"/>
    <w:rsid w:val="00BD1EAA"/>
    <w:rsid w:val="00C52739"/>
    <w:rsid w:val="00C827FF"/>
    <w:rsid w:val="00CD34AC"/>
    <w:rsid w:val="00DE19FF"/>
    <w:rsid w:val="00E81BA6"/>
    <w:rsid w:val="00E856D2"/>
    <w:rsid w:val="00E929A7"/>
    <w:rsid w:val="00EE6A2E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618C3E-FF7E-4739-B029-E8EE6A0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qFormat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customStyle="1" w:styleId="Normal12Hanging">
    <w:name w:val="Normal12Hanging"/>
    <w:basedOn w:val="Normal"/>
    <w:link w:val="Normal12HangingChar"/>
    <w:qFormat/>
    <w:rsid w:val="008808C5"/>
    <w:pPr>
      <w:spacing w:after="240"/>
      <w:ind w:left="567" w:hanging="567"/>
    </w:pPr>
  </w:style>
  <w:style w:type="character" w:customStyle="1" w:styleId="Normal12HangingChar">
    <w:name w:val="Normal12Hanging Char"/>
    <w:link w:val="Normal12Hanging"/>
    <w:qFormat/>
    <w:rsid w:val="008808C5"/>
    <w:rPr>
      <w:sz w:val="24"/>
    </w:rPr>
  </w:style>
  <w:style w:type="paragraph" w:styleId="Footer">
    <w:name w:val="footer"/>
    <w:basedOn w:val="Normal"/>
    <w:link w:val="FooterChar"/>
    <w:semiHidden/>
    <w:rsid w:val="00582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82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4499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SILVA Carla Marina</dc:creator>
  <cp:keywords/>
  <dc:description/>
  <cp:lastModifiedBy>SILVA Carla Marina</cp:lastModifiedBy>
  <cp:revision>2</cp:revision>
  <cp:lastPrinted>2004-10-28T10:33:00Z</cp:lastPrinted>
  <dcterms:created xsi:type="dcterms:W3CDTF">2021-01-12T15:00:00Z</dcterms:created>
  <dcterms:modified xsi:type="dcterms:W3CDTF">2021-01-12T15:00:00Z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1219984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\\eiciLUXpr1\pdocep$\DocEP\DOCS\General\PA\PA_NonLeg.dotx(17/04/2020 18:26:09)</vt:lpwstr>
  </property>
  <property fmtid="{D5CDD505-2E9C-101B-9397-08002B2CF9AE}" pid="7" name="&lt;ModelTra&gt;">
    <vt:lpwstr>\\eiciLUXpr1\pdocep$\DocEP\TRANSFIL\PT\PA_NonLeg.PT(26/06/2020 10:06:01)</vt:lpwstr>
  </property>
  <property fmtid="{D5CDD505-2E9C-101B-9397-08002B2CF9AE}" pid="8" name="&lt;Model&gt;">
    <vt:lpwstr>PA_NonLeg</vt:lpwstr>
  </property>
  <property fmtid="{D5CDD505-2E9C-101B-9397-08002B2CF9AE}" pid="9" name="FooterPath">
    <vt:lpwstr>PA\1219984PT.docx</vt:lpwstr>
  </property>
  <property fmtid="{D5CDD505-2E9C-101B-9397-08002B2CF9AE}" pid="10" name="PE number">
    <vt:lpwstr>661.960</vt:lpwstr>
  </property>
  <property fmtid="{D5CDD505-2E9C-101B-9397-08002B2CF9AE}" pid="11" name="SDLStudio">
    <vt:lpwstr/>
  </property>
  <property fmtid="{D5CDD505-2E9C-101B-9397-08002B2CF9AE}" pid="12" name="&lt;Extension&gt;">
    <vt:lpwstr>PT</vt:lpwstr>
  </property>
  <property fmtid="{D5CDD505-2E9C-101B-9397-08002B2CF9AE}" pid="13" name="Bookout">
    <vt:lpwstr>OK - 2021/01/12 16:00</vt:lpwstr>
  </property>
</Properties>
</file>