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W w:w="9072" w:type="dxa"/>
        <w:tblCellMar>
          <w:left w:w="0" w:type="dxa"/>
          <w:right w:w="0" w:type="dxa"/>
        </w:tblCellMar>
        <w:tblLook w:val="01E0" w:firstRow="1" w:lastRow="1" w:firstColumn="1" w:lastColumn="1" w:noHBand="0" w:noVBand="0"/>
      </w:tblPr>
      <w:tblGrid>
        <w:gridCol w:w="6804"/>
        <w:gridCol w:w="2268"/>
      </w:tblGrid>
      <w:tr w:rsidR="00041A79" w:rsidRPr="004F68F2" w:rsidTr="00726BB4">
        <w:trPr>
          <w:trHeight w:hRule="exact" w:val="1418"/>
        </w:trPr>
        <w:tc>
          <w:tcPr>
            <w:tcW w:w="6804" w:type="dxa"/>
            <w:shd w:val="clear" w:color="auto" w:fill="auto"/>
            <w:vAlign w:val="center"/>
          </w:tcPr>
          <w:p w:rsidR="00041A79" w:rsidRPr="004F68F2" w:rsidRDefault="00A65DED" w:rsidP="00726BB4">
            <w:pPr>
              <w:pStyle w:val="EPName"/>
            </w:pPr>
            <w:r w:rsidRPr="004F68F2">
              <w:t>Parlement européen</w:t>
            </w:r>
          </w:p>
          <w:p w:rsidR="00041A79" w:rsidRPr="004F68F2" w:rsidRDefault="000B13F7" w:rsidP="000B13F7">
            <w:pPr>
              <w:pStyle w:val="EPTerm"/>
            </w:pPr>
            <w:r w:rsidRPr="004F68F2">
              <w:t>2019-2024</w:t>
            </w:r>
          </w:p>
        </w:tc>
        <w:tc>
          <w:tcPr>
            <w:tcW w:w="2268" w:type="dxa"/>
            <w:shd w:val="clear" w:color="auto" w:fill="auto"/>
          </w:tcPr>
          <w:p w:rsidR="00041A79" w:rsidRPr="004F68F2" w:rsidRDefault="00041A79" w:rsidP="00726BB4">
            <w:pPr>
              <w:pStyle w:val="EPLogo"/>
            </w:pPr>
            <w:r w:rsidRPr="004F68F2">
              <w:rPr>
                <w:noProof/>
                <w:lang w:val="en-GB"/>
              </w:rPr>
              <w:drawing>
                <wp:inline distT="0" distB="0" distL="0" distR="0" wp14:anchorId="4B8BE00E" wp14:editId="501F4E6E">
                  <wp:extent cx="1158875" cy="652145"/>
                  <wp:effectExtent l="0" t="0" r="0" b="0"/>
                  <wp:docPr id="1" name="Picture 1" descr="EP logo RGB_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logo RGB_Mu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652145"/>
                          </a:xfrm>
                          <a:prstGeom prst="rect">
                            <a:avLst/>
                          </a:prstGeom>
                          <a:noFill/>
                          <a:ln>
                            <a:noFill/>
                          </a:ln>
                        </pic:spPr>
                      </pic:pic>
                    </a:graphicData>
                  </a:graphic>
                </wp:inline>
              </w:drawing>
            </w:r>
          </w:p>
        </w:tc>
      </w:tr>
    </w:tbl>
    <w:p w:rsidR="00F64B87" w:rsidRPr="004F68F2" w:rsidRDefault="00F64B87" w:rsidP="00F64B87">
      <w:pPr>
        <w:pStyle w:val="LineTop"/>
      </w:pPr>
    </w:p>
    <w:p w:rsidR="00F64B87" w:rsidRPr="004F68F2" w:rsidRDefault="00F64B87" w:rsidP="00F64B87">
      <w:pPr>
        <w:pStyle w:val="EPBody"/>
      </w:pPr>
      <w:r w:rsidRPr="004F68F2">
        <w:rPr>
          <w:rStyle w:val="HideTWBExt"/>
        </w:rPr>
        <w:t>&lt;</w:t>
      </w:r>
      <w:r w:rsidRPr="004F68F2">
        <w:rPr>
          <w:rStyle w:val="HideTWBExt"/>
          <w:i w:val="0"/>
        </w:rPr>
        <w:t>Commission&gt;</w:t>
      </w:r>
      <w:r w:rsidRPr="004F68F2">
        <w:rPr>
          <w:rStyle w:val="HideTWBInt"/>
        </w:rPr>
        <w:t>{CONT}</w:t>
      </w:r>
      <w:r w:rsidRPr="004F68F2">
        <w:t>Commission du contrôle budgétaire</w:t>
      </w:r>
      <w:r w:rsidRPr="004F68F2">
        <w:rPr>
          <w:rStyle w:val="HideTWBExt"/>
        </w:rPr>
        <w:t>&lt;/</w:t>
      </w:r>
      <w:r w:rsidRPr="004F68F2">
        <w:rPr>
          <w:rStyle w:val="HideTWBExt"/>
          <w:i w:val="0"/>
        </w:rPr>
        <w:t>Commission</w:t>
      </w:r>
      <w:r w:rsidRPr="004F68F2">
        <w:rPr>
          <w:rStyle w:val="HideTWBExt"/>
        </w:rPr>
        <w:t>&gt;</w:t>
      </w:r>
    </w:p>
    <w:p w:rsidR="001173AC" w:rsidRPr="004F68F2" w:rsidRDefault="001173AC" w:rsidP="001173AC">
      <w:pPr>
        <w:pStyle w:val="LineBottom"/>
      </w:pPr>
    </w:p>
    <w:p w:rsidR="00EA74BF" w:rsidRPr="004F68F2" w:rsidRDefault="000B13F7" w:rsidP="001173AC">
      <w:pPr>
        <w:pStyle w:val="HeadingReferenceOJPV"/>
      </w:pPr>
      <w:r w:rsidRPr="004F68F2">
        <w:t>CONT_PV(2020)1015_1</w:t>
      </w:r>
    </w:p>
    <w:p w:rsidR="00EA74BF" w:rsidRPr="004F68F2" w:rsidRDefault="00A65DED" w:rsidP="001173AC">
      <w:pPr>
        <w:pStyle w:val="HeadingDocType24a"/>
      </w:pPr>
      <w:r w:rsidRPr="004F68F2">
        <w:t>PROCÈS-VERBAL</w:t>
      </w:r>
    </w:p>
    <w:p w:rsidR="003E67D2" w:rsidRPr="004F68F2" w:rsidRDefault="003E67D2" w:rsidP="003E67D2">
      <w:pPr>
        <w:spacing w:after="240" w:line="320" w:lineRule="atLeast"/>
        <w:jc w:val="center"/>
      </w:pPr>
      <w:r w:rsidRPr="004F68F2">
        <w:rPr>
          <w:b/>
          <w:bCs/>
        </w:rPr>
        <w:t>Réunion</w:t>
      </w:r>
    </w:p>
    <w:p w:rsidR="003E67D2" w:rsidRPr="004F68F2" w:rsidRDefault="003E67D2" w:rsidP="003E67D2">
      <w:pPr>
        <w:spacing w:after="240" w:line="320" w:lineRule="atLeast"/>
        <w:jc w:val="center"/>
      </w:pPr>
      <w:r w:rsidRPr="004F68F2">
        <w:rPr>
          <w:b/>
          <w:bCs/>
        </w:rPr>
        <w:t>Jeudi 15 octobre 2020, de 13 h 45 à 15 h 45 et de 16 h 45 à 18 h 45</w:t>
      </w:r>
    </w:p>
    <w:p w:rsidR="003E67D2" w:rsidRPr="004F68F2" w:rsidRDefault="003E67D2" w:rsidP="003E67D2">
      <w:pPr>
        <w:pStyle w:val="HeadingCenter12a"/>
      </w:pPr>
      <w:r w:rsidRPr="004F68F2">
        <w:t>BRUXELLES</w:t>
      </w:r>
    </w:p>
    <w:p w:rsidR="003E67D2" w:rsidRPr="004F68F2" w:rsidRDefault="003E67D2" w:rsidP="003E67D2">
      <w:pPr>
        <w:pStyle w:val="MeetingIntro"/>
      </w:pPr>
      <w:r w:rsidRPr="004F68F2">
        <w:t>La séance est ouverte le jeudi 15 octobre 2020 à 13 h 50, sous la présidence d’Isabel García Muñoz, 1</w:t>
      </w:r>
      <w:r w:rsidRPr="004F68F2">
        <w:rPr>
          <w:vertAlign w:val="superscript"/>
        </w:rPr>
        <w:t>re</w:t>
      </w:r>
      <w:r w:rsidRPr="004F68F2">
        <w:t> vice-présidente.</w:t>
      </w:r>
    </w:p>
    <w:p w:rsidR="003E67D2" w:rsidRPr="004F68F2" w:rsidRDefault="003E67D2" w:rsidP="003E67D2">
      <w:pPr>
        <w:spacing w:before="600"/>
        <w:rPr>
          <w:lang w:val="pt-PT"/>
        </w:rPr>
      </w:pPr>
      <w:r w:rsidRPr="004F68F2">
        <w:rPr>
          <w:b/>
          <w:bCs/>
          <w:lang w:val="pt-PT"/>
        </w:rPr>
        <w:t>15 octobre 2020, de 13 h 45 à 15 h 45</w:t>
      </w:r>
    </w:p>
    <w:p w:rsidR="003E67D2" w:rsidRPr="004F68F2" w:rsidRDefault="003E67D2" w:rsidP="003E67D2">
      <w:pPr>
        <w:spacing w:before="240"/>
        <w:ind w:left="708" w:hanging="708"/>
        <w:rPr>
          <w:b/>
          <w:bCs/>
        </w:rPr>
      </w:pPr>
      <w:r w:rsidRPr="004F68F2">
        <w:rPr>
          <w:b/>
          <w:bCs/>
        </w:rPr>
        <w:t>1.</w:t>
      </w:r>
      <w:r w:rsidRPr="004F68F2">
        <w:tab/>
      </w:r>
      <w:r w:rsidRPr="004F68F2">
        <w:rPr>
          <w:b/>
          <w:bCs/>
        </w:rPr>
        <w:t>Adoption de l’ordre du jour</w:t>
      </w:r>
    </w:p>
    <w:p w:rsidR="003E67D2" w:rsidRPr="004F68F2" w:rsidRDefault="003E67D2" w:rsidP="003E67D2">
      <w:pPr>
        <w:spacing w:before="240"/>
        <w:ind w:left="708" w:hanging="708"/>
      </w:pPr>
      <w:r w:rsidRPr="004F68F2">
        <w:t>Le projet d’ordre du jour est adopté tel qu’il ressort du présent procès-verbal.</w:t>
      </w:r>
    </w:p>
    <w:p w:rsidR="003E67D2" w:rsidRPr="004F68F2" w:rsidRDefault="003E67D2" w:rsidP="003E67D2">
      <w:pPr>
        <w:spacing w:before="240"/>
        <w:ind w:left="708" w:hanging="708"/>
        <w:rPr>
          <w:b/>
          <w:bCs/>
        </w:rPr>
      </w:pPr>
      <w:r w:rsidRPr="004F68F2">
        <w:rPr>
          <w:b/>
          <w:bCs/>
        </w:rPr>
        <w:t>2.</w:t>
      </w:r>
      <w:r w:rsidRPr="004F68F2">
        <w:tab/>
      </w:r>
      <w:r w:rsidRPr="004F68F2">
        <w:rPr>
          <w:b/>
          <w:bCs/>
        </w:rPr>
        <w:t>Communications de la présidente</w:t>
      </w:r>
    </w:p>
    <w:p w:rsidR="003E67D2" w:rsidRPr="004F68F2" w:rsidRDefault="003E67D2" w:rsidP="003E67D2">
      <w:pPr>
        <w:spacing w:before="240"/>
        <w:ind w:left="567" w:hanging="567"/>
      </w:pPr>
      <w:r w:rsidRPr="004F68F2">
        <w:t>La présidente attire l’attention des membres sur les informations parues dans CONT News.</w:t>
      </w:r>
    </w:p>
    <w:p w:rsidR="003E67D2" w:rsidRPr="004F68F2" w:rsidRDefault="003E67D2" w:rsidP="003E67D2">
      <w:pPr>
        <w:spacing w:before="240"/>
      </w:pPr>
      <w:r w:rsidRPr="004F68F2">
        <w:rPr>
          <w:b/>
          <w:bCs/>
          <w:i/>
          <w:iCs/>
        </w:rPr>
        <w:t>*** Ouverture de la procédure de vote à distance: Première séance de vote ***</w:t>
      </w:r>
    </w:p>
    <w:p w:rsidR="003E67D2" w:rsidRPr="004F68F2" w:rsidRDefault="003E67D2" w:rsidP="003E67D2">
      <w:pPr>
        <w:spacing w:before="240"/>
        <w:ind w:left="708" w:hanging="708"/>
      </w:pPr>
      <w:r w:rsidRPr="004F68F2">
        <w:rPr>
          <w:b/>
          <w:bCs/>
        </w:rPr>
        <w:t>3.</w:t>
      </w:r>
      <w:r w:rsidRPr="004F68F2">
        <w:tab/>
      </w:r>
      <w:r w:rsidRPr="004F68F2">
        <w:rPr>
          <w:b/>
          <w:bCs/>
        </w:rPr>
        <w:t>Établissement d’un mécanisme pour la relance et la résilience</w:t>
      </w:r>
    </w:p>
    <w:p w:rsidR="003E67D2" w:rsidRPr="004F68F2" w:rsidRDefault="003E67D2" w:rsidP="003E67D2">
      <w:pPr>
        <w:rPr>
          <w:lang w:val="pt-PT"/>
        </w:rPr>
      </w:pPr>
      <w:r w:rsidRPr="004F68F2">
        <w:tab/>
      </w:r>
      <w:r w:rsidRPr="004F68F2">
        <w:rPr>
          <w:lang w:val="pt-PT"/>
        </w:rPr>
        <w:t>CONT/9/03552</w:t>
      </w:r>
    </w:p>
    <w:p w:rsidR="003E67D2" w:rsidRPr="004F68F2" w:rsidRDefault="003E67D2" w:rsidP="003E67D2">
      <w:pPr>
        <w:spacing w:after="120"/>
        <w:rPr>
          <w:lang w:val="pt-PT"/>
        </w:rPr>
      </w:pPr>
      <w:r w:rsidRPr="004F68F2">
        <w:rPr>
          <w:lang w:val="pt-PT"/>
        </w:rPr>
        <w:tab/>
        <w:t>***I</w:t>
      </w:r>
      <w:r w:rsidRPr="004F68F2">
        <w:rPr>
          <w:lang w:val="pt-PT"/>
        </w:rPr>
        <w:tab/>
        <w:t>2020/0104(COD)</w:t>
      </w:r>
      <w:r w:rsidRPr="004F68F2">
        <w:rPr>
          <w:lang w:val="pt-PT"/>
        </w:rPr>
        <w:tab/>
        <w:t>COM(2020)0408 – C9-0150/2020</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5"/>
        <w:gridCol w:w="1419"/>
        <w:gridCol w:w="4167"/>
        <w:gridCol w:w="2421"/>
      </w:tblGrid>
      <w:tr w:rsidR="003E67D2" w:rsidRPr="004F68F2" w:rsidTr="007757CE">
        <w:trPr>
          <w:cantSplit/>
          <w:jc w:val="right"/>
        </w:trPr>
        <w:tc>
          <w:tcPr>
            <w:tcW w:w="8539" w:type="dxa"/>
            <w:gridSpan w:val="4"/>
            <w:tcBorders>
              <w:top w:val="nil"/>
              <w:left w:val="nil"/>
              <w:bottom w:val="nil"/>
              <w:right w:val="nil"/>
            </w:tcBorders>
            <w:shd w:val="clear" w:color="auto" w:fill="FFFFFF"/>
          </w:tcPr>
          <w:p w:rsidR="003E67D2" w:rsidRPr="004F68F2" w:rsidRDefault="003E67D2" w:rsidP="007757CE">
            <w:r w:rsidRPr="004F68F2">
              <w:t>Rapporteure pour avis:</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5585" w:type="dxa"/>
            <w:gridSpan w:val="2"/>
            <w:tcBorders>
              <w:top w:val="nil"/>
              <w:left w:val="nil"/>
              <w:bottom w:val="nil"/>
              <w:right w:val="nil"/>
            </w:tcBorders>
            <w:shd w:val="clear" w:color="auto" w:fill="FFFFFF"/>
          </w:tcPr>
          <w:p w:rsidR="003E67D2" w:rsidRPr="004F68F2" w:rsidRDefault="003E67D2" w:rsidP="007757CE">
            <w:r w:rsidRPr="004F68F2">
              <w:t>Monika Hohlmeier (PPE)</w:t>
            </w:r>
          </w:p>
        </w:tc>
        <w:tc>
          <w:tcPr>
            <w:tcW w:w="2420" w:type="dxa"/>
            <w:tcBorders>
              <w:top w:val="nil"/>
              <w:left w:val="nil"/>
              <w:bottom w:val="nil"/>
              <w:right w:val="nil"/>
            </w:tcBorders>
            <w:shd w:val="clear" w:color="auto" w:fill="FFFFFF"/>
          </w:tcPr>
          <w:p w:rsidR="003E67D2" w:rsidRPr="004F68F2" w:rsidRDefault="003E67D2" w:rsidP="007757CE">
            <w:pPr>
              <w:jc w:val="right"/>
            </w:pPr>
            <w:r w:rsidRPr="004F68F2">
              <w:t>AM – PE658.795v01-00</w:t>
            </w:r>
          </w:p>
        </w:tc>
      </w:tr>
      <w:tr w:rsidR="003E67D2" w:rsidRPr="004F68F2" w:rsidTr="007757CE">
        <w:trPr>
          <w:cantSplit/>
          <w:jc w:val="right"/>
        </w:trPr>
        <w:tc>
          <w:tcPr>
            <w:tcW w:w="8539" w:type="dxa"/>
            <w:gridSpan w:val="4"/>
            <w:tcBorders>
              <w:top w:val="nil"/>
              <w:left w:val="nil"/>
              <w:bottom w:val="nil"/>
              <w:right w:val="nil"/>
            </w:tcBorders>
            <w:shd w:val="clear" w:color="auto" w:fill="FFFFFF"/>
          </w:tcPr>
          <w:p w:rsidR="003E67D2" w:rsidRPr="004F68F2" w:rsidRDefault="003E67D2" w:rsidP="007757CE">
            <w:r w:rsidRPr="004F68F2">
              <w:t>Fond:</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1419" w:type="dxa"/>
            <w:tcBorders>
              <w:top w:val="nil"/>
              <w:left w:val="nil"/>
              <w:bottom w:val="nil"/>
              <w:right w:val="nil"/>
            </w:tcBorders>
            <w:shd w:val="clear" w:color="auto" w:fill="FFFFFF"/>
          </w:tcPr>
          <w:p w:rsidR="003E67D2" w:rsidRPr="004F68F2" w:rsidRDefault="003E67D2" w:rsidP="007757CE">
            <w:r w:rsidRPr="004F68F2">
              <w:t xml:space="preserve">BUDG, ECON* – </w:t>
            </w:r>
          </w:p>
        </w:tc>
        <w:tc>
          <w:tcPr>
            <w:tcW w:w="4166" w:type="dxa"/>
            <w:tcBorders>
              <w:top w:val="nil"/>
              <w:left w:val="nil"/>
              <w:bottom w:val="nil"/>
              <w:right w:val="nil"/>
            </w:tcBorders>
            <w:shd w:val="clear" w:color="auto" w:fill="FFFFFF"/>
          </w:tcPr>
          <w:p w:rsidR="003E67D2" w:rsidRPr="004F68F2" w:rsidRDefault="003E67D2" w:rsidP="007757CE">
            <w:r w:rsidRPr="004F68F2">
              <w:t>Eider Gardiazabal Rubial</w:t>
            </w:r>
            <w:r w:rsidRPr="004F68F2">
              <w:br/>
              <w:t>(S&amp;D)</w:t>
            </w:r>
            <w:r w:rsidRPr="004F68F2">
              <w:br/>
              <w:t>Siegfried Mureşan (PPE)</w:t>
            </w:r>
            <w:r w:rsidRPr="004F68F2">
              <w:br/>
              <w:t>Dragoș Pîslaru (Renew)</w:t>
            </w:r>
          </w:p>
        </w:tc>
        <w:tc>
          <w:tcPr>
            <w:tcW w:w="2420" w:type="dxa"/>
            <w:tcBorders>
              <w:top w:val="nil"/>
              <w:left w:val="nil"/>
              <w:bottom w:val="nil"/>
              <w:right w:val="nil"/>
            </w:tcBorders>
            <w:shd w:val="clear" w:color="auto" w:fill="FFFFFF"/>
          </w:tcPr>
          <w:p w:rsidR="003E67D2" w:rsidRPr="004F68F2" w:rsidRDefault="003E67D2" w:rsidP="007757CE">
            <w:pPr>
              <w:jc w:val="right"/>
              <w:rPr>
                <w:lang w:val="de-DE"/>
              </w:rPr>
            </w:pPr>
            <w:r w:rsidRPr="004F68F2">
              <w:rPr>
                <w:lang w:val="de-DE"/>
              </w:rPr>
              <w:t>PR – PE655.950v02-00</w:t>
            </w:r>
            <w:r w:rsidRPr="004F68F2">
              <w:rPr>
                <w:lang w:val="de-DE"/>
              </w:rPr>
              <w:br/>
              <w:t>AM – PE657.422v01-00</w:t>
            </w:r>
            <w:r w:rsidRPr="004F68F2">
              <w:rPr>
                <w:lang w:val="de-DE"/>
              </w:rPr>
              <w:br/>
              <w:t>AM – PE655.953v01-00</w:t>
            </w:r>
            <w:r w:rsidRPr="004F68F2">
              <w:rPr>
                <w:lang w:val="de-DE"/>
              </w:rPr>
              <w:br/>
              <w:t>AM – PE657.420v01-00</w:t>
            </w:r>
            <w:r w:rsidRPr="004F68F2">
              <w:rPr>
                <w:lang w:val="de-DE"/>
              </w:rPr>
              <w:br/>
              <w:t>AM – PE657.421v02-00</w:t>
            </w:r>
          </w:p>
        </w:tc>
      </w:tr>
      <w:tr w:rsidR="003E67D2" w:rsidRPr="004F68F2" w:rsidTr="007757CE">
        <w:trPr>
          <w:cantSplit/>
          <w:jc w:val="right"/>
        </w:trPr>
        <w:tc>
          <w:tcPr>
            <w:tcW w:w="8539" w:type="dxa"/>
            <w:gridSpan w:val="4"/>
            <w:tcBorders>
              <w:top w:val="nil"/>
              <w:left w:val="nil"/>
              <w:bottom w:val="nil"/>
              <w:right w:val="nil"/>
            </w:tcBorders>
            <w:shd w:val="clear" w:color="auto" w:fill="FFFFFF"/>
          </w:tcPr>
          <w:p w:rsidR="003E67D2" w:rsidRPr="004F68F2" w:rsidRDefault="003E67D2" w:rsidP="007757CE">
            <w:r w:rsidRPr="004F68F2">
              <w:t>Avis:</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8005" w:type="dxa"/>
            <w:gridSpan w:val="3"/>
            <w:tcBorders>
              <w:top w:val="nil"/>
              <w:left w:val="nil"/>
              <w:bottom w:val="nil"/>
              <w:right w:val="nil"/>
            </w:tcBorders>
            <w:shd w:val="clear" w:color="auto" w:fill="FFFFFF"/>
          </w:tcPr>
          <w:p w:rsidR="003E67D2" w:rsidRPr="004F68F2" w:rsidRDefault="003E67D2" w:rsidP="007757CE">
            <w:r w:rsidRPr="004F68F2">
              <w:t>CONT, EMPL*, ENVI*, ITRE*, IMCO, TRAN*, REGI, AFCO</w:t>
            </w:r>
          </w:p>
        </w:tc>
      </w:tr>
      <w:tr w:rsidR="003E67D2" w:rsidRPr="004F68F2" w:rsidTr="007757CE">
        <w:trPr>
          <w:cantSplit/>
          <w:jc w:val="right"/>
        </w:trPr>
        <w:tc>
          <w:tcPr>
            <w:tcW w:w="8539" w:type="dxa"/>
            <w:gridSpan w:val="4"/>
            <w:tcBorders>
              <w:top w:val="nil"/>
              <w:left w:val="nil"/>
              <w:bottom w:val="nil"/>
              <w:right w:val="nil"/>
            </w:tcBorders>
            <w:shd w:val="clear" w:color="auto" w:fill="FFFFFF"/>
          </w:tcPr>
          <w:p w:rsidR="003E67D2" w:rsidRPr="004F68F2" w:rsidRDefault="003E67D2" w:rsidP="007757CE">
            <w:r w:rsidRPr="004F68F2">
              <w:t>Positions sous forme d’amendements:</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8005" w:type="dxa"/>
            <w:gridSpan w:val="3"/>
            <w:tcBorders>
              <w:top w:val="nil"/>
              <w:left w:val="nil"/>
              <w:bottom w:val="nil"/>
              <w:right w:val="nil"/>
            </w:tcBorders>
            <w:shd w:val="clear" w:color="auto" w:fill="FFFFFF"/>
          </w:tcPr>
          <w:p w:rsidR="003E67D2" w:rsidRPr="004F68F2" w:rsidRDefault="003E67D2" w:rsidP="007757CE">
            <w:r w:rsidRPr="004F68F2">
              <w:t>FEMM</w:t>
            </w:r>
          </w:p>
        </w:tc>
      </w:tr>
    </w:tbl>
    <w:p w:rsidR="003E67D2" w:rsidRPr="004F68F2" w:rsidRDefault="0070694C" w:rsidP="0070694C">
      <w:pPr>
        <w:tabs>
          <w:tab w:val="left" w:pos="1100"/>
        </w:tabs>
        <w:autoSpaceDE w:val="0"/>
        <w:autoSpaceDN w:val="0"/>
        <w:adjustRightInd w:val="0"/>
        <w:ind w:left="1100" w:hanging="400"/>
      </w:pPr>
      <w:r w:rsidRPr="004F68F2">
        <w:rPr>
          <w:rFonts w:ascii="Symbol" w:hAnsi="Symbol"/>
        </w:rPr>
        <w:t></w:t>
      </w:r>
      <w:r w:rsidRPr="004F68F2">
        <w:rPr>
          <w:rFonts w:ascii="Symbol" w:hAnsi="Symbol"/>
        </w:rPr>
        <w:tab/>
      </w:r>
      <w:r w:rsidRPr="004F68F2">
        <w:t>Adoption du projet d’avis</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4F68F2" w:rsidTr="007757CE">
        <w:trPr>
          <w:cantSplit/>
          <w:jc w:val="right"/>
        </w:trPr>
        <w:tc>
          <w:tcPr>
            <w:tcW w:w="1440" w:type="dxa"/>
            <w:tcBorders>
              <w:top w:val="nil"/>
              <w:left w:val="nil"/>
              <w:bottom w:val="nil"/>
              <w:right w:val="nil"/>
            </w:tcBorders>
            <w:shd w:val="clear" w:color="auto" w:fill="FFFFFF"/>
          </w:tcPr>
          <w:p w:rsidR="003E67D2" w:rsidRPr="004F68F2" w:rsidRDefault="003E67D2" w:rsidP="007757CE">
            <w:pPr>
              <w:spacing w:before="120" w:after="240"/>
            </w:pPr>
            <w:r w:rsidRPr="004F68F2">
              <w:rPr>
                <w:b/>
                <w:bCs/>
              </w:rPr>
              <w:t>Décision:</w:t>
            </w:r>
          </w:p>
        </w:tc>
        <w:tc>
          <w:tcPr>
            <w:tcW w:w="7101" w:type="dxa"/>
            <w:tcBorders>
              <w:top w:val="nil"/>
              <w:left w:val="nil"/>
              <w:bottom w:val="nil"/>
              <w:right w:val="nil"/>
            </w:tcBorders>
            <w:shd w:val="clear" w:color="auto" w:fill="FFFFFF"/>
          </w:tcPr>
          <w:p w:rsidR="003E67D2" w:rsidRPr="004F68F2" w:rsidRDefault="003E67D2" w:rsidP="004F68F2">
            <w:pPr>
              <w:spacing w:before="120" w:after="240"/>
            </w:pPr>
            <w:r w:rsidRPr="004F68F2">
              <w:t>Le projet d’avis est adopté avec les amendements par 22 voix pour, 3 contre et 2 abstentions</w:t>
            </w:r>
            <w:r w:rsidR="004F68F2" w:rsidRPr="004F68F2">
              <w:t>;</w:t>
            </w:r>
            <w:r w:rsidRPr="004F68F2">
              <w:br/>
              <w:t>145 amendements adoptés</w:t>
            </w:r>
            <w:r w:rsidR="004F68F2" w:rsidRPr="004F68F2">
              <w:t>;</w:t>
            </w:r>
            <w:r w:rsidRPr="004F68F2">
              <w:br/>
              <w:t>246 amendements présentés</w:t>
            </w:r>
            <w:r w:rsidR="004F68F2" w:rsidRPr="004F68F2">
              <w:t>.</w:t>
            </w:r>
          </w:p>
        </w:tc>
      </w:tr>
    </w:tbl>
    <w:p w:rsidR="003E67D2" w:rsidRPr="004F68F2" w:rsidRDefault="003E67D2" w:rsidP="003E67D2">
      <w:pPr>
        <w:spacing w:before="240"/>
        <w:ind w:left="708" w:hanging="708"/>
      </w:pPr>
      <w:r w:rsidRPr="004F68F2">
        <w:rPr>
          <w:b/>
          <w:bCs/>
        </w:rPr>
        <w:t>4.</w:t>
      </w:r>
      <w:r w:rsidRPr="004F68F2">
        <w:tab/>
      </w:r>
      <w:r w:rsidRPr="004F68F2">
        <w:rPr>
          <w:b/>
          <w:bCs/>
        </w:rPr>
        <w:t>Enquêtes effectuées par l’Office européen de lutte antifraude (OLAF) en ce qui concerne la coopération avec le Parquet européen et l’efficacité des enquêtes de l’OLAF</w:t>
      </w:r>
    </w:p>
    <w:p w:rsidR="003E67D2" w:rsidRPr="004F68F2" w:rsidRDefault="003E67D2" w:rsidP="003E67D2">
      <w:pPr>
        <w:rPr>
          <w:lang w:val="pt-PT"/>
        </w:rPr>
      </w:pPr>
      <w:r w:rsidRPr="004F68F2">
        <w:tab/>
      </w:r>
      <w:r w:rsidRPr="004F68F2">
        <w:rPr>
          <w:lang w:val="pt-PT"/>
        </w:rPr>
        <w:t>CONT/9/01460</w:t>
      </w:r>
    </w:p>
    <w:p w:rsidR="003E67D2" w:rsidRPr="004F68F2" w:rsidRDefault="003E67D2" w:rsidP="003E67D2">
      <w:pPr>
        <w:spacing w:after="120"/>
        <w:rPr>
          <w:lang w:val="pt-PT"/>
        </w:rPr>
      </w:pPr>
      <w:r w:rsidRPr="004F68F2">
        <w:rPr>
          <w:lang w:val="pt-PT"/>
        </w:rPr>
        <w:tab/>
        <w:t>***I</w:t>
      </w:r>
      <w:r w:rsidRPr="004F68F2">
        <w:rPr>
          <w:lang w:val="pt-PT"/>
        </w:rPr>
        <w:tab/>
        <w:t>2018/0170(COD)</w:t>
      </w:r>
      <w:r w:rsidRPr="004F68F2">
        <w:rPr>
          <w:lang w:val="pt-PT"/>
        </w:rPr>
        <w:tab/>
        <w:t>COM(2018)0338 – C8-0214/2018</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4F68F2" w:rsidTr="007757CE">
        <w:trPr>
          <w:cantSplit/>
          <w:jc w:val="right"/>
        </w:trPr>
        <w:tc>
          <w:tcPr>
            <w:tcW w:w="8539" w:type="dxa"/>
            <w:gridSpan w:val="3"/>
            <w:tcBorders>
              <w:top w:val="nil"/>
              <w:left w:val="nil"/>
              <w:bottom w:val="nil"/>
              <w:right w:val="nil"/>
            </w:tcBorders>
            <w:shd w:val="clear" w:color="auto" w:fill="FFFFFF"/>
          </w:tcPr>
          <w:p w:rsidR="003E67D2" w:rsidRPr="004F68F2" w:rsidRDefault="003E67D2" w:rsidP="007757CE">
            <w:r w:rsidRPr="004F68F2">
              <w:t>Rapporteur:</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5585" w:type="dxa"/>
            <w:tcBorders>
              <w:top w:val="nil"/>
              <w:left w:val="nil"/>
              <w:bottom w:val="nil"/>
              <w:right w:val="nil"/>
            </w:tcBorders>
            <w:shd w:val="clear" w:color="auto" w:fill="FFFFFF"/>
          </w:tcPr>
          <w:p w:rsidR="003E67D2" w:rsidRPr="004F68F2" w:rsidRDefault="003E67D2" w:rsidP="007757CE">
            <w:r w:rsidRPr="004F68F2">
              <w:t>Marian-Jean Marinescu (PPE)</w:t>
            </w:r>
          </w:p>
        </w:tc>
        <w:tc>
          <w:tcPr>
            <w:tcW w:w="2420" w:type="dxa"/>
            <w:tcBorders>
              <w:top w:val="nil"/>
              <w:left w:val="nil"/>
              <w:bottom w:val="nil"/>
              <w:right w:val="nil"/>
            </w:tcBorders>
            <w:shd w:val="clear" w:color="auto" w:fill="FFFFFF"/>
          </w:tcPr>
          <w:p w:rsidR="003E67D2" w:rsidRPr="004F68F2" w:rsidRDefault="003E67D2" w:rsidP="007757CE"/>
        </w:tc>
      </w:tr>
      <w:tr w:rsidR="003E67D2" w:rsidRPr="004F68F2" w:rsidTr="007757CE">
        <w:trPr>
          <w:cantSplit/>
          <w:jc w:val="right"/>
        </w:trPr>
        <w:tc>
          <w:tcPr>
            <w:tcW w:w="8539" w:type="dxa"/>
            <w:gridSpan w:val="3"/>
            <w:tcBorders>
              <w:top w:val="nil"/>
              <w:left w:val="nil"/>
              <w:bottom w:val="nil"/>
              <w:right w:val="nil"/>
            </w:tcBorders>
            <w:shd w:val="clear" w:color="auto" w:fill="FFFFFF"/>
          </w:tcPr>
          <w:p w:rsidR="003E67D2" w:rsidRPr="004F68F2" w:rsidRDefault="003E67D2" w:rsidP="007757CE">
            <w:r w:rsidRPr="004F68F2">
              <w:t>Fond:</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8005" w:type="dxa"/>
            <w:gridSpan w:val="2"/>
            <w:tcBorders>
              <w:top w:val="nil"/>
              <w:left w:val="nil"/>
              <w:bottom w:val="nil"/>
              <w:right w:val="nil"/>
            </w:tcBorders>
            <w:shd w:val="clear" w:color="auto" w:fill="FFFFFF"/>
          </w:tcPr>
          <w:p w:rsidR="003E67D2" w:rsidRPr="004F68F2" w:rsidRDefault="003E67D2" w:rsidP="007757CE">
            <w:r w:rsidRPr="004F68F2">
              <w:t>CONT</w:t>
            </w:r>
          </w:p>
        </w:tc>
      </w:tr>
    </w:tbl>
    <w:p w:rsidR="003E67D2" w:rsidRPr="004F68F2" w:rsidRDefault="0070694C" w:rsidP="0070694C">
      <w:pPr>
        <w:tabs>
          <w:tab w:val="left" w:pos="1100"/>
        </w:tabs>
        <w:autoSpaceDE w:val="0"/>
        <w:autoSpaceDN w:val="0"/>
        <w:adjustRightInd w:val="0"/>
        <w:ind w:left="1100" w:hanging="400"/>
      </w:pPr>
      <w:r w:rsidRPr="004F68F2">
        <w:rPr>
          <w:rFonts w:ascii="Symbol" w:hAnsi="Symbol"/>
        </w:rPr>
        <w:t></w:t>
      </w:r>
      <w:r w:rsidRPr="004F68F2">
        <w:rPr>
          <w:rFonts w:ascii="Symbol" w:hAnsi="Symbol"/>
        </w:rPr>
        <w:tab/>
      </w:r>
      <w:r w:rsidRPr="004F68F2">
        <w:t>Vote sur l’accord provisoire résultant des négociations interinstitutionnelles</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4F68F2" w:rsidTr="007757CE">
        <w:trPr>
          <w:cantSplit/>
          <w:jc w:val="right"/>
        </w:trPr>
        <w:tc>
          <w:tcPr>
            <w:tcW w:w="1440" w:type="dxa"/>
            <w:tcBorders>
              <w:top w:val="nil"/>
              <w:left w:val="nil"/>
              <w:bottom w:val="nil"/>
              <w:right w:val="nil"/>
            </w:tcBorders>
            <w:shd w:val="clear" w:color="auto" w:fill="FFFFFF"/>
          </w:tcPr>
          <w:p w:rsidR="003E67D2" w:rsidRPr="004F68F2" w:rsidRDefault="003E67D2" w:rsidP="007757CE">
            <w:pPr>
              <w:spacing w:before="120" w:after="240"/>
            </w:pPr>
            <w:r w:rsidRPr="004F68F2">
              <w:rPr>
                <w:b/>
                <w:bCs/>
              </w:rPr>
              <w:t>Décision:</w:t>
            </w:r>
          </w:p>
        </w:tc>
        <w:tc>
          <w:tcPr>
            <w:tcW w:w="7102" w:type="dxa"/>
            <w:tcBorders>
              <w:top w:val="nil"/>
              <w:left w:val="nil"/>
              <w:bottom w:val="nil"/>
              <w:right w:val="nil"/>
            </w:tcBorders>
            <w:shd w:val="clear" w:color="auto" w:fill="FFFFFF"/>
          </w:tcPr>
          <w:p w:rsidR="003E67D2" w:rsidRPr="004F68F2" w:rsidRDefault="003E67D2" w:rsidP="007757CE">
            <w:pPr>
              <w:spacing w:before="120" w:after="240"/>
            </w:pPr>
            <w:r w:rsidRPr="004F68F2">
              <w:t>adopté par 25 voix pour, 3 contre et 0 abstention.</w:t>
            </w:r>
          </w:p>
        </w:tc>
      </w:tr>
    </w:tbl>
    <w:p w:rsidR="003E67D2" w:rsidRPr="004F68F2" w:rsidRDefault="003E67D2" w:rsidP="003E67D2">
      <w:pPr>
        <w:spacing w:before="240"/>
        <w:jc w:val="center"/>
      </w:pPr>
      <w:r w:rsidRPr="004F68F2">
        <w:t>* * *</w:t>
      </w:r>
    </w:p>
    <w:p w:rsidR="003E67D2" w:rsidRPr="004F68F2" w:rsidRDefault="003E67D2" w:rsidP="003E67D2">
      <w:pPr>
        <w:spacing w:before="240"/>
        <w:ind w:left="708" w:hanging="708"/>
      </w:pPr>
      <w:r w:rsidRPr="004F68F2">
        <w:rPr>
          <w:b/>
          <w:bCs/>
        </w:rPr>
        <w:t>5.</w:t>
      </w:r>
      <w:r w:rsidRPr="004F68F2">
        <w:tab/>
      </w:r>
      <w:r w:rsidRPr="004F68F2">
        <w:rPr>
          <w:b/>
          <w:bCs/>
        </w:rPr>
        <w:t>Rapport spécial nº 12/2020 de la Cour des comptes européenne (décharge 2019): Plateforme européenne de conseil en investissement: lancée pour stimuler l’investissement dans l’UE, elle n’a pas eu l’impact voulu.</w:t>
      </w:r>
    </w:p>
    <w:p w:rsidR="003E67D2" w:rsidRPr="004F68F2" w:rsidRDefault="003E67D2" w:rsidP="003E67D2">
      <w:r w:rsidRPr="004F68F2">
        <w:tab/>
        <w:t>CONT/9/03491</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4F68F2" w:rsidTr="007757CE">
        <w:trPr>
          <w:cantSplit/>
          <w:jc w:val="right"/>
        </w:trPr>
        <w:tc>
          <w:tcPr>
            <w:tcW w:w="8539" w:type="dxa"/>
            <w:gridSpan w:val="3"/>
            <w:tcBorders>
              <w:top w:val="nil"/>
              <w:left w:val="nil"/>
              <w:bottom w:val="nil"/>
              <w:right w:val="nil"/>
            </w:tcBorders>
            <w:shd w:val="clear" w:color="auto" w:fill="FFFFFF"/>
          </w:tcPr>
          <w:p w:rsidR="003E67D2" w:rsidRPr="004F68F2" w:rsidRDefault="003E67D2" w:rsidP="007757CE">
            <w:r w:rsidRPr="004F68F2">
              <w:t>Rapporteure:</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5585" w:type="dxa"/>
            <w:tcBorders>
              <w:top w:val="nil"/>
              <w:left w:val="nil"/>
              <w:bottom w:val="nil"/>
              <w:right w:val="nil"/>
            </w:tcBorders>
            <w:shd w:val="clear" w:color="auto" w:fill="FFFFFF"/>
          </w:tcPr>
          <w:p w:rsidR="003E67D2" w:rsidRPr="004F68F2" w:rsidRDefault="003E67D2" w:rsidP="007757CE">
            <w:r w:rsidRPr="004F68F2">
              <w:t>Maria Grapini (S&amp;D)</w:t>
            </w:r>
          </w:p>
        </w:tc>
        <w:tc>
          <w:tcPr>
            <w:tcW w:w="2420" w:type="dxa"/>
            <w:tcBorders>
              <w:top w:val="nil"/>
              <w:left w:val="nil"/>
              <w:bottom w:val="nil"/>
              <w:right w:val="nil"/>
            </w:tcBorders>
            <w:shd w:val="clear" w:color="auto" w:fill="FFFFFF"/>
          </w:tcPr>
          <w:p w:rsidR="003E67D2" w:rsidRPr="004F68F2" w:rsidRDefault="003E67D2" w:rsidP="007757CE">
            <w:pPr>
              <w:jc w:val="right"/>
            </w:pPr>
            <w:r w:rsidRPr="004F68F2">
              <w:t>DT – PE655.654v02-00</w:t>
            </w:r>
          </w:p>
        </w:tc>
      </w:tr>
    </w:tbl>
    <w:p w:rsidR="003E67D2" w:rsidRPr="004F68F2" w:rsidRDefault="0070694C" w:rsidP="0070694C">
      <w:pPr>
        <w:tabs>
          <w:tab w:val="left" w:pos="1100"/>
        </w:tabs>
        <w:autoSpaceDE w:val="0"/>
        <w:autoSpaceDN w:val="0"/>
        <w:adjustRightInd w:val="0"/>
        <w:ind w:left="1100" w:hanging="400"/>
      </w:pPr>
      <w:r w:rsidRPr="004F68F2">
        <w:rPr>
          <w:rFonts w:ascii="Symbol" w:hAnsi="Symbol"/>
        </w:rPr>
        <w:t></w:t>
      </w:r>
      <w:r w:rsidRPr="004F68F2">
        <w:rPr>
          <w:rFonts w:ascii="Symbol" w:hAnsi="Symbol"/>
        </w:rPr>
        <w:tab/>
      </w:r>
      <w:r w:rsidRPr="004F68F2">
        <w:t>Présentation du rapport spécial par Annemie Turtelboom, membre rapporteure de la Cour des comptes européenne</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4F68F2" w:rsidTr="007757CE">
        <w:trPr>
          <w:cantSplit/>
          <w:trHeight w:val="641"/>
          <w:jc w:val="right"/>
        </w:trPr>
        <w:tc>
          <w:tcPr>
            <w:tcW w:w="1440" w:type="dxa"/>
            <w:tcBorders>
              <w:top w:val="nil"/>
              <w:left w:val="nil"/>
              <w:bottom w:val="nil"/>
              <w:right w:val="nil"/>
            </w:tcBorders>
            <w:shd w:val="clear" w:color="auto" w:fill="FFFFFF"/>
          </w:tcPr>
          <w:p w:rsidR="003E67D2" w:rsidRPr="004F68F2" w:rsidRDefault="003E67D2" w:rsidP="007757CE">
            <w:pPr>
              <w:spacing w:before="120" w:after="240"/>
            </w:pPr>
            <w:r w:rsidRPr="004F68F2">
              <w:rPr>
                <w:b/>
                <w:bCs/>
              </w:rPr>
              <w:t>Décision:</w:t>
            </w:r>
          </w:p>
        </w:tc>
        <w:tc>
          <w:tcPr>
            <w:tcW w:w="7102" w:type="dxa"/>
            <w:tcBorders>
              <w:top w:val="nil"/>
              <w:left w:val="nil"/>
              <w:bottom w:val="nil"/>
              <w:right w:val="nil"/>
            </w:tcBorders>
            <w:shd w:val="clear" w:color="auto" w:fill="FFFFFF"/>
          </w:tcPr>
          <w:p w:rsidR="003E67D2" w:rsidRPr="004F68F2" w:rsidRDefault="003E67D2" w:rsidP="007757CE">
            <w:pPr>
              <w:spacing w:before="120" w:after="240"/>
            </w:pPr>
            <w:r w:rsidRPr="004F68F2">
              <w:t>Échange de vues</w:t>
            </w:r>
          </w:p>
        </w:tc>
      </w:tr>
    </w:tbl>
    <w:p w:rsidR="003E67D2" w:rsidRPr="004F68F2" w:rsidRDefault="003E67D2" w:rsidP="003E67D2">
      <w:pPr>
        <w:autoSpaceDE w:val="0"/>
        <w:autoSpaceDN w:val="0"/>
        <w:adjustRightInd w:val="0"/>
      </w:pPr>
      <w:r w:rsidRPr="004F68F2">
        <w:t xml:space="preserve">Interviennent: </w:t>
      </w:r>
    </w:p>
    <w:p w:rsidR="00AA186A" w:rsidRPr="004F68F2" w:rsidRDefault="00AA186A" w:rsidP="003E67D2">
      <w:pPr>
        <w:autoSpaceDE w:val="0"/>
        <w:autoSpaceDN w:val="0"/>
        <w:adjustRightInd w:val="0"/>
      </w:pPr>
    </w:p>
    <w:p w:rsidR="003E67D2" w:rsidRPr="004F68F2" w:rsidRDefault="003E67D2" w:rsidP="003E67D2">
      <w:pPr>
        <w:autoSpaceDE w:val="0"/>
        <w:autoSpaceDN w:val="0"/>
        <w:adjustRightInd w:val="0"/>
      </w:pPr>
      <w:r w:rsidRPr="004F68F2">
        <w:t>Isabel García Muñoz, Annemie Turtleboom (CCE), Katalin Cseh, José Manuel Fernandes, Mikuláš Peksa, Ryszard Czarnecki, Giorgio Chiarion Casoni (Commission européenne, DG ECFIN) et Frank Lee (BEI).</w:t>
      </w:r>
    </w:p>
    <w:p w:rsidR="003E67D2" w:rsidRPr="004F68F2" w:rsidRDefault="003E67D2" w:rsidP="003E67D2">
      <w:pPr>
        <w:spacing w:before="240"/>
        <w:ind w:left="708" w:hanging="708"/>
      </w:pPr>
      <w:r w:rsidRPr="004F68F2">
        <w:rPr>
          <w:b/>
          <w:bCs/>
        </w:rPr>
        <w:lastRenderedPageBreak/>
        <w:t>6.</w:t>
      </w:r>
      <w:r w:rsidRPr="004F68F2">
        <w:tab/>
      </w:r>
      <w:r w:rsidRPr="004F68F2">
        <w:rPr>
          <w:b/>
          <w:bCs/>
        </w:rPr>
        <w:t>Rapport spécial nº 09/2020 de la Cour des comptes européenne (décharge 2019): Réseau routier central de l’UE: pas encore pleinement opérationnel, mais des temps de trajet réduits</w:t>
      </w:r>
    </w:p>
    <w:p w:rsidR="003E67D2" w:rsidRPr="004F68F2" w:rsidRDefault="003E67D2" w:rsidP="003E67D2">
      <w:r w:rsidRPr="004F68F2">
        <w:tab/>
        <w:t>CONT/9/04005</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4F68F2" w:rsidTr="007757CE">
        <w:trPr>
          <w:cantSplit/>
          <w:jc w:val="right"/>
        </w:trPr>
        <w:tc>
          <w:tcPr>
            <w:tcW w:w="8539" w:type="dxa"/>
            <w:gridSpan w:val="3"/>
            <w:tcBorders>
              <w:top w:val="nil"/>
              <w:left w:val="nil"/>
              <w:bottom w:val="nil"/>
              <w:right w:val="nil"/>
            </w:tcBorders>
            <w:shd w:val="clear" w:color="auto" w:fill="FFFFFF"/>
          </w:tcPr>
          <w:p w:rsidR="003E67D2" w:rsidRPr="004F68F2" w:rsidRDefault="003E67D2" w:rsidP="007757CE">
            <w:r w:rsidRPr="004F68F2">
              <w:t>Rapporteur:</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5585" w:type="dxa"/>
            <w:tcBorders>
              <w:top w:val="nil"/>
              <w:left w:val="nil"/>
              <w:bottom w:val="nil"/>
              <w:right w:val="nil"/>
            </w:tcBorders>
            <w:shd w:val="clear" w:color="auto" w:fill="FFFFFF"/>
          </w:tcPr>
          <w:p w:rsidR="003E67D2" w:rsidRPr="004F68F2" w:rsidRDefault="003E67D2" w:rsidP="007757CE">
            <w:r w:rsidRPr="004F68F2">
              <w:t>Marian-Jean Marinescu (PPE)</w:t>
            </w:r>
          </w:p>
        </w:tc>
        <w:tc>
          <w:tcPr>
            <w:tcW w:w="2420" w:type="dxa"/>
            <w:tcBorders>
              <w:top w:val="nil"/>
              <w:left w:val="nil"/>
              <w:bottom w:val="nil"/>
              <w:right w:val="nil"/>
            </w:tcBorders>
            <w:shd w:val="clear" w:color="auto" w:fill="FFFFFF"/>
          </w:tcPr>
          <w:p w:rsidR="003E67D2" w:rsidRPr="004F68F2" w:rsidRDefault="003E67D2" w:rsidP="007757CE">
            <w:pPr>
              <w:jc w:val="right"/>
            </w:pPr>
            <w:r w:rsidRPr="004F68F2">
              <w:t>DT – PE658.839v01-00</w:t>
            </w:r>
          </w:p>
        </w:tc>
      </w:tr>
    </w:tbl>
    <w:p w:rsidR="003E67D2" w:rsidRPr="004F68F2" w:rsidRDefault="0070694C" w:rsidP="0070694C">
      <w:pPr>
        <w:tabs>
          <w:tab w:val="left" w:pos="1100"/>
        </w:tabs>
        <w:autoSpaceDE w:val="0"/>
        <w:autoSpaceDN w:val="0"/>
        <w:adjustRightInd w:val="0"/>
        <w:ind w:left="1100" w:hanging="400"/>
      </w:pPr>
      <w:r w:rsidRPr="004F68F2">
        <w:rPr>
          <w:rFonts w:ascii="Symbol" w:hAnsi="Symbol"/>
        </w:rPr>
        <w:t></w:t>
      </w:r>
      <w:r w:rsidRPr="004F68F2">
        <w:rPr>
          <w:rFonts w:ascii="Symbol" w:hAnsi="Symbol"/>
        </w:rPr>
        <w:tab/>
      </w:r>
      <w:r w:rsidRPr="004F68F2">
        <w:t>Présentation du rapport spécial par Ladislav Balko, membre rapporteur de la Cour des comptes européenne</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4F68F2" w:rsidTr="007757CE">
        <w:trPr>
          <w:cantSplit/>
          <w:jc w:val="right"/>
        </w:trPr>
        <w:tc>
          <w:tcPr>
            <w:tcW w:w="1440" w:type="dxa"/>
            <w:tcBorders>
              <w:top w:val="nil"/>
              <w:left w:val="nil"/>
              <w:bottom w:val="nil"/>
              <w:right w:val="nil"/>
            </w:tcBorders>
            <w:shd w:val="clear" w:color="auto" w:fill="FFFFFF"/>
          </w:tcPr>
          <w:p w:rsidR="003E67D2" w:rsidRPr="004F68F2" w:rsidRDefault="003E67D2" w:rsidP="007757CE">
            <w:pPr>
              <w:spacing w:before="120" w:after="240"/>
            </w:pPr>
            <w:r w:rsidRPr="004F68F2">
              <w:rPr>
                <w:b/>
                <w:bCs/>
              </w:rPr>
              <w:t>Décision:</w:t>
            </w:r>
          </w:p>
        </w:tc>
        <w:tc>
          <w:tcPr>
            <w:tcW w:w="7101" w:type="dxa"/>
            <w:tcBorders>
              <w:top w:val="nil"/>
              <w:left w:val="nil"/>
              <w:bottom w:val="nil"/>
              <w:right w:val="nil"/>
            </w:tcBorders>
            <w:shd w:val="clear" w:color="auto" w:fill="FFFFFF"/>
          </w:tcPr>
          <w:p w:rsidR="003E67D2" w:rsidRPr="004F68F2" w:rsidRDefault="003E67D2" w:rsidP="007757CE">
            <w:pPr>
              <w:spacing w:before="120" w:after="240"/>
            </w:pPr>
            <w:r w:rsidRPr="004F68F2">
              <w:t>Échange de vues</w:t>
            </w:r>
          </w:p>
        </w:tc>
      </w:tr>
    </w:tbl>
    <w:p w:rsidR="003E67D2" w:rsidRPr="004F68F2" w:rsidRDefault="003E67D2" w:rsidP="003E67D2">
      <w:pPr>
        <w:autoSpaceDE w:val="0"/>
        <w:autoSpaceDN w:val="0"/>
        <w:adjustRightInd w:val="0"/>
      </w:pPr>
      <w:r w:rsidRPr="004F68F2">
        <w:t xml:space="preserve">Interviennent: </w:t>
      </w:r>
    </w:p>
    <w:p w:rsidR="00AA186A" w:rsidRPr="004F68F2" w:rsidRDefault="00AA186A" w:rsidP="003E67D2">
      <w:pPr>
        <w:autoSpaceDE w:val="0"/>
        <w:autoSpaceDN w:val="0"/>
        <w:adjustRightInd w:val="0"/>
      </w:pPr>
    </w:p>
    <w:p w:rsidR="003E67D2" w:rsidRPr="004F68F2" w:rsidRDefault="003E67D2" w:rsidP="003E67D2">
      <w:pPr>
        <w:autoSpaceDE w:val="0"/>
        <w:autoSpaceDN w:val="0"/>
        <w:adjustRightInd w:val="0"/>
        <w:rPr>
          <w:bCs/>
        </w:rPr>
      </w:pPr>
      <w:r w:rsidRPr="004F68F2">
        <w:t>Isabel García Muñoz, Marian-Jean Marinescu, Ryszard Czarnecki, Philippe Chantraine (Commission européenne, DG MOVE) et Aleksandra Klis (CCE).</w:t>
      </w:r>
    </w:p>
    <w:p w:rsidR="003E67D2" w:rsidRPr="004F68F2" w:rsidRDefault="003E67D2" w:rsidP="003E67D2">
      <w:pPr>
        <w:spacing w:before="240"/>
        <w:ind w:left="708" w:hanging="708"/>
      </w:pPr>
      <w:r w:rsidRPr="004F68F2">
        <w:rPr>
          <w:b/>
          <w:bCs/>
        </w:rPr>
        <w:t>7.</w:t>
      </w:r>
      <w:r w:rsidRPr="004F68F2">
        <w:tab/>
      </w:r>
      <w:r w:rsidRPr="004F68F2">
        <w:rPr>
          <w:b/>
          <w:bCs/>
        </w:rPr>
        <w:t>Rapport spécial nº 11/2020 de la Cour des comptes européenne (décharge 2019): Efficacité énergétique des bâtiments: donner plus d’importance à la rentabilité</w:t>
      </w:r>
    </w:p>
    <w:p w:rsidR="003E67D2" w:rsidRPr="004F68F2" w:rsidRDefault="003E67D2" w:rsidP="003E67D2">
      <w:r w:rsidRPr="004F68F2">
        <w:tab/>
        <w:t>CONT/9/04334</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4F68F2" w:rsidTr="007757CE">
        <w:trPr>
          <w:cantSplit/>
          <w:jc w:val="right"/>
        </w:trPr>
        <w:tc>
          <w:tcPr>
            <w:tcW w:w="8539" w:type="dxa"/>
            <w:gridSpan w:val="3"/>
            <w:tcBorders>
              <w:top w:val="nil"/>
              <w:left w:val="nil"/>
              <w:bottom w:val="nil"/>
              <w:right w:val="nil"/>
            </w:tcBorders>
            <w:shd w:val="clear" w:color="auto" w:fill="FFFFFF"/>
          </w:tcPr>
          <w:p w:rsidR="003E67D2" w:rsidRPr="004F68F2" w:rsidRDefault="003E67D2" w:rsidP="007757CE">
            <w:r w:rsidRPr="004F68F2">
              <w:t>Rapporteur:</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5585" w:type="dxa"/>
            <w:tcBorders>
              <w:top w:val="nil"/>
              <w:left w:val="nil"/>
              <w:bottom w:val="nil"/>
              <w:right w:val="nil"/>
            </w:tcBorders>
            <w:shd w:val="clear" w:color="auto" w:fill="FFFFFF"/>
          </w:tcPr>
          <w:p w:rsidR="003E67D2" w:rsidRPr="004F68F2" w:rsidRDefault="003E67D2" w:rsidP="007757CE">
            <w:r w:rsidRPr="004F68F2">
              <w:t>Lefteris Christoforou (PPE)</w:t>
            </w:r>
          </w:p>
        </w:tc>
        <w:tc>
          <w:tcPr>
            <w:tcW w:w="2420" w:type="dxa"/>
            <w:tcBorders>
              <w:top w:val="nil"/>
              <w:left w:val="nil"/>
              <w:bottom w:val="nil"/>
              <w:right w:val="nil"/>
            </w:tcBorders>
            <w:shd w:val="clear" w:color="auto" w:fill="FFFFFF"/>
          </w:tcPr>
          <w:p w:rsidR="003E67D2" w:rsidRPr="004F68F2" w:rsidRDefault="003E67D2" w:rsidP="007757CE">
            <w:pPr>
              <w:jc w:val="right"/>
            </w:pPr>
            <w:r w:rsidRPr="004F68F2">
              <w:t>DT – PE658.933v01-00</w:t>
            </w:r>
          </w:p>
        </w:tc>
      </w:tr>
    </w:tbl>
    <w:p w:rsidR="003E67D2" w:rsidRPr="004F68F2" w:rsidRDefault="0070694C" w:rsidP="0070694C">
      <w:pPr>
        <w:tabs>
          <w:tab w:val="left" w:pos="1100"/>
        </w:tabs>
        <w:autoSpaceDE w:val="0"/>
        <w:autoSpaceDN w:val="0"/>
        <w:adjustRightInd w:val="0"/>
        <w:ind w:left="1100" w:hanging="400"/>
      </w:pPr>
      <w:r w:rsidRPr="004F68F2">
        <w:rPr>
          <w:rFonts w:ascii="Symbol" w:hAnsi="Symbol"/>
        </w:rPr>
        <w:t></w:t>
      </w:r>
      <w:r w:rsidRPr="004F68F2">
        <w:rPr>
          <w:rFonts w:ascii="Symbol" w:hAnsi="Symbol"/>
        </w:rPr>
        <w:tab/>
      </w:r>
      <w:r w:rsidRPr="004F68F2">
        <w:t>Présentation du rapport spécial par João Figueiredo, membre rapporteur de la Cour des comptes européenne</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4F68F2" w:rsidTr="007757CE">
        <w:trPr>
          <w:cantSplit/>
          <w:jc w:val="right"/>
        </w:trPr>
        <w:tc>
          <w:tcPr>
            <w:tcW w:w="1440" w:type="dxa"/>
            <w:tcBorders>
              <w:top w:val="nil"/>
              <w:left w:val="nil"/>
              <w:bottom w:val="nil"/>
              <w:right w:val="nil"/>
            </w:tcBorders>
            <w:shd w:val="clear" w:color="auto" w:fill="FFFFFF"/>
          </w:tcPr>
          <w:p w:rsidR="003E67D2" w:rsidRPr="004F68F2" w:rsidRDefault="003E67D2" w:rsidP="007757CE">
            <w:pPr>
              <w:spacing w:before="120" w:after="240"/>
            </w:pPr>
            <w:r w:rsidRPr="004F68F2">
              <w:rPr>
                <w:b/>
                <w:bCs/>
              </w:rPr>
              <w:t>Décision:</w:t>
            </w:r>
          </w:p>
        </w:tc>
        <w:tc>
          <w:tcPr>
            <w:tcW w:w="7101" w:type="dxa"/>
            <w:tcBorders>
              <w:top w:val="nil"/>
              <w:left w:val="nil"/>
              <w:bottom w:val="nil"/>
              <w:right w:val="nil"/>
            </w:tcBorders>
            <w:shd w:val="clear" w:color="auto" w:fill="FFFFFF"/>
          </w:tcPr>
          <w:p w:rsidR="003E67D2" w:rsidRPr="004F68F2" w:rsidRDefault="003E67D2" w:rsidP="007757CE">
            <w:pPr>
              <w:spacing w:before="120" w:after="240"/>
            </w:pPr>
            <w:r w:rsidRPr="004F68F2">
              <w:t>Échange de vues</w:t>
            </w:r>
          </w:p>
        </w:tc>
      </w:tr>
    </w:tbl>
    <w:p w:rsidR="003E67D2" w:rsidRPr="004F68F2" w:rsidRDefault="003E67D2" w:rsidP="003E67D2">
      <w:pPr>
        <w:autoSpaceDE w:val="0"/>
        <w:autoSpaceDN w:val="0"/>
        <w:adjustRightInd w:val="0"/>
      </w:pPr>
      <w:r w:rsidRPr="004F68F2">
        <w:t xml:space="preserve">Interviennent: </w:t>
      </w:r>
    </w:p>
    <w:p w:rsidR="00AA186A" w:rsidRPr="004F68F2" w:rsidRDefault="00AA186A" w:rsidP="003E67D2">
      <w:pPr>
        <w:autoSpaceDE w:val="0"/>
        <w:autoSpaceDN w:val="0"/>
        <w:adjustRightInd w:val="0"/>
      </w:pPr>
    </w:p>
    <w:p w:rsidR="003E67D2" w:rsidRPr="004F68F2" w:rsidRDefault="003E67D2" w:rsidP="003E67D2">
      <w:pPr>
        <w:autoSpaceDE w:val="0"/>
        <w:autoSpaceDN w:val="0"/>
        <w:adjustRightInd w:val="0"/>
        <w:rPr>
          <w:bCs/>
        </w:rPr>
      </w:pPr>
      <w:r w:rsidRPr="004F68F2">
        <w:t>Isabel García Muñoz, João Figueiredo (CCE), Lefteris Christoforou, Sándor Rónai, Pascal Durand, Mikuláš Peksa, et Nicolas De Michelis (Commission européenne, DG REGIO).</w:t>
      </w:r>
    </w:p>
    <w:p w:rsidR="003E67D2" w:rsidRPr="004F68F2" w:rsidRDefault="003E67D2" w:rsidP="003E67D2">
      <w:pPr>
        <w:autoSpaceDE w:val="0"/>
        <w:autoSpaceDN w:val="0"/>
        <w:adjustRightInd w:val="0"/>
        <w:rPr>
          <w:bCs/>
        </w:rPr>
      </w:pPr>
    </w:p>
    <w:p w:rsidR="003E67D2" w:rsidRPr="004F68F2" w:rsidRDefault="003E67D2" w:rsidP="003E67D2">
      <w:pPr>
        <w:tabs>
          <w:tab w:val="left" w:pos="1100"/>
          <w:tab w:val="right" w:pos="9200"/>
        </w:tabs>
      </w:pPr>
      <w:r w:rsidRPr="004F68F2">
        <w:t>La séance est levée à 15 h 31.</w:t>
      </w:r>
    </w:p>
    <w:p w:rsidR="0070694C" w:rsidRPr="004F68F2" w:rsidRDefault="0070694C" w:rsidP="0070694C">
      <w:pPr>
        <w:spacing w:before="240"/>
        <w:jc w:val="center"/>
      </w:pPr>
      <w:r w:rsidRPr="004F68F2">
        <w:t>* * *</w:t>
      </w:r>
    </w:p>
    <w:p w:rsidR="0070694C" w:rsidRPr="004F68F2" w:rsidRDefault="0070694C" w:rsidP="0070694C">
      <w:pPr>
        <w:spacing w:before="240"/>
      </w:pPr>
      <w:r w:rsidRPr="004F68F2">
        <w:t>La séance reprend à 16 h 50, sous la présidence d’Isabel García Muñoz, première vice-présidente.</w:t>
      </w:r>
    </w:p>
    <w:p w:rsidR="003E67D2" w:rsidRPr="004F68F2" w:rsidRDefault="003E67D2" w:rsidP="003E67D2">
      <w:pPr>
        <w:spacing w:before="600"/>
        <w:rPr>
          <w:b/>
          <w:bCs/>
          <w:lang w:val="pt-PT"/>
        </w:rPr>
      </w:pPr>
      <w:r w:rsidRPr="004F68F2">
        <w:rPr>
          <w:b/>
          <w:bCs/>
          <w:lang w:val="pt-PT"/>
        </w:rPr>
        <w:t>15 octobre 2020, de 16 h 45 à 16 h 50</w:t>
      </w:r>
    </w:p>
    <w:p w:rsidR="003E67D2" w:rsidRPr="004F68F2" w:rsidRDefault="003E67D2" w:rsidP="003E67D2">
      <w:pPr>
        <w:spacing w:before="240"/>
        <w:ind w:left="708" w:hanging="708"/>
      </w:pPr>
      <w:r w:rsidRPr="004F68F2">
        <w:rPr>
          <w:b/>
          <w:bCs/>
        </w:rPr>
        <w:t>8.</w:t>
      </w:r>
      <w:r w:rsidRPr="004F68F2">
        <w:tab/>
      </w:r>
      <w:r w:rsidRPr="004F68F2">
        <w:rPr>
          <w:b/>
          <w:bCs/>
        </w:rPr>
        <w:t>Communication, par la présidente, des résultats de la première séance de vote</w:t>
      </w:r>
    </w:p>
    <w:p w:rsidR="003E67D2" w:rsidRPr="004F68F2" w:rsidRDefault="003E67D2" w:rsidP="003E67D2">
      <w:pPr>
        <w:spacing w:before="240"/>
      </w:pPr>
      <w:r w:rsidRPr="004F68F2">
        <w:rPr>
          <w:b/>
          <w:bCs/>
          <w:i/>
          <w:iCs/>
        </w:rPr>
        <w:t>*** Ouverture de la procédure de vote à distance: Deuxième séance de vote ***</w:t>
      </w:r>
    </w:p>
    <w:p w:rsidR="003E67D2" w:rsidRPr="004F68F2" w:rsidRDefault="003E67D2" w:rsidP="003E67D2">
      <w:pPr>
        <w:spacing w:before="240"/>
        <w:jc w:val="center"/>
        <w:rPr>
          <w:lang w:val="pt-PT"/>
        </w:rPr>
      </w:pPr>
      <w:r w:rsidRPr="004F68F2">
        <w:rPr>
          <w:lang w:val="pt-PT"/>
        </w:rPr>
        <w:t>* * *</w:t>
      </w:r>
    </w:p>
    <w:p w:rsidR="003E67D2" w:rsidRPr="004F68F2" w:rsidRDefault="003E67D2" w:rsidP="003E67D2">
      <w:pPr>
        <w:spacing w:before="600"/>
        <w:rPr>
          <w:lang w:val="pt-PT"/>
        </w:rPr>
      </w:pPr>
      <w:r w:rsidRPr="004F68F2">
        <w:rPr>
          <w:b/>
          <w:bCs/>
          <w:lang w:val="pt-PT"/>
        </w:rPr>
        <w:lastRenderedPageBreak/>
        <w:t>15 octobre 2020, de 16 h 50 à 18 h 15</w:t>
      </w:r>
    </w:p>
    <w:p w:rsidR="003E67D2" w:rsidRPr="004F68F2" w:rsidRDefault="003E67D2" w:rsidP="003E67D2">
      <w:pPr>
        <w:spacing w:before="240"/>
      </w:pPr>
      <w:r w:rsidRPr="004F68F2">
        <w:rPr>
          <w:b/>
          <w:bCs/>
          <w:i/>
          <w:iCs/>
        </w:rPr>
        <w:t>Conjointement avec la commission de l’environnement, de la santé publique et de la sécurité alimentaire (ENVI) et la commission de l’agriculture (AGRI)</w:t>
      </w:r>
    </w:p>
    <w:p w:rsidR="003E67D2" w:rsidRPr="004F68F2" w:rsidRDefault="003E67D2" w:rsidP="003E67D2">
      <w:pPr>
        <w:spacing w:before="240"/>
      </w:pPr>
      <w:r w:rsidRPr="004F68F2">
        <w:rPr>
          <w:b/>
          <w:bCs/>
          <w:i/>
          <w:iCs/>
        </w:rPr>
        <w:t>Mise en œuvre de la politique agricole commune</w:t>
      </w:r>
    </w:p>
    <w:p w:rsidR="003E67D2" w:rsidRPr="004F68F2" w:rsidRDefault="003E67D2" w:rsidP="003E67D2">
      <w:pPr>
        <w:spacing w:before="240"/>
        <w:ind w:left="708" w:hanging="708"/>
      </w:pPr>
      <w:r w:rsidRPr="004F68F2">
        <w:rPr>
          <w:b/>
          <w:bCs/>
        </w:rPr>
        <w:t>9.</w:t>
      </w:r>
      <w:r w:rsidRPr="004F68F2">
        <w:tab/>
      </w:r>
      <w:r w:rsidRPr="004F68F2">
        <w:rPr>
          <w:b/>
          <w:bCs/>
        </w:rPr>
        <w:t>Rapport spécial nº 04/2020 de la Cour des comptes européenne (décharge 2019): Nouvelles technologies d’imagerie et suivi de la politique agricole commune: des progrès constants dans l’ensemble, quoique plus lents dans le domaine de l’environnement et du climat</w:t>
      </w:r>
    </w:p>
    <w:p w:rsidR="003E67D2" w:rsidRPr="004F68F2" w:rsidRDefault="003E67D2" w:rsidP="003E67D2">
      <w:r w:rsidRPr="004F68F2">
        <w:tab/>
        <w:t>CONT/9/02678</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4F68F2" w:rsidTr="007757CE">
        <w:trPr>
          <w:cantSplit/>
          <w:jc w:val="right"/>
        </w:trPr>
        <w:tc>
          <w:tcPr>
            <w:tcW w:w="8539" w:type="dxa"/>
            <w:gridSpan w:val="3"/>
            <w:tcBorders>
              <w:top w:val="nil"/>
              <w:left w:val="nil"/>
              <w:bottom w:val="nil"/>
              <w:right w:val="nil"/>
            </w:tcBorders>
            <w:shd w:val="clear" w:color="auto" w:fill="FFFFFF"/>
          </w:tcPr>
          <w:p w:rsidR="003E67D2" w:rsidRPr="004F68F2" w:rsidRDefault="003E67D2" w:rsidP="007757CE">
            <w:r w:rsidRPr="004F68F2">
              <w:t>Rapporteur:</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5585" w:type="dxa"/>
            <w:tcBorders>
              <w:top w:val="nil"/>
              <w:left w:val="nil"/>
              <w:bottom w:val="nil"/>
              <w:right w:val="nil"/>
            </w:tcBorders>
            <w:shd w:val="clear" w:color="auto" w:fill="FFFFFF"/>
          </w:tcPr>
          <w:p w:rsidR="003E67D2" w:rsidRPr="004F68F2" w:rsidRDefault="003E67D2" w:rsidP="007757CE">
            <w:pPr>
              <w:rPr>
                <w:lang w:val="en-GB"/>
              </w:rPr>
            </w:pPr>
            <w:r w:rsidRPr="004F68F2">
              <w:rPr>
                <w:lang w:val="en-GB"/>
              </w:rPr>
              <w:t>Luke Ming Flanagan (GUE/NGL)</w:t>
            </w:r>
          </w:p>
        </w:tc>
        <w:tc>
          <w:tcPr>
            <w:tcW w:w="2420" w:type="dxa"/>
            <w:tcBorders>
              <w:top w:val="nil"/>
              <w:left w:val="nil"/>
              <w:bottom w:val="nil"/>
              <w:right w:val="nil"/>
            </w:tcBorders>
            <w:shd w:val="clear" w:color="auto" w:fill="FFFFFF"/>
          </w:tcPr>
          <w:p w:rsidR="003E67D2" w:rsidRPr="004F68F2" w:rsidRDefault="003E67D2" w:rsidP="007757CE">
            <w:pPr>
              <w:rPr>
                <w:lang w:val="en-GB"/>
              </w:rPr>
            </w:pPr>
          </w:p>
        </w:tc>
      </w:tr>
    </w:tbl>
    <w:p w:rsidR="003E67D2" w:rsidRPr="004F68F2" w:rsidRDefault="0070694C" w:rsidP="0070694C">
      <w:pPr>
        <w:tabs>
          <w:tab w:val="left" w:pos="1100"/>
        </w:tabs>
        <w:autoSpaceDE w:val="0"/>
        <w:autoSpaceDN w:val="0"/>
        <w:adjustRightInd w:val="0"/>
        <w:ind w:left="1100" w:hanging="400"/>
      </w:pPr>
      <w:r w:rsidRPr="004F68F2">
        <w:rPr>
          <w:rFonts w:ascii="Symbol" w:hAnsi="Symbol"/>
        </w:rPr>
        <w:t></w:t>
      </w:r>
      <w:r w:rsidRPr="004F68F2">
        <w:rPr>
          <w:rFonts w:ascii="Symbol" w:hAnsi="Symbol"/>
        </w:rPr>
        <w:tab/>
      </w:r>
      <w:r w:rsidRPr="004F68F2">
        <w:t>Présentation du rapport spécial par Nikolaos Milionis, membre rapporteur de la Cour des comptes européenne</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4F68F2" w:rsidTr="007757CE">
        <w:trPr>
          <w:cantSplit/>
          <w:jc w:val="right"/>
        </w:trPr>
        <w:tc>
          <w:tcPr>
            <w:tcW w:w="1440" w:type="dxa"/>
            <w:tcBorders>
              <w:top w:val="nil"/>
              <w:left w:val="nil"/>
              <w:bottom w:val="nil"/>
              <w:right w:val="nil"/>
            </w:tcBorders>
            <w:shd w:val="clear" w:color="auto" w:fill="FFFFFF"/>
          </w:tcPr>
          <w:p w:rsidR="003E67D2" w:rsidRPr="004F68F2" w:rsidRDefault="003E67D2" w:rsidP="007757CE">
            <w:pPr>
              <w:spacing w:before="120" w:after="240"/>
            </w:pPr>
            <w:r w:rsidRPr="004F68F2">
              <w:rPr>
                <w:b/>
                <w:bCs/>
              </w:rPr>
              <w:t>Décision:</w:t>
            </w:r>
          </w:p>
        </w:tc>
        <w:tc>
          <w:tcPr>
            <w:tcW w:w="7102" w:type="dxa"/>
            <w:tcBorders>
              <w:top w:val="nil"/>
              <w:left w:val="nil"/>
              <w:bottom w:val="nil"/>
              <w:right w:val="nil"/>
            </w:tcBorders>
            <w:shd w:val="clear" w:color="auto" w:fill="FFFFFF"/>
          </w:tcPr>
          <w:p w:rsidR="003E67D2" w:rsidRPr="004F68F2" w:rsidRDefault="003E67D2" w:rsidP="007757CE">
            <w:pPr>
              <w:spacing w:before="120" w:after="240"/>
            </w:pPr>
            <w:r w:rsidRPr="004F68F2">
              <w:t>Échange de vues</w:t>
            </w:r>
          </w:p>
        </w:tc>
      </w:tr>
    </w:tbl>
    <w:p w:rsidR="003E67D2" w:rsidRPr="004F68F2" w:rsidRDefault="003E67D2" w:rsidP="003E67D2">
      <w:pPr>
        <w:spacing w:before="240"/>
        <w:ind w:left="708" w:hanging="708"/>
      </w:pPr>
      <w:r w:rsidRPr="004F68F2">
        <w:rPr>
          <w:b/>
          <w:bCs/>
        </w:rPr>
        <w:t>10.</w:t>
      </w:r>
      <w:r w:rsidRPr="004F68F2">
        <w:tab/>
      </w:r>
      <w:r w:rsidRPr="004F68F2">
        <w:rPr>
          <w:b/>
          <w:bCs/>
        </w:rPr>
        <w:t>Rapport spécial nº 13/2020 de la Cour des comptes européenne (décharge 2019): Biodiversité des terres agricoles: la contribution de la PAC n’a pas permis d’enrayer le déclin</w:t>
      </w:r>
    </w:p>
    <w:p w:rsidR="003E67D2" w:rsidRPr="004F68F2" w:rsidRDefault="003E67D2" w:rsidP="003E67D2">
      <w:r w:rsidRPr="004F68F2">
        <w:tab/>
        <w:t>CONT/9/03493</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4F68F2" w:rsidTr="007757CE">
        <w:trPr>
          <w:cantSplit/>
          <w:jc w:val="right"/>
        </w:trPr>
        <w:tc>
          <w:tcPr>
            <w:tcW w:w="8539" w:type="dxa"/>
            <w:gridSpan w:val="3"/>
            <w:tcBorders>
              <w:top w:val="nil"/>
              <w:left w:val="nil"/>
              <w:bottom w:val="nil"/>
              <w:right w:val="nil"/>
            </w:tcBorders>
            <w:shd w:val="clear" w:color="auto" w:fill="FFFFFF"/>
          </w:tcPr>
          <w:p w:rsidR="003E67D2" w:rsidRPr="004F68F2" w:rsidRDefault="003E67D2" w:rsidP="007757CE">
            <w:r w:rsidRPr="004F68F2">
              <w:t>Rapporteure:</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5585" w:type="dxa"/>
            <w:tcBorders>
              <w:top w:val="nil"/>
              <w:left w:val="nil"/>
              <w:bottom w:val="nil"/>
              <w:right w:val="nil"/>
            </w:tcBorders>
            <w:shd w:val="clear" w:color="auto" w:fill="FFFFFF"/>
          </w:tcPr>
          <w:p w:rsidR="003E67D2" w:rsidRPr="004F68F2" w:rsidRDefault="003E67D2" w:rsidP="007757CE">
            <w:r w:rsidRPr="004F68F2">
              <w:t>Viola Von Cramon-Taubadel (Verts/ALE)</w:t>
            </w:r>
          </w:p>
        </w:tc>
        <w:tc>
          <w:tcPr>
            <w:tcW w:w="2420" w:type="dxa"/>
            <w:tcBorders>
              <w:top w:val="nil"/>
              <w:left w:val="nil"/>
              <w:bottom w:val="nil"/>
              <w:right w:val="nil"/>
            </w:tcBorders>
            <w:shd w:val="clear" w:color="auto" w:fill="FFFFFF"/>
          </w:tcPr>
          <w:p w:rsidR="003E67D2" w:rsidRPr="004F68F2" w:rsidRDefault="003E67D2" w:rsidP="007757CE"/>
        </w:tc>
      </w:tr>
    </w:tbl>
    <w:p w:rsidR="003E67D2" w:rsidRPr="004F68F2" w:rsidRDefault="0070694C" w:rsidP="0070694C">
      <w:pPr>
        <w:tabs>
          <w:tab w:val="left" w:pos="1100"/>
        </w:tabs>
        <w:autoSpaceDE w:val="0"/>
        <w:autoSpaceDN w:val="0"/>
        <w:adjustRightInd w:val="0"/>
        <w:ind w:left="1100" w:hanging="400"/>
      </w:pPr>
      <w:r w:rsidRPr="004F68F2">
        <w:rPr>
          <w:rFonts w:ascii="Symbol" w:hAnsi="Symbol"/>
        </w:rPr>
        <w:t></w:t>
      </w:r>
      <w:r w:rsidRPr="004F68F2">
        <w:rPr>
          <w:rFonts w:ascii="Symbol" w:hAnsi="Symbol"/>
        </w:rPr>
        <w:tab/>
      </w:r>
      <w:r w:rsidRPr="004F68F2">
        <w:t>Présentation du rapport spécial par Viorel Ștefan, membre rapporteur de la Cour des comptes européenne</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4F68F2" w:rsidTr="007757CE">
        <w:trPr>
          <w:cantSplit/>
          <w:jc w:val="right"/>
        </w:trPr>
        <w:tc>
          <w:tcPr>
            <w:tcW w:w="1440" w:type="dxa"/>
            <w:tcBorders>
              <w:top w:val="nil"/>
              <w:left w:val="nil"/>
              <w:bottom w:val="nil"/>
              <w:right w:val="nil"/>
            </w:tcBorders>
            <w:shd w:val="clear" w:color="auto" w:fill="FFFFFF"/>
          </w:tcPr>
          <w:p w:rsidR="003E67D2" w:rsidRPr="004F68F2" w:rsidRDefault="003E67D2" w:rsidP="007757CE">
            <w:pPr>
              <w:spacing w:before="120" w:after="240"/>
            </w:pPr>
            <w:r w:rsidRPr="004F68F2">
              <w:rPr>
                <w:b/>
                <w:bCs/>
              </w:rPr>
              <w:t>Décision:</w:t>
            </w:r>
          </w:p>
        </w:tc>
        <w:tc>
          <w:tcPr>
            <w:tcW w:w="7101" w:type="dxa"/>
            <w:tcBorders>
              <w:top w:val="nil"/>
              <w:left w:val="nil"/>
              <w:bottom w:val="nil"/>
              <w:right w:val="nil"/>
            </w:tcBorders>
            <w:shd w:val="clear" w:color="auto" w:fill="FFFFFF"/>
          </w:tcPr>
          <w:p w:rsidR="003E67D2" w:rsidRPr="004F68F2" w:rsidRDefault="003E67D2" w:rsidP="007757CE">
            <w:pPr>
              <w:spacing w:before="120" w:after="240"/>
            </w:pPr>
            <w:r w:rsidRPr="004F68F2">
              <w:t>Échange de vues</w:t>
            </w:r>
          </w:p>
        </w:tc>
      </w:tr>
    </w:tbl>
    <w:p w:rsidR="003E67D2" w:rsidRPr="004F68F2" w:rsidRDefault="003E67D2" w:rsidP="003E67D2">
      <w:pPr>
        <w:autoSpaceDE w:val="0"/>
        <w:autoSpaceDN w:val="0"/>
        <w:adjustRightInd w:val="0"/>
      </w:pPr>
    </w:p>
    <w:p w:rsidR="003E67D2" w:rsidRPr="004F68F2" w:rsidRDefault="003E67D2" w:rsidP="003E67D2">
      <w:pPr>
        <w:autoSpaceDE w:val="0"/>
        <w:autoSpaceDN w:val="0"/>
        <w:adjustRightInd w:val="0"/>
      </w:pPr>
      <w:r w:rsidRPr="004F68F2">
        <w:t xml:space="preserve">Interviennent: </w:t>
      </w:r>
    </w:p>
    <w:p w:rsidR="003E67D2" w:rsidRPr="004F68F2" w:rsidRDefault="003E67D2" w:rsidP="003E67D2">
      <w:pPr>
        <w:spacing w:before="240"/>
        <w:rPr>
          <w:b/>
          <w:bCs/>
        </w:rPr>
      </w:pPr>
      <w:r w:rsidRPr="004F68F2">
        <w:t>Isabel García Muñoz, Pascal Canfin (président de la commission ENVI), Daniel Buda (AGRI,</w:t>
      </w:r>
      <w:r w:rsidR="004F68F2" w:rsidRPr="004F68F2">
        <w:t> </w:t>
      </w:r>
      <w:r w:rsidRPr="004F68F2">
        <w:t>2</w:t>
      </w:r>
      <w:r w:rsidRPr="004F68F2">
        <w:rPr>
          <w:vertAlign w:val="superscript"/>
        </w:rPr>
        <w:t>e</w:t>
      </w:r>
      <w:r w:rsidRPr="004F68F2">
        <w:t xml:space="preserve"> vice-président), Nikolaos Milionis (CCE), Viorel Stefan (CCE), Sebastian Lakner, Pierre Bascou (Commission européenne, DG AGRI), Viola Von Cramon-Taubadel, Michal Wiezik (ENVI), Simone Schmiedtbauer (AGRI), Isabel Carvalhais (AGRI), Jytte Guteland (ENVI), María Soraya Rodríguez Ramos (ENVI), Irène Tolleret (AGRI), Marco Dreosto (ENVI), Grace O’Sullivan (ENVI), Jutta Paulus (ENVI), Luke Ming Flanagan, Pietro Fiocchi (ENVI), Veronika Vrecionová (AGRI) et Mick Wallace (ENVI). </w:t>
      </w:r>
    </w:p>
    <w:p w:rsidR="003E67D2" w:rsidRPr="004F68F2" w:rsidRDefault="003E67D2" w:rsidP="003E67D2">
      <w:pPr>
        <w:spacing w:before="240"/>
        <w:jc w:val="center"/>
        <w:rPr>
          <w:lang w:val="pt-PT"/>
        </w:rPr>
      </w:pPr>
      <w:r w:rsidRPr="004F68F2">
        <w:rPr>
          <w:lang w:val="pt-PT"/>
        </w:rPr>
        <w:t>* * *</w:t>
      </w:r>
    </w:p>
    <w:p w:rsidR="003E67D2" w:rsidRPr="004F68F2" w:rsidRDefault="003E67D2" w:rsidP="003E67D2">
      <w:pPr>
        <w:spacing w:before="600"/>
        <w:rPr>
          <w:b/>
          <w:bCs/>
          <w:lang w:val="pt-PT"/>
        </w:rPr>
      </w:pPr>
      <w:r w:rsidRPr="004F68F2">
        <w:rPr>
          <w:b/>
          <w:bCs/>
          <w:lang w:val="pt-PT"/>
        </w:rPr>
        <w:t>15 octobre 2020, de 18 h 15 à 18 h 45</w:t>
      </w:r>
    </w:p>
    <w:p w:rsidR="003E67D2" w:rsidRPr="004F68F2" w:rsidRDefault="003E67D2" w:rsidP="003E67D2">
      <w:pPr>
        <w:spacing w:before="240"/>
      </w:pPr>
      <w:r w:rsidRPr="004F68F2">
        <w:rPr>
          <w:b/>
          <w:bCs/>
          <w:i/>
          <w:iCs/>
        </w:rPr>
        <w:t>Mise en œuvre de la politique de cohésion</w:t>
      </w:r>
    </w:p>
    <w:p w:rsidR="003E67D2" w:rsidRPr="004F68F2" w:rsidRDefault="003E67D2" w:rsidP="003E67D2">
      <w:pPr>
        <w:spacing w:before="240"/>
        <w:ind w:left="708" w:hanging="708"/>
      </w:pPr>
      <w:r w:rsidRPr="004F68F2">
        <w:rPr>
          <w:b/>
          <w:bCs/>
        </w:rPr>
        <w:lastRenderedPageBreak/>
        <w:t>11.</w:t>
      </w:r>
      <w:r w:rsidRPr="004F68F2">
        <w:tab/>
      </w:r>
      <w:r w:rsidRPr="004F68F2">
        <w:rPr>
          <w:b/>
          <w:bCs/>
        </w:rPr>
        <w:t>Rapport spécial nº 7/2020 de la Cour des comptes européenne (décharge 2019): Mise en œuvre de la politique de cohésion: coûts relativement faibles, mais manque d’informations pour pouvoir évaluer les économies liées à la simplification</w:t>
      </w:r>
    </w:p>
    <w:p w:rsidR="003E67D2" w:rsidRPr="004F68F2" w:rsidRDefault="003E67D2" w:rsidP="003E67D2">
      <w:r w:rsidRPr="004F68F2">
        <w:tab/>
        <w:t>CONT/9/03246</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4F68F2" w:rsidTr="007757CE">
        <w:trPr>
          <w:cantSplit/>
          <w:jc w:val="right"/>
        </w:trPr>
        <w:tc>
          <w:tcPr>
            <w:tcW w:w="8539" w:type="dxa"/>
            <w:gridSpan w:val="3"/>
            <w:tcBorders>
              <w:top w:val="nil"/>
              <w:left w:val="nil"/>
              <w:bottom w:val="nil"/>
              <w:right w:val="nil"/>
            </w:tcBorders>
            <w:shd w:val="clear" w:color="auto" w:fill="FFFFFF"/>
          </w:tcPr>
          <w:p w:rsidR="003E67D2" w:rsidRPr="004F68F2" w:rsidRDefault="003E67D2" w:rsidP="007757CE">
            <w:r w:rsidRPr="004F68F2">
              <w:t>Rapporteure:</w:t>
            </w:r>
          </w:p>
        </w:tc>
      </w:tr>
      <w:tr w:rsidR="003E67D2" w:rsidRPr="004F68F2" w:rsidTr="007757CE">
        <w:trPr>
          <w:cantSplit/>
          <w:jc w:val="right"/>
        </w:trPr>
        <w:tc>
          <w:tcPr>
            <w:tcW w:w="534" w:type="dxa"/>
            <w:tcBorders>
              <w:top w:val="nil"/>
              <w:left w:val="nil"/>
              <w:bottom w:val="nil"/>
              <w:right w:val="nil"/>
            </w:tcBorders>
            <w:shd w:val="clear" w:color="auto" w:fill="FFFFFF"/>
          </w:tcPr>
          <w:p w:rsidR="003E67D2" w:rsidRPr="004F68F2" w:rsidRDefault="003E67D2" w:rsidP="007757CE"/>
        </w:tc>
        <w:tc>
          <w:tcPr>
            <w:tcW w:w="5585" w:type="dxa"/>
            <w:tcBorders>
              <w:top w:val="nil"/>
              <w:left w:val="nil"/>
              <w:bottom w:val="nil"/>
              <w:right w:val="nil"/>
            </w:tcBorders>
            <w:shd w:val="clear" w:color="auto" w:fill="FFFFFF"/>
          </w:tcPr>
          <w:p w:rsidR="003E67D2" w:rsidRPr="004F68F2" w:rsidRDefault="003E67D2" w:rsidP="007757CE">
            <w:r w:rsidRPr="004F68F2">
              <w:t>Viola Von Cramon-Taubadel (Verts/ALE)</w:t>
            </w:r>
          </w:p>
        </w:tc>
        <w:tc>
          <w:tcPr>
            <w:tcW w:w="2420" w:type="dxa"/>
            <w:tcBorders>
              <w:top w:val="nil"/>
              <w:left w:val="nil"/>
              <w:bottom w:val="nil"/>
              <w:right w:val="nil"/>
            </w:tcBorders>
            <w:shd w:val="clear" w:color="auto" w:fill="FFFFFF"/>
          </w:tcPr>
          <w:p w:rsidR="003E67D2" w:rsidRPr="004F68F2" w:rsidRDefault="003E67D2" w:rsidP="007757CE"/>
        </w:tc>
      </w:tr>
    </w:tbl>
    <w:p w:rsidR="003E67D2" w:rsidRPr="004F68F2" w:rsidRDefault="0070694C" w:rsidP="0070694C">
      <w:pPr>
        <w:tabs>
          <w:tab w:val="left" w:pos="1100"/>
        </w:tabs>
        <w:autoSpaceDE w:val="0"/>
        <w:autoSpaceDN w:val="0"/>
        <w:adjustRightInd w:val="0"/>
        <w:ind w:left="1100" w:hanging="400"/>
      </w:pPr>
      <w:r w:rsidRPr="004F68F2">
        <w:rPr>
          <w:rFonts w:ascii="Symbol" w:hAnsi="Symbol"/>
        </w:rPr>
        <w:t></w:t>
      </w:r>
      <w:r w:rsidRPr="004F68F2">
        <w:rPr>
          <w:rFonts w:ascii="Symbol" w:hAnsi="Symbol"/>
        </w:rPr>
        <w:tab/>
      </w:r>
      <w:r w:rsidRPr="004F68F2">
        <w:t>Présentation du rapport spécial par Pietro Russo, membre rapporteur de la Cour des comptes européenne</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4F68F2" w:rsidTr="007757CE">
        <w:trPr>
          <w:cantSplit/>
          <w:jc w:val="right"/>
        </w:trPr>
        <w:tc>
          <w:tcPr>
            <w:tcW w:w="1440" w:type="dxa"/>
            <w:tcBorders>
              <w:top w:val="nil"/>
              <w:left w:val="nil"/>
              <w:bottom w:val="nil"/>
              <w:right w:val="nil"/>
            </w:tcBorders>
            <w:shd w:val="clear" w:color="auto" w:fill="FFFFFF"/>
          </w:tcPr>
          <w:p w:rsidR="003E67D2" w:rsidRPr="004F68F2" w:rsidRDefault="003E67D2" w:rsidP="007757CE">
            <w:pPr>
              <w:spacing w:before="120" w:after="240"/>
            </w:pPr>
            <w:r w:rsidRPr="004F68F2">
              <w:rPr>
                <w:b/>
                <w:bCs/>
              </w:rPr>
              <w:t>Décision:</w:t>
            </w:r>
          </w:p>
        </w:tc>
        <w:tc>
          <w:tcPr>
            <w:tcW w:w="7101" w:type="dxa"/>
            <w:tcBorders>
              <w:top w:val="nil"/>
              <w:left w:val="nil"/>
              <w:bottom w:val="nil"/>
              <w:right w:val="nil"/>
            </w:tcBorders>
            <w:shd w:val="clear" w:color="auto" w:fill="FFFFFF"/>
          </w:tcPr>
          <w:p w:rsidR="003E67D2" w:rsidRPr="004F68F2" w:rsidRDefault="003E67D2" w:rsidP="007757CE">
            <w:pPr>
              <w:spacing w:before="120" w:after="240"/>
            </w:pPr>
            <w:r w:rsidRPr="004F68F2">
              <w:t>Échange de vues</w:t>
            </w:r>
          </w:p>
        </w:tc>
      </w:tr>
    </w:tbl>
    <w:p w:rsidR="003E67D2" w:rsidRPr="004F68F2" w:rsidRDefault="003E67D2" w:rsidP="003E67D2">
      <w:pPr>
        <w:autoSpaceDE w:val="0"/>
        <w:autoSpaceDN w:val="0"/>
        <w:adjustRightInd w:val="0"/>
      </w:pPr>
      <w:r w:rsidRPr="004F68F2">
        <w:t xml:space="preserve">Interviennent: </w:t>
      </w:r>
    </w:p>
    <w:p w:rsidR="003E67D2" w:rsidRPr="004F68F2" w:rsidRDefault="003E67D2" w:rsidP="003E67D2">
      <w:pPr>
        <w:autoSpaceDE w:val="0"/>
        <w:autoSpaceDN w:val="0"/>
        <w:adjustRightInd w:val="0"/>
      </w:pPr>
    </w:p>
    <w:p w:rsidR="003E67D2" w:rsidRPr="004F68F2" w:rsidRDefault="003E67D2" w:rsidP="003E67D2">
      <w:pPr>
        <w:autoSpaceDE w:val="0"/>
        <w:autoSpaceDN w:val="0"/>
        <w:adjustRightInd w:val="0"/>
        <w:rPr>
          <w:bCs/>
        </w:rPr>
      </w:pPr>
      <w:r w:rsidRPr="004F68F2">
        <w:t>Isabel García Muñoz, Pietro Russo (CCE), Viola Von Cramon-Taubadel, José Manuel Fernandes, Sándor Rónai, Pierre Karleskind, Ryszard Czarnecki et Nicola De Michelis (Commission européenne, DG REGIO).</w:t>
      </w:r>
    </w:p>
    <w:p w:rsidR="003E67D2" w:rsidRPr="004F68F2" w:rsidRDefault="003E67D2" w:rsidP="003E67D2">
      <w:pPr>
        <w:spacing w:before="240"/>
        <w:ind w:left="708" w:hanging="708"/>
      </w:pPr>
      <w:r w:rsidRPr="004F68F2">
        <w:rPr>
          <w:b/>
          <w:bCs/>
        </w:rPr>
        <w:t>12.</w:t>
      </w:r>
      <w:r w:rsidRPr="004F68F2">
        <w:tab/>
      </w:r>
      <w:r w:rsidRPr="004F68F2">
        <w:rPr>
          <w:b/>
          <w:bCs/>
        </w:rPr>
        <w:t>Communication, par la présidente, des résultats de la deuxième séance de vote</w:t>
      </w:r>
    </w:p>
    <w:p w:rsidR="003E67D2" w:rsidRPr="004F68F2" w:rsidRDefault="003E67D2" w:rsidP="003E67D2">
      <w:pPr>
        <w:spacing w:before="240"/>
        <w:ind w:left="708" w:hanging="708"/>
      </w:pPr>
      <w:r w:rsidRPr="004F68F2">
        <w:rPr>
          <w:b/>
          <w:bCs/>
        </w:rPr>
        <w:t>13.</w:t>
      </w:r>
      <w:r w:rsidRPr="004F68F2">
        <w:tab/>
      </w:r>
      <w:r w:rsidRPr="004F68F2">
        <w:rPr>
          <w:b/>
          <w:bCs/>
        </w:rPr>
        <w:t>Questions diverses</w:t>
      </w:r>
    </w:p>
    <w:p w:rsidR="003E67D2" w:rsidRPr="004F68F2" w:rsidRDefault="003E67D2" w:rsidP="003E67D2">
      <w:pPr>
        <w:spacing w:before="240"/>
        <w:ind w:left="708" w:hanging="708"/>
      </w:pPr>
      <w:r w:rsidRPr="004F68F2">
        <w:rPr>
          <w:b/>
          <w:bCs/>
        </w:rPr>
        <w:t>14.</w:t>
      </w:r>
      <w:r w:rsidRPr="004F68F2">
        <w:tab/>
      </w:r>
      <w:r w:rsidRPr="004F68F2">
        <w:rPr>
          <w:b/>
          <w:bCs/>
        </w:rPr>
        <w:t>Prochaines réunions</w:t>
      </w:r>
    </w:p>
    <w:p w:rsidR="003E67D2" w:rsidRPr="004F68F2" w:rsidRDefault="0070694C" w:rsidP="0070694C">
      <w:pPr>
        <w:tabs>
          <w:tab w:val="left" w:pos="1100"/>
          <w:tab w:val="right" w:pos="9200"/>
        </w:tabs>
        <w:autoSpaceDE w:val="0"/>
        <w:autoSpaceDN w:val="0"/>
        <w:adjustRightInd w:val="0"/>
        <w:ind w:left="1100" w:hanging="400"/>
      </w:pPr>
      <w:r w:rsidRPr="004F68F2">
        <w:rPr>
          <w:rFonts w:ascii="Symbol" w:hAnsi="Symbol"/>
        </w:rPr>
        <w:t></w:t>
      </w:r>
      <w:r w:rsidRPr="004F68F2">
        <w:rPr>
          <w:rFonts w:ascii="Symbol" w:hAnsi="Symbol"/>
        </w:rPr>
        <w:tab/>
      </w:r>
      <w:r w:rsidRPr="004F68F2">
        <w:t>28 octobre 2020, de 13 h 45 à 15 h 45 et de 16 h 45 à 18 h 45</w:t>
      </w:r>
    </w:p>
    <w:p w:rsidR="003E67D2" w:rsidRPr="004F68F2" w:rsidRDefault="0070694C" w:rsidP="0070694C">
      <w:pPr>
        <w:tabs>
          <w:tab w:val="left" w:pos="1100"/>
          <w:tab w:val="right" w:pos="9200"/>
        </w:tabs>
        <w:autoSpaceDE w:val="0"/>
        <w:autoSpaceDN w:val="0"/>
        <w:adjustRightInd w:val="0"/>
        <w:ind w:left="1100" w:hanging="400"/>
      </w:pPr>
      <w:r w:rsidRPr="004F68F2">
        <w:rPr>
          <w:rFonts w:ascii="Symbol" w:hAnsi="Symbol"/>
        </w:rPr>
        <w:t></w:t>
      </w:r>
      <w:r w:rsidRPr="004F68F2">
        <w:rPr>
          <w:rFonts w:ascii="Symbol" w:hAnsi="Symbol"/>
        </w:rPr>
        <w:tab/>
      </w:r>
      <w:r w:rsidRPr="004F68F2">
        <w:t>29 octobre 2020, de 9 heures à 11 heures et de 11 h 30 à 12 h 30</w:t>
      </w:r>
    </w:p>
    <w:p w:rsidR="003E67D2" w:rsidRPr="004F68F2" w:rsidRDefault="0070694C" w:rsidP="0070694C">
      <w:pPr>
        <w:tabs>
          <w:tab w:val="left" w:pos="1100"/>
          <w:tab w:val="right" w:pos="9200"/>
        </w:tabs>
        <w:autoSpaceDE w:val="0"/>
        <w:autoSpaceDN w:val="0"/>
        <w:adjustRightInd w:val="0"/>
        <w:ind w:left="1100" w:hanging="400"/>
      </w:pPr>
      <w:r w:rsidRPr="004F68F2">
        <w:rPr>
          <w:rFonts w:ascii="Symbol" w:hAnsi="Symbol"/>
        </w:rPr>
        <w:t></w:t>
      </w:r>
      <w:r w:rsidRPr="004F68F2">
        <w:rPr>
          <w:rFonts w:ascii="Symbol" w:hAnsi="Symbol"/>
        </w:rPr>
        <w:tab/>
      </w:r>
      <w:r w:rsidRPr="004F68F2">
        <w:t>10 novembre 2020, de 9 heures à 11 heures et de 11 h 30 à 12 h 30 puis de 13 h 45 à 15 h 45 et de 16 h 45 à 18 h 45 (Bruxelles)</w:t>
      </w:r>
    </w:p>
    <w:p w:rsidR="003E67D2" w:rsidRPr="004F68F2" w:rsidRDefault="003E67D2" w:rsidP="003E67D2"/>
    <w:p w:rsidR="003E67D2" w:rsidRPr="004F68F2" w:rsidRDefault="003E67D2" w:rsidP="003E67D2">
      <w:pPr>
        <w:tabs>
          <w:tab w:val="left" w:pos="1100"/>
          <w:tab w:val="right" w:pos="9200"/>
        </w:tabs>
      </w:pPr>
      <w:r w:rsidRPr="004F68F2">
        <w:t>La séance est levée à 18 h 52.</w:t>
      </w:r>
    </w:p>
    <w:p w:rsidR="003E67D2" w:rsidRPr="004F68F2" w:rsidRDefault="003E67D2" w:rsidP="003E67D2"/>
    <w:p w:rsidR="003E67D2" w:rsidRPr="004F68F2" w:rsidRDefault="003E67D2" w:rsidP="003E67D2"/>
    <w:p w:rsidR="00CA70CB" w:rsidRPr="004F68F2" w:rsidRDefault="00CA70CB">
      <w:pPr>
        <w:tabs>
          <w:tab w:val="left" w:pos="-1057"/>
          <w:tab w:val="left" w:pos="-720"/>
          <w:tab w:val="left" w:pos="0"/>
          <w:tab w:val="left" w:pos="720"/>
          <w:tab w:val="left" w:pos="2154"/>
          <w:tab w:val="left" w:pos="2880"/>
        </w:tabs>
        <w:sectPr w:rsidR="00CA70CB" w:rsidRPr="004F68F2" w:rsidSect="00B65376">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40" w:code="9"/>
          <w:pgMar w:top="1134" w:right="1418" w:bottom="1418" w:left="1418" w:header="1134" w:footer="567" w:gutter="0"/>
          <w:cols w:space="720"/>
          <w:titlePg/>
          <w:docGrid w:linePitch="326"/>
        </w:sectPr>
      </w:pPr>
    </w:p>
    <w:p w:rsidR="00DC63A9" w:rsidRPr="004F68F2" w:rsidRDefault="00A65DED" w:rsidP="00DC63A9">
      <w:pPr>
        <w:pStyle w:val="RollCallHeading"/>
      </w:pPr>
      <w:r w:rsidRPr="004F68F2">
        <w:lastRenderedPageBreak/>
        <w:t>Résultats des votes par appel nominal</w:t>
      </w:r>
    </w:p>
    <w:p w:rsidR="008D7AD4" w:rsidRPr="004F68F2" w:rsidRDefault="00A65DED" w:rsidP="00DC63A9">
      <w:pPr>
        <w:pStyle w:val="RollCallContents"/>
        <w:rPr>
          <w:lang w:val="en-GB"/>
        </w:rPr>
      </w:pPr>
      <w:r w:rsidRPr="004F68F2">
        <w:rPr>
          <w:lang w:val="en-GB"/>
        </w:rPr>
        <w:t>Sommaire</w:t>
      </w:r>
    </w:p>
    <w:p w:rsidR="004F68F2" w:rsidRDefault="00A16FC5">
      <w:pPr>
        <w:pStyle w:val="TOC1"/>
        <w:tabs>
          <w:tab w:val="left" w:pos="426"/>
          <w:tab w:val="right" w:leader="dot" w:pos="9061"/>
        </w:tabs>
        <w:rPr>
          <w:rFonts w:asciiTheme="minorHAnsi" w:eastAsiaTheme="minorEastAsia" w:hAnsiTheme="minorHAnsi" w:cstheme="minorBidi"/>
          <w:noProof/>
          <w:snapToGrid/>
          <w:sz w:val="22"/>
          <w:szCs w:val="22"/>
          <w:lang w:val="en-GB" w:eastAsia="en-GB"/>
        </w:rPr>
      </w:pPr>
      <w:r w:rsidRPr="004F68F2">
        <w:fldChar w:fldCharType="begin"/>
      </w:r>
      <w:r w:rsidRPr="004F68F2">
        <w:instrText xml:space="preserve"> TOC \t "RollCallTitle</w:instrText>
      </w:r>
      <w:r w:rsidR="00CD4116" w:rsidRPr="004F68F2">
        <w:instrText>;</w:instrText>
      </w:r>
      <w:r w:rsidRPr="004F68F2">
        <w:instrText>1</w:instrText>
      </w:r>
      <w:r w:rsidR="00CD4116" w:rsidRPr="004F68F2">
        <w:instrText>;</w:instrText>
      </w:r>
      <w:r w:rsidRPr="004F68F2">
        <w:instrText>RollCallSubtitle</w:instrText>
      </w:r>
      <w:r w:rsidR="00CD4116" w:rsidRPr="004F68F2">
        <w:instrText>;</w:instrText>
      </w:r>
      <w:r w:rsidRPr="004F68F2">
        <w:instrText xml:space="preserve">2" </w:instrText>
      </w:r>
      <w:r w:rsidRPr="004F68F2">
        <w:fldChar w:fldCharType="separate"/>
      </w:r>
      <w:r w:rsidR="004F68F2" w:rsidRPr="00665AA4">
        <w:rPr>
          <w:b/>
          <w:noProof/>
        </w:rPr>
        <w:t>3.</w:t>
      </w:r>
      <w:r w:rsidR="004F68F2">
        <w:rPr>
          <w:rFonts w:asciiTheme="minorHAnsi" w:eastAsiaTheme="minorEastAsia" w:hAnsiTheme="minorHAnsi" w:cstheme="minorBidi"/>
          <w:noProof/>
          <w:snapToGrid/>
          <w:sz w:val="22"/>
          <w:szCs w:val="22"/>
          <w:lang w:val="en-GB" w:eastAsia="en-GB"/>
        </w:rPr>
        <w:tab/>
      </w:r>
      <w:r w:rsidR="004F68F2" w:rsidRPr="00665AA4">
        <w:rPr>
          <w:b/>
          <w:noProof/>
        </w:rPr>
        <w:t>Établissement d’un mécanisme pour la relance et la résilience</w:t>
      </w:r>
      <w:r w:rsidR="004F68F2">
        <w:rPr>
          <w:noProof/>
        </w:rPr>
        <w:t xml:space="preserve"> - CONT/9/03552</w:t>
      </w:r>
      <w:r w:rsidR="004F68F2">
        <w:rPr>
          <w:noProof/>
        </w:rPr>
        <w:tab/>
      </w:r>
      <w:r w:rsidR="004F68F2">
        <w:rPr>
          <w:noProof/>
        </w:rPr>
        <w:fldChar w:fldCharType="begin"/>
      </w:r>
      <w:r w:rsidR="004F68F2">
        <w:rPr>
          <w:noProof/>
        </w:rPr>
        <w:instrText xml:space="preserve"> PAGEREF _Toc60729573 \h </w:instrText>
      </w:r>
      <w:r w:rsidR="004F68F2">
        <w:rPr>
          <w:noProof/>
        </w:rPr>
      </w:r>
      <w:r w:rsidR="004F68F2">
        <w:rPr>
          <w:noProof/>
        </w:rPr>
        <w:fldChar w:fldCharType="separate"/>
      </w:r>
      <w:r w:rsidR="004F68F2">
        <w:rPr>
          <w:noProof/>
        </w:rPr>
        <w:t>7</w:t>
      </w:r>
      <w:r w:rsidR="004F68F2">
        <w:rPr>
          <w:noProof/>
        </w:rPr>
        <w:fldChar w:fldCharType="end"/>
      </w:r>
    </w:p>
    <w:p w:rsidR="004F68F2" w:rsidRDefault="004F68F2">
      <w:pPr>
        <w:pStyle w:val="TOC2"/>
        <w:tabs>
          <w:tab w:val="left" w:pos="1100"/>
          <w:tab w:val="right" w:leader="dot" w:pos="9061"/>
        </w:tabs>
        <w:rPr>
          <w:rFonts w:asciiTheme="minorHAnsi" w:eastAsiaTheme="minorEastAsia" w:hAnsiTheme="minorHAnsi" w:cstheme="minorBidi"/>
          <w:noProof/>
          <w:snapToGrid/>
          <w:sz w:val="22"/>
          <w:szCs w:val="22"/>
          <w:lang w:val="en-GB" w:eastAsia="en-GB"/>
        </w:rPr>
      </w:pPr>
      <w:r>
        <w:rPr>
          <w:noProof/>
        </w:rPr>
        <w:t>3.1.</w:t>
      </w:r>
      <w:r>
        <w:rPr>
          <w:rFonts w:asciiTheme="minorHAnsi" w:eastAsiaTheme="minorEastAsia" w:hAnsiTheme="minorHAnsi" w:cstheme="minorBidi"/>
          <w:noProof/>
          <w:snapToGrid/>
          <w:sz w:val="22"/>
          <w:szCs w:val="22"/>
          <w:lang w:val="en-GB" w:eastAsia="en-GB"/>
        </w:rPr>
        <w:tab/>
      </w:r>
      <w:r>
        <w:rPr>
          <w:noProof/>
        </w:rPr>
        <w:t>Vote final</w:t>
      </w:r>
      <w:r>
        <w:rPr>
          <w:noProof/>
        </w:rPr>
        <w:tab/>
      </w:r>
      <w:r>
        <w:rPr>
          <w:noProof/>
        </w:rPr>
        <w:fldChar w:fldCharType="begin"/>
      </w:r>
      <w:r>
        <w:rPr>
          <w:noProof/>
        </w:rPr>
        <w:instrText xml:space="preserve"> PAGEREF _Toc60729574 \h </w:instrText>
      </w:r>
      <w:r>
        <w:rPr>
          <w:noProof/>
        </w:rPr>
      </w:r>
      <w:r>
        <w:rPr>
          <w:noProof/>
        </w:rPr>
        <w:fldChar w:fldCharType="separate"/>
      </w:r>
      <w:r>
        <w:rPr>
          <w:noProof/>
        </w:rPr>
        <w:t>7</w:t>
      </w:r>
      <w:r>
        <w:rPr>
          <w:noProof/>
        </w:rPr>
        <w:fldChar w:fldCharType="end"/>
      </w:r>
    </w:p>
    <w:p w:rsidR="004F68F2" w:rsidRDefault="004F68F2">
      <w:pPr>
        <w:pStyle w:val="TOC1"/>
        <w:tabs>
          <w:tab w:val="left" w:pos="426"/>
          <w:tab w:val="right" w:leader="dot" w:pos="9061"/>
        </w:tabs>
        <w:rPr>
          <w:rFonts w:asciiTheme="minorHAnsi" w:eastAsiaTheme="minorEastAsia" w:hAnsiTheme="minorHAnsi" w:cstheme="minorBidi"/>
          <w:noProof/>
          <w:snapToGrid/>
          <w:sz w:val="22"/>
          <w:szCs w:val="22"/>
          <w:lang w:val="en-GB" w:eastAsia="en-GB"/>
        </w:rPr>
      </w:pPr>
      <w:r w:rsidRPr="00665AA4">
        <w:rPr>
          <w:b/>
          <w:noProof/>
        </w:rPr>
        <w:t>4.</w:t>
      </w:r>
      <w:r>
        <w:rPr>
          <w:rFonts w:asciiTheme="minorHAnsi" w:eastAsiaTheme="minorEastAsia" w:hAnsiTheme="minorHAnsi" w:cstheme="minorBidi"/>
          <w:noProof/>
          <w:snapToGrid/>
          <w:sz w:val="22"/>
          <w:szCs w:val="22"/>
          <w:lang w:val="en-GB" w:eastAsia="en-GB"/>
        </w:rPr>
        <w:tab/>
      </w:r>
      <w:r w:rsidRPr="00665AA4">
        <w:rPr>
          <w:b/>
          <w:noProof/>
        </w:rPr>
        <w:t>Enquêtes effectuées par l’Office européen de lutte antifraude (OLAF) en ce qui concerne la coopération avec le Parquet européen et l’efficacité des enquêtes de l’OLAF</w:t>
      </w:r>
      <w:r>
        <w:rPr>
          <w:noProof/>
        </w:rPr>
        <w:t xml:space="preserve"> - CONT/9/01460</w:t>
      </w:r>
      <w:r>
        <w:rPr>
          <w:noProof/>
        </w:rPr>
        <w:tab/>
      </w:r>
      <w:r>
        <w:rPr>
          <w:noProof/>
        </w:rPr>
        <w:fldChar w:fldCharType="begin"/>
      </w:r>
      <w:r>
        <w:rPr>
          <w:noProof/>
        </w:rPr>
        <w:instrText xml:space="preserve"> PAGEREF _Toc60729575 \h </w:instrText>
      </w:r>
      <w:r>
        <w:rPr>
          <w:noProof/>
        </w:rPr>
      </w:r>
      <w:r>
        <w:rPr>
          <w:noProof/>
        </w:rPr>
        <w:fldChar w:fldCharType="separate"/>
      </w:r>
      <w:r>
        <w:rPr>
          <w:noProof/>
        </w:rPr>
        <w:t>8</w:t>
      </w:r>
      <w:r>
        <w:rPr>
          <w:noProof/>
        </w:rPr>
        <w:fldChar w:fldCharType="end"/>
      </w:r>
    </w:p>
    <w:p w:rsidR="004F68F2" w:rsidRDefault="004F68F2">
      <w:pPr>
        <w:pStyle w:val="TOC2"/>
        <w:tabs>
          <w:tab w:val="left" w:pos="1100"/>
          <w:tab w:val="right" w:leader="dot" w:pos="9061"/>
        </w:tabs>
        <w:rPr>
          <w:rFonts w:asciiTheme="minorHAnsi" w:eastAsiaTheme="minorEastAsia" w:hAnsiTheme="minorHAnsi" w:cstheme="minorBidi"/>
          <w:noProof/>
          <w:snapToGrid/>
          <w:sz w:val="22"/>
          <w:szCs w:val="22"/>
          <w:lang w:val="en-GB" w:eastAsia="en-GB"/>
        </w:rPr>
      </w:pPr>
      <w:r>
        <w:rPr>
          <w:noProof/>
        </w:rPr>
        <w:t>4.1.</w:t>
      </w:r>
      <w:r>
        <w:rPr>
          <w:rFonts w:asciiTheme="minorHAnsi" w:eastAsiaTheme="minorEastAsia" w:hAnsiTheme="minorHAnsi" w:cstheme="minorBidi"/>
          <w:noProof/>
          <w:snapToGrid/>
          <w:sz w:val="22"/>
          <w:szCs w:val="22"/>
          <w:lang w:val="en-GB" w:eastAsia="en-GB"/>
        </w:rPr>
        <w:tab/>
      </w:r>
      <w:r>
        <w:rPr>
          <w:noProof/>
        </w:rPr>
        <w:t>Vote final</w:t>
      </w:r>
      <w:r>
        <w:rPr>
          <w:noProof/>
        </w:rPr>
        <w:tab/>
      </w:r>
      <w:r>
        <w:rPr>
          <w:noProof/>
        </w:rPr>
        <w:fldChar w:fldCharType="begin"/>
      </w:r>
      <w:r>
        <w:rPr>
          <w:noProof/>
        </w:rPr>
        <w:instrText xml:space="preserve"> PAGEREF _Toc60729576 \h </w:instrText>
      </w:r>
      <w:r>
        <w:rPr>
          <w:noProof/>
        </w:rPr>
      </w:r>
      <w:r>
        <w:rPr>
          <w:noProof/>
        </w:rPr>
        <w:fldChar w:fldCharType="separate"/>
      </w:r>
      <w:r>
        <w:rPr>
          <w:noProof/>
        </w:rPr>
        <w:t>8</w:t>
      </w:r>
      <w:r>
        <w:rPr>
          <w:noProof/>
        </w:rPr>
        <w:fldChar w:fldCharType="end"/>
      </w:r>
    </w:p>
    <w:p w:rsidR="002659A2" w:rsidRPr="004F68F2" w:rsidRDefault="00A16FC5" w:rsidP="00A16FC5">
      <w:r w:rsidRPr="004F68F2">
        <w:fldChar w:fldCharType="end"/>
      </w:r>
    </w:p>
    <w:p w:rsidR="008D7AD4" w:rsidRPr="004F68F2" w:rsidRDefault="008D7AD4" w:rsidP="00AD4CEB">
      <w:pPr>
        <w:pStyle w:val="Normal12a"/>
      </w:pPr>
      <w:bookmarkStart w:id="0" w:name="_GoBack"/>
      <w:bookmarkEnd w:id="0"/>
    </w:p>
    <w:p w:rsidR="008D7AD4" w:rsidRPr="004F68F2" w:rsidRDefault="00A65DED" w:rsidP="00C36FC4">
      <w:r w:rsidRPr="004F68F2">
        <w:t>Légende des signes utilisés:</w:t>
      </w:r>
    </w:p>
    <w:p w:rsidR="00C36FC4" w:rsidRPr="004F68F2" w:rsidRDefault="00A65DED" w:rsidP="000A769E">
      <w:pPr>
        <w:pStyle w:val="RollCallTabs"/>
      </w:pPr>
      <w:r w:rsidRPr="004F68F2">
        <w:t>+</w:t>
      </w:r>
      <w:r w:rsidRPr="004F68F2">
        <w:tab/>
        <w:t>:</w:t>
      </w:r>
      <w:r w:rsidRPr="004F68F2">
        <w:tab/>
        <w:t>pour</w:t>
      </w:r>
    </w:p>
    <w:p w:rsidR="00C36FC4" w:rsidRPr="004F68F2" w:rsidRDefault="00A65DED" w:rsidP="000A769E">
      <w:pPr>
        <w:pStyle w:val="RollCallTabs"/>
      </w:pPr>
      <w:r w:rsidRPr="004F68F2">
        <w:t>-</w:t>
      </w:r>
      <w:r w:rsidRPr="004F68F2">
        <w:tab/>
        <w:t>:</w:t>
      </w:r>
      <w:r w:rsidRPr="004F68F2">
        <w:tab/>
        <w:t>contre</w:t>
      </w:r>
    </w:p>
    <w:p w:rsidR="00C36FC4" w:rsidRPr="004F68F2" w:rsidRDefault="00A65DED" w:rsidP="000A769E">
      <w:pPr>
        <w:pStyle w:val="RollCallTabs"/>
      </w:pPr>
      <w:r w:rsidRPr="004F68F2">
        <w:t>0</w:t>
      </w:r>
      <w:r w:rsidRPr="004F68F2">
        <w:tab/>
        <w:t>:</w:t>
      </w:r>
      <w:r w:rsidRPr="004F68F2">
        <w:tab/>
        <w:t>abstention</w:t>
      </w:r>
    </w:p>
    <w:p w:rsidR="008D7AD4" w:rsidRPr="004F68F2" w:rsidRDefault="008D7AD4" w:rsidP="00D6668F">
      <w:pPr>
        <w:pStyle w:val="RollCallTitle"/>
      </w:pPr>
      <w:r w:rsidRPr="004F68F2">
        <w:br w:type="page"/>
      </w:r>
    </w:p>
    <w:p w:rsidR="005C25B9" w:rsidRPr="004F68F2" w:rsidRDefault="005C25B9" w:rsidP="005C25B9">
      <w:pPr>
        <w:pStyle w:val="RollCallTitle"/>
        <w:ind w:left="720" w:hanging="720"/>
        <w:rPr>
          <w:b/>
          <w:bCs/>
          <w:szCs w:val="24"/>
        </w:rPr>
      </w:pPr>
      <w:bookmarkStart w:id="1" w:name="_Toc53651548"/>
      <w:bookmarkStart w:id="2" w:name="_Toc39762018"/>
      <w:bookmarkStart w:id="3" w:name="_Toc60729573"/>
      <w:r w:rsidRPr="004F68F2">
        <w:rPr>
          <w:b/>
          <w:szCs w:val="24"/>
        </w:rPr>
        <w:lastRenderedPageBreak/>
        <w:t>3.</w:t>
      </w:r>
      <w:r w:rsidRPr="004F68F2">
        <w:rPr>
          <w:b/>
          <w:szCs w:val="24"/>
        </w:rPr>
        <w:tab/>
        <w:t>Établissement d’un mécanisme pour la relance et la résilience</w:t>
      </w:r>
      <w:r w:rsidRPr="004F68F2">
        <w:t xml:space="preserve"> - CONT/9/03552</w:t>
      </w:r>
      <w:bookmarkEnd w:id="1"/>
      <w:bookmarkEnd w:id="3"/>
    </w:p>
    <w:p w:rsidR="005C25B9" w:rsidRPr="004F68F2" w:rsidRDefault="005C25B9" w:rsidP="005C25B9">
      <w:pPr>
        <w:pStyle w:val="RollCallSubtitle"/>
        <w:rPr>
          <w:szCs w:val="24"/>
        </w:rPr>
      </w:pPr>
      <w:bookmarkStart w:id="4" w:name="_Toc53651549"/>
      <w:bookmarkStart w:id="5" w:name="_Toc60729574"/>
      <w:bookmarkEnd w:id="2"/>
      <w:r w:rsidRPr="004F68F2">
        <w:t>3.1.</w:t>
      </w:r>
      <w:r w:rsidRPr="004F68F2">
        <w:tab/>
      </w:r>
      <w:bookmarkStart w:id="6" w:name="_Toc39762019"/>
      <w:r w:rsidRPr="004F68F2">
        <w:t>Vote fina</w:t>
      </w:r>
      <w:bookmarkEnd w:id="6"/>
      <w:r w:rsidRPr="004F68F2">
        <w:t>l</w:t>
      </w:r>
      <w:bookmarkEnd w:id="4"/>
      <w:bookmarkEnd w:id="5"/>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1358"/>
        <w:gridCol w:w="7697"/>
      </w:tblGrid>
      <w:tr w:rsidR="005C25B9" w:rsidRPr="004F68F2" w:rsidTr="00666667">
        <w:tc>
          <w:tcPr>
            <w:tcW w:w="750" w:type="pct"/>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22</w:t>
            </w:r>
          </w:p>
        </w:tc>
        <w:tc>
          <w:tcPr>
            <w:tcW w:w="4250" w:type="pct"/>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PPE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Lefteris CHRISTOFOROU, José Manuel FERNANDES, Monika HOHLMEIER, Marian-Jean MARINESCU, Angelika WINZIG, Tomáš ZDECHOVSKÝ</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S&amp;D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Caterina CHINNICI, Corina CREȚU, Isabel GARCÍA MUÑOZ, Maria GRAPINI, Tsvetelina PENKOVA, Lara WOLTERS</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RENEW</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Olivier CHASTEL, Martina DLABAJOVÁ, Pierre KARLESKIND, Ramona STRUGARIU</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Verts/ALE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Daniel FREUND, Mikuláš PEKSA, Viola VON CRAMON-TAUBADEL</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GUE/NGL</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pPr>
              <w:rPr>
                <w:lang w:val="en-GB"/>
              </w:rPr>
            </w:pPr>
            <w:r w:rsidRPr="004F68F2">
              <w:rPr>
                <w:lang w:val="en-GB"/>
              </w:rPr>
              <w:t>Luke Ming FLANAGAN, Younous OMARJEE</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NI</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Sabrina PIGNEDOLI</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3</w:t>
            </w:r>
          </w:p>
        </w:tc>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PPE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Tamás DEUTSCH</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ID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Joachim KUHS</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ECR</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Ryszard CZARNECKI</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0</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ID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Matteo ADINOLFI, Jean-François JALKH</w:t>
            </w:r>
          </w:p>
        </w:tc>
      </w:tr>
    </w:tbl>
    <w:p w:rsidR="005C25B9" w:rsidRPr="004F68F2" w:rsidRDefault="005C25B9" w:rsidP="005C25B9">
      <w:pPr>
        <w:rPr>
          <w:szCs w:val="24"/>
        </w:rPr>
      </w:pPr>
    </w:p>
    <w:p w:rsidR="005C25B9" w:rsidRPr="004F68F2" w:rsidRDefault="005C25B9" w:rsidP="005C25B9">
      <w:pPr>
        <w:rPr>
          <w:szCs w:val="24"/>
        </w:rPr>
      </w:pPr>
      <w:r w:rsidRPr="004F68F2">
        <w:br w:type="page"/>
      </w:r>
    </w:p>
    <w:p w:rsidR="005C25B9" w:rsidRPr="004F68F2" w:rsidRDefault="005C25B9" w:rsidP="005C25B9">
      <w:pPr>
        <w:pStyle w:val="RollCallTitle"/>
        <w:ind w:left="720" w:hanging="720"/>
        <w:rPr>
          <w:bCs/>
          <w:szCs w:val="24"/>
        </w:rPr>
      </w:pPr>
      <w:bookmarkStart w:id="7" w:name="_Toc53651550"/>
      <w:bookmarkStart w:id="8" w:name="_Toc60729575"/>
      <w:r w:rsidRPr="004F68F2">
        <w:rPr>
          <w:b/>
          <w:szCs w:val="24"/>
        </w:rPr>
        <w:lastRenderedPageBreak/>
        <w:t>4.</w:t>
      </w:r>
      <w:r w:rsidRPr="004F68F2">
        <w:rPr>
          <w:b/>
          <w:szCs w:val="24"/>
        </w:rPr>
        <w:tab/>
        <w:t>Enquêtes effectuées par l’Office européen de lutte antifraude (OLAF) en ce qui concerne la coopération avec le Parquet européen et l’efficacité des enquêtes de l’OLAF</w:t>
      </w:r>
      <w:r w:rsidRPr="004F68F2">
        <w:t xml:space="preserve"> - CONT/9/01460</w:t>
      </w:r>
      <w:bookmarkEnd w:id="7"/>
      <w:bookmarkEnd w:id="8"/>
    </w:p>
    <w:p w:rsidR="005C25B9" w:rsidRPr="004F68F2" w:rsidRDefault="005C25B9" w:rsidP="005C25B9">
      <w:pPr>
        <w:pStyle w:val="RollCallSubtitle"/>
        <w:rPr>
          <w:szCs w:val="24"/>
        </w:rPr>
      </w:pPr>
      <w:bookmarkStart w:id="9" w:name="_Toc53651551"/>
      <w:bookmarkStart w:id="10" w:name="_Toc60729576"/>
      <w:r w:rsidRPr="004F68F2">
        <w:t>4.1.</w:t>
      </w:r>
      <w:r w:rsidRPr="004F68F2">
        <w:tab/>
        <w:t>Vote final</w:t>
      </w:r>
      <w:bookmarkEnd w:id="9"/>
      <w:bookmarkEnd w:id="10"/>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1358"/>
        <w:gridCol w:w="7697"/>
      </w:tblGrid>
      <w:tr w:rsidR="005C25B9" w:rsidRPr="004F68F2" w:rsidTr="00666667">
        <w:tc>
          <w:tcPr>
            <w:tcW w:w="750" w:type="pct"/>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25</w:t>
            </w:r>
          </w:p>
        </w:tc>
        <w:tc>
          <w:tcPr>
            <w:tcW w:w="4250" w:type="pct"/>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PPE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Lefteris CHRISTOFOROU, Tamás DEUTSCH, José Manuel FERNANDES, Niclas HERBST, Monika HOHLMEIER, Marian-Jean MARINESCU, Angelika WINZIG, Tomáš ZDECHOVSKÝ</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S&amp;D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Caterina CHINNICI, Corina CREȚU, Isabel GARCÍA MUÑOZ, Maria GRAPINI, Tsvetelina PENKOVA, Lara WOLTERS</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RENEW</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Olivier CHASTEL, Martina DLABAJOVÁ, Cristian GHINEA, Pierre KARLESKIND</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Verts/ALE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Gwendoline DELBOS-CORFIELD, Mikuláš PEKSA, Viola VON CRAMON-TAUBADEL</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ECR</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Ryszard CZARNECKI</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GUE/NGL</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pPr>
              <w:rPr>
                <w:lang w:val="en-GB"/>
              </w:rPr>
            </w:pPr>
            <w:r w:rsidRPr="004F68F2">
              <w:rPr>
                <w:lang w:val="en-GB"/>
              </w:rPr>
              <w:t>Luke Ming FLANAGAN, Younous OMARJEE</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NI</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Sabrina PIGNEDOLI</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3</w:t>
            </w:r>
          </w:p>
        </w:tc>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ID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4F68F2" w:rsidRDefault="005C25B9" w:rsidP="00666667">
            <w:r w:rsidRPr="004F68F2">
              <w:t>Matteo ADINOLFI, Jean-François JALKH, Joachim KUHS</w:t>
            </w:r>
          </w:p>
        </w:tc>
      </w:tr>
      <w:tr w:rsidR="005C25B9" w:rsidRPr="004F68F2" w:rsidTr="00666667">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4F68F2" w:rsidRDefault="005C25B9" w:rsidP="00666667">
            <w:pPr>
              <w:jc w:val="center"/>
              <w:rPr>
                <w:b/>
                <w:bCs/>
              </w:rPr>
            </w:pPr>
            <w:r w:rsidRPr="004F68F2">
              <w:rPr>
                <w:b/>
                <w:bCs/>
              </w:rPr>
              <w:t>0</w:t>
            </w:r>
          </w:p>
        </w:tc>
      </w:tr>
    </w:tbl>
    <w:p w:rsidR="005C25B9" w:rsidRPr="004F68F2" w:rsidRDefault="005C25B9" w:rsidP="005C25B9">
      <w:pPr>
        <w:rPr>
          <w:szCs w:val="24"/>
        </w:rPr>
      </w:pPr>
    </w:p>
    <w:p w:rsidR="005C25B9" w:rsidRPr="004F68F2" w:rsidRDefault="005C25B9" w:rsidP="005C25B9">
      <w:pPr>
        <w:pStyle w:val="RollCallSubtitle"/>
        <w:jc w:val="center"/>
      </w:pPr>
    </w:p>
    <w:p w:rsidR="001E4EBD" w:rsidRPr="004F68F2" w:rsidRDefault="005C25B9" w:rsidP="005C25B9">
      <w:pPr>
        <w:tabs>
          <w:tab w:val="center" w:pos="4535"/>
        </w:tabs>
        <w:sectPr w:rsidR="001E4EBD" w:rsidRPr="004F68F2" w:rsidSect="001E4EBD">
          <w:footnotePr>
            <w:numRestart w:val="eachSect"/>
          </w:footnotePr>
          <w:pgSz w:w="11907" w:h="16840" w:code="9"/>
          <w:pgMar w:top="1134" w:right="1418" w:bottom="1418" w:left="1418" w:header="567" w:footer="567" w:gutter="0"/>
          <w:cols w:space="720"/>
          <w:docGrid w:linePitch="326"/>
        </w:sectPr>
      </w:pPr>
      <w:r w:rsidRPr="004F68F2">
        <w:tab/>
      </w:r>
    </w:p>
    <w:p w:rsidR="008452E8" w:rsidRPr="004F68F2" w:rsidRDefault="00CC6E1E" w:rsidP="00E2660A">
      <w:pPr>
        <w:pStyle w:val="AttendancePVTitle"/>
      </w:pPr>
      <w:r w:rsidRPr="004F68F2">
        <w:lastRenderedPageBreak/>
        <w:t>ПРИСЪСТВЕН ЛИСТ/LISTA DE ASISTENCIA/PREZENČNÍ LISTINA/DELTAGERLISTE/ ANWESENHEITSLISTE/KOHALOLIJATE NIMEKIRI/ΚΑΤΑΣΤΑΣΗ ΠΑΡΟΝΤΩΝ/RECORD OF ATTENDANCE/ LISTE DE PRÉSENCE/POPIS NAZOČNIH/ELENCO DI PRESENZA/APMEKLĒJUMU REĢISTRS/DALYVIŲ SĄRAŠAS/ JELENLÉTI ÍV/REĠISTRU TA' ATTENDENZA/PRESENTIELIJST/LISTA OBECNOŚCI/LISTA DE PRESENÇAS/ LISTĂ DE PREZENŢĂ/PREZENČNÁ LISTINA/SEZNAM NAVZOČIH/LÄSNÄOLOLISTA/NÄRVAROLISTA</w:t>
      </w: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auto"/>
          <w:insideV w:val="single" w:sz="4" w:space="0" w:color="auto"/>
        </w:tblBorders>
        <w:tblLayout w:type="fixed"/>
        <w:tblCellMar>
          <w:left w:w="153" w:type="dxa"/>
          <w:right w:w="153" w:type="dxa"/>
        </w:tblCellMar>
        <w:tblLook w:val="0000" w:firstRow="0" w:lastRow="0" w:firstColumn="0" w:lastColumn="0" w:noHBand="0" w:noVBand="0"/>
      </w:tblPr>
      <w:tblGrid>
        <w:gridCol w:w="9072"/>
      </w:tblGrid>
      <w:tr w:rsidR="008452E8" w:rsidRPr="004F68F2">
        <w:trPr>
          <w:cantSplit/>
        </w:trPr>
        <w:tc>
          <w:tcPr>
            <w:tcW w:w="9072" w:type="dxa"/>
            <w:shd w:val="pct10" w:color="000000" w:fill="FFFFFF"/>
          </w:tcPr>
          <w:p w:rsidR="008452E8" w:rsidRPr="004F68F2" w:rsidRDefault="00CC6E1E" w:rsidP="00AD4CEB">
            <w:pPr>
              <w:pStyle w:val="AttendancePVTable"/>
            </w:pPr>
            <w:r w:rsidRPr="004F68F2">
              <w:t>Бюро/Mesa/Předsednictvo/Formandskabet/Vorstand/Juhatus/Προεδρείο/Bureau/Predsjedništvo/Ufficio di presidenza/Prezidijs/ Biuras/Elnökség/Prezydium/Birou/Predsedníctvo/Predsedstvo/Puheenjohtajisto/Presidiet (*)</w:t>
            </w:r>
          </w:p>
        </w:tc>
      </w:tr>
      <w:tr w:rsidR="008452E8" w:rsidRPr="004F68F2">
        <w:trPr>
          <w:cantSplit/>
          <w:trHeight w:val="720"/>
        </w:trPr>
        <w:tc>
          <w:tcPr>
            <w:tcW w:w="9072" w:type="dxa"/>
            <w:shd w:val="clear" w:color="000000" w:fill="FFFFFF"/>
          </w:tcPr>
          <w:p w:rsidR="008452E8" w:rsidRPr="004F68F2" w:rsidRDefault="00BE20BF" w:rsidP="005C25B9">
            <w:pPr>
              <w:pStyle w:val="AttendancePVTable"/>
            </w:pPr>
            <w:r w:rsidRPr="004F68F2">
              <w:t>Isabel García Muñoz (1stVP), Caterina Chinnici (2</w:t>
            </w:r>
            <w:r w:rsidRPr="004F68F2">
              <w:rPr>
                <w:vertAlign w:val="superscript"/>
              </w:rPr>
              <w:t>nd</w:t>
            </w:r>
            <w:r w:rsidRPr="004F68F2">
              <w:t xml:space="preserve"> VP)</w:t>
            </w:r>
          </w:p>
        </w:tc>
      </w:tr>
      <w:tr w:rsidR="008452E8" w:rsidRPr="004F68F2">
        <w:trPr>
          <w:cantSplit/>
        </w:trPr>
        <w:tc>
          <w:tcPr>
            <w:tcW w:w="9072" w:type="dxa"/>
            <w:shd w:val="pct10" w:color="000000" w:fill="FFFFFF"/>
          </w:tcPr>
          <w:p w:rsidR="008452E8" w:rsidRPr="004F68F2" w:rsidRDefault="00CC6E1E" w:rsidP="00AD4CEB">
            <w:pPr>
              <w:pStyle w:val="AttendancePVTable"/>
            </w:pPr>
            <w:r w:rsidRPr="004F68F2">
              <w:t>Членове/Diputados/Poslanci/Medlemmer/Mitglieder/Parlamendiliikmed/Βουλευτές/Members/Députés/Zastupnici/Deputati/Deputāti/ Nariai/Képviselõk/Membri/Leden/Posłowie/Deputados/Deputaţi/Jäsenet/Ledamöter</w:t>
            </w:r>
          </w:p>
        </w:tc>
      </w:tr>
      <w:tr w:rsidR="008452E8" w:rsidRPr="004F68F2">
        <w:trPr>
          <w:cantSplit/>
          <w:trHeight w:val="1200"/>
        </w:trPr>
        <w:tc>
          <w:tcPr>
            <w:tcW w:w="9072" w:type="dxa"/>
            <w:shd w:val="clear" w:color="000000" w:fill="FFFFFF"/>
          </w:tcPr>
          <w:p w:rsidR="008452E8" w:rsidRPr="004F68F2" w:rsidRDefault="00BE20BF" w:rsidP="00115496">
            <w:pPr>
              <w:pStyle w:val="AttendancePVTable"/>
            </w:pPr>
            <w:r w:rsidRPr="004F68F2">
              <w:t>Lefteris Christoforou, Ryszard Czarnecki,  José Manuel Fernandes,, Luke Ming Flanagan, Michèle Rivasi, Angelika Winzig, Lara Wolters, Tomáš Zdechovský</w:t>
            </w:r>
          </w:p>
        </w:tc>
      </w:tr>
      <w:tr w:rsidR="008452E8" w:rsidRPr="004F68F2">
        <w:trPr>
          <w:cantSplit/>
        </w:trPr>
        <w:tc>
          <w:tcPr>
            <w:tcW w:w="9072" w:type="dxa"/>
            <w:shd w:val="pct10" w:color="000000" w:fill="FFFFFF"/>
          </w:tcPr>
          <w:p w:rsidR="008452E8" w:rsidRPr="004F68F2" w:rsidRDefault="00CC6E1E" w:rsidP="00AD4CEB">
            <w:pPr>
              <w:pStyle w:val="AttendancePVTable"/>
            </w:pPr>
            <w:r w:rsidRPr="004F68F2">
              <w:t>Заместници/Suplentes/Náhradníci/Stedfortrædere/Stellvertreter/Asendusliikmed/Αναπληρωτές/Substitutes/Suppléants/Zamjenici/ Supplenti/Aizstājēji/Pavaduojantysnariai/Póttagok/Sostituti/Plaatsvervangers/Zastępcy/Membros suplentes/Supleanţi/Náhradníci/ Namestniki/Varajäsenet/Suppleanter</w:t>
            </w:r>
          </w:p>
        </w:tc>
      </w:tr>
      <w:tr w:rsidR="008452E8" w:rsidRPr="004F68F2">
        <w:trPr>
          <w:cantSplit/>
          <w:trHeight w:val="1200"/>
        </w:trPr>
        <w:tc>
          <w:tcPr>
            <w:tcW w:w="9072" w:type="dxa"/>
            <w:shd w:val="clear" w:color="000000" w:fill="FFFFFF"/>
          </w:tcPr>
          <w:p w:rsidR="008452E8" w:rsidRPr="004F68F2" w:rsidRDefault="002B7C53" w:rsidP="002B7C53">
            <w:pPr>
              <w:pStyle w:val="AttendancePVTable"/>
            </w:pPr>
            <w:r w:rsidRPr="004F68F2">
              <w:t xml:space="preserve">Katalin Cseh, Pascal Durand, Maria Grapini, Marian-Jean Marinescu,, Andrey Novakov, Mikuláš Peksa, Ramona Strugariu, Viola Von Cramon-Taubadel </w:t>
            </w:r>
          </w:p>
        </w:tc>
      </w:tr>
    </w:tbl>
    <w:p w:rsidR="008452E8" w:rsidRPr="004F68F2" w:rsidRDefault="008452E8" w:rsidP="005D5A08">
      <w:pPr>
        <w:pStyle w:val="AttendancePV"/>
      </w:pPr>
    </w:p>
    <w:p w:rsidR="008452E8" w:rsidRPr="004F68F2" w:rsidRDefault="008452E8" w:rsidP="005D5A08">
      <w:pPr>
        <w:pStyle w:val="AttendancePV"/>
      </w:pPr>
    </w:p>
    <w:p w:rsidR="00714F25" w:rsidRPr="004F68F2" w:rsidRDefault="00714F25" w:rsidP="005D5A08">
      <w:pPr>
        <w:pStyle w:val="AttendancePV"/>
      </w:pP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53" w:type="dxa"/>
          <w:right w:w="153" w:type="dxa"/>
        </w:tblCellMar>
        <w:tblLook w:val="0000" w:firstRow="0" w:lastRow="0" w:firstColumn="0" w:lastColumn="0" w:noHBand="0" w:noVBand="0"/>
      </w:tblPr>
      <w:tblGrid>
        <w:gridCol w:w="7513"/>
        <w:gridCol w:w="1559"/>
      </w:tblGrid>
      <w:tr w:rsidR="008452E8" w:rsidRPr="004F68F2">
        <w:trPr>
          <w:cantSplit/>
        </w:trPr>
        <w:tc>
          <w:tcPr>
            <w:tcW w:w="9072" w:type="dxa"/>
            <w:gridSpan w:val="2"/>
            <w:shd w:val="pct10" w:color="000000" w:fill="FFFFFF"/>
          </w:tcPr>
          <w:p w:rsidR="008452E8" w:rsidRPr="004F68F2" w:rsidRDefault="006D2283" w:rsidP="00467244">
            <w:pPr>
              <w:pStyle w:val="AttendancePVTable"/>
            </w:pPr>
            <w:r w:rsidRPr="004F68F2">
              <w:t>209 (7)</w:t>
            </w:r>
          </w:p>
        </w:tc>
      </w:tr>
      <w:tr w:rsidR="008452E8" w:rsidRPr="004F68F2">
        <w:trPr>
          <w:cantSplit/>
          <w:trHeight w:val="720"/>
        </w:trPr>
        <w:tc>
          <w:tcPr>
            <w:tcW w:w="9072" w:type="dxa"/>
            <w:gridSpan w:val="2"/>
          </w:tcPr>
          <w:p w:rsidR="008452E8" w:rsidRPr="004F68F2" w:rsidRDefault="008452E8" w:rsidP="00AD4CEB">
            <w:pPr>
              <w:pStyle w:val="AttendancePVTable"/>
            </w:pPr>
          </w:p>
        </w:tc>
      </w:tr>
      <w:tr w:rsidR="008452E8" w:rsidRPr="004F68F2">
        <w:trPr>
          <w:cantSplit/>
        </w:trPr>
        <w:tc>
          <w:tcPr>
            <w:tcW w:w="9072" w:type="dxa"/>
            <w:gridSpan w:val="2"/>
            <w:shd w:val="pct10" w:color="000000" w:fill="FFFFFF"/>
          </w:tcPr>
          <w:p w:rsidR="008452E8" w:rsidRPr="004F68F2" w:rsidRDefault="00467244" w:rsidP="00AD4CEB">
            <w:pPr>
              <w:pStyle w:val="AttendancePVTable"/>
            </w:pPr>
            <w:r w:rsidRPr="004F68F2">
              <w:t>216 (3)</w:t>
            </w:r>
          </w:p>
        </w:tc>
      </w:tr>
      <w:tr w:rsidR="000C1967" w:rsidRPr="004F68F2">
        <w:trPr>
          <w:cantSplit/>
          <w:trHeight w:val="720"/>
        </w:trPr>
        <w:tc>
          <w:tcPr>
            <w:tcW w:w="9072" w:type="dxa"/>
            <w:gridSpan w:val="2"/>
          </w:tcPr>
          <w:p w:rsidR="000C1967" w:rsidRPr="004F68F2" w:rsidRDefault="000C1967" w:rsidP="000C1967">
            <w:pPr>
              <w:pStyle w:val="AttendancePVTable"/>
            </w:pPr>
            <w:r w:rsidRPr="004F68F2">
              <w:t>Carmen Avram, Franc Bogovič, Pascal Canfin, Isabel Carvalhais, Anna Deparnay-Grunenberg, Marco Dreosto, Pietro Fiocchi, Jytte Guteland, Martin Hojsík, Petros Kokkalis,  Chris MacManus, Tilly Metz, Maria Noichl, Peter Liese, Mauri Pekkarinen, Sirpa Pietikäinen, Dragoș Pîslaru,Bronis Ropė, Simone Schmiedtbauer, Róża Thun und Hohenstein,Ruža Tomašić, Irène Tolleret, Inese Vaidere, Pernille Weiss</w:t>
            </w:r>
          </w:p>
        </w:tc>
      </w:tr>
      <w:tr w:rsidR="008452E8" w:rsidRPr="004F68F2">
        <w:trPr>
          <w:cantSplit/>
        </w:trPr>
        <w:tc>
          <w:tcPr>
            <w:tcW w:w="9072" w:type="dxa"/>
            <w:gridSpan w:val="2"/>
            <w:shd w:val="pct10" w:color="000000" w:fill="FFFFFF"/>
          </w:tcPr>
          <w:p w:rsidR="008452E8" w:rsidRPr="004F68F2" w:rsidRDefault="006D2283" w:rsidP="00467244">
            <w:pPr>
              <w:pStyle w:val="AttendancePVTable"/>
            </w:pPr>
            <w:r w:rsidRPr="004F68F2">
              <w:t>56 (8) (Точка от дневния ред/Punto del orden del día/Bod pořadu jednání (OJ)/Punkt på dagsordenen/Tagesordnungspunkt/ Päevakorra punkt/Σημείο της ημερήσιας διάταξης/Agenda item/Point OJ/Točka dnevnog reda/Punto all'ordine del giorno/Darba kārtības punkts/Darbotvarkės punktas/Napirendi pont/Punt Aġenda/Agendapunt/Punkt porządku dziennego/Ponto OD/Punct de pe ordinea de zi/Bod programu schôdze/Točka UL/Esityslistan kohta/Punkt på föredragningslistan)</w:t>
            </w:r>
          </w:p>
        </w:tc>
      </w:tr>
      <w:tr w:rsidR="008452E8" w:rsidRPr="004F68F2">
        <w:trPr>
          <w:trHeight w:val="720"/>
        </w:trPr>
        <w:tc>
          <w:tcPr>
            <w:tcW w:w="7513" w:type="dxa"/>
          </w:tcPr>
          <w:p w:rsidR="008452E8" w:rsidRPr="004F68F2" w:rsidRDefault="008452E8" w:rsidP="00AD4CEB">
            <w:pPr>
              <w:pStyle w:val="AttendancePVTable"/>
            </w:pPr>
          </w:p>
        </w:tc>
        <w:tc>
          <w:tcPr>
            <w:tcW w:w="1559" w:type="dxa"/>
          </w:tcPr>
          <w:p w:rsidR="008452E8" w:rsidRPr="004F68F2" w:rsidRDefault="008452E8" w:rsidP="00AD4CEB">
            <w:pPr>
              <w:pStyle w:val="AttendancePVTable"/>
            </w:pPr>
          </w:p>
        </w:tc>
      </w:tr>
    </w:tbl>
    <w:p w:rsidR="008452E8" w:rsidRPr="004F68F2" w:rsidRDefault="008452E8" w:rsidP="005D5A08">
      <w:pPr>
        <w:pStyle w:val="AttendancePV"/>
      </w:pPr>
    </w:p>
    <w:p w:rsidR="0083601E" w:rsidRPr="004F68F2" w:rsidRDefault="0083601E" w:rsidP="005D5A08">
      <w:pPr>
        <w:pStyle w:val="AttendancePV"/>
      </w:pPr>
    </w:p>
    <w:p w:rsidR="0083601E" w:rsidRPr="004F68F2" w:rsidRDefault="0083601E" w:rsidP="005D5A08">
      <w:pPr>
        <w:pStyle w:val="AttendancePV"/>
      </w:pPr>
    </w:p>
    <w:p w:rsidR="0083601E" w:rsidRPr="004F68F2" w:rsidRDefault="0076749D" w:rsidP="005D5A08">
      <w:pPr>
        <w:pStyle w:val="AttendancePV"/>
      </w:pPr>
      <w:r w:rsidRPr="004F68F2">
        <w:br w:type="page"/>
      </w: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53" w:type="dxa"/>
          <w:right w:w="153" w:type="dxa"/>
        </w:tblCellMar>
        <w:tblLook w:val="0000" w:firstRow="0" w:lastRow="0" w:firstColumn="0" w:lastColumn="0" w:noHBand="0" w:noVBand="0"/>
      </w:tblPr>
      <w:tblGrid>
        <w:gridCol w:w="9072"/>
      </w:tblGrid>
      <w:tr w:rsidR="0083601E" w:rsidRPr="004F68F2" w:rsidTr="00B15084">
        <w:trPr>
          <w:cantSplit/>
        </w:trPr>
        <w:tc>
          <w:tcPr>
            <w:tcW w:w="9072" w:type="dxa"/>
            <w:shd w:val="pct10" w:color="000000" w:fill="FFFFFF"/>
          </w:tcPr>
          <w:p w:rsidR="0083601E" w:rsidRPr="004F68F2" w:rsidRDefault="0083601E" w:rsidP="00AD4CEB">
            <w:pPr>
              <w:pStyle w:val="AttendancePVTable"/>
            </w:pPr>
            <w:r w:rsidRPr="004F68F2">
              <w:lastRenderedPageBreak/>
              <w:t>Наблюдатели/Observadores/Pozorovatelé/Observatører/Beobachter/Vaatlejad/Παρατηρητές/Observers/Observateurs/Promatrači/ Osservatori/Novērotāji/Stebėtojai/Megfigyelők/Osservaturi/Waarnemers/Obserwatorzy/Observadores/Observatori/Pozorovatelia/ Opazovalci/Tarkkailijat/Observatörer</w:t>
            </w:r>
          </w:p>
        </w:tc>
      </w:tr>
      <w:tr w:rsidR="0083601E" w:rsidRPr="004F68F2" w:rsidTr="00B15084">
        <w:trPr>
          <w:cantSplit/>
          <w:trHeight w:val="720"/>
        </w:trPr>
        <w:tc>
          <w:tcPr>
            <w:tcW w:w="9072" w:type="dxa"/>
          </w:tcPr>
          <w:p w:rsidR="0083601E" w:rsidRPr="004F68F2" w:rsidRDefault="0083601E" w:rsidP="00CD4116">
            <w:pPr>
              <w:pStyle w:val="AttendancePVTable"/>
            </w:pPr>
          </w:p>
        </w:tc>
      </w:tr>
    </w:tbl>
    <w:p w:rsidR="008452E8" w:rsidRPr="004F68F2" w:rsidRDefault="008452E8" w:rsidP="005D5A08">
      <w:pPr>
        <w:pStyle w:val="AttendancePV"/>
      </w:pPr>
    </w:p>
    <w:p w:rsidR="0083601E" w:rsidRPr="004F68F2" w:rsidRDefault="0083601E" w:rsidP="005D5A08">
      <w:pPr>
        <w:pStyle w:val="AttendancePV"/>
      </w:pPr>
    </w:p>
    <w:p w:rsidR="00DB5CC6" w:rsidRPr="004F68F2" w:rsidRDefault="00DB5CC6" w:rsidP="005D5A08">
      <w:pPr>
        <w:pStyle w:val="AttendancePV"/>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77" w:type="dxa"/>
          <w:right w:w="177" w:type="dxa"/>
        </w:tblCellMar>
        <w:tblLook w:val="0000" w:firstRow="0" w:lastRow="0" w:firstColumn="0" w:lastColumn="0" w:noHBand="0" w:noVBand="0"/>
      </w:tblPr>
      <w:tblGrid>
        <w:gridCol w:w="9072"/>
      </w:tblGrid>
      <w:tr w:rsidR="008452E8" w:rsidRPr="004F68F2">
        <w:tc>
          <w:tcPr>
            <w:tcW w:w="9072" w:type="dxa"/>
            <w:shd w:val="pct10" w:color="000000" w:fill="FFFFFF"/>
          </w:tcPr>
          <w:p w:rsidR="008452E8" w:rsidRPr="004F68F2" w:rsidRDefault="00CC6E1E" w:rsidP="00F51C97">
            <w:pPr>
              <w:pStyle w:val="AttendancePVTable"/>
            </w:pPr>
            <w:r w:rsidRPr="004F68F2">
              <w:t>По покана на председателя/Por invitación del presidente/Na pozvání předsedy/Efter indbydelse fra formanden/Auf Einladung des Vorsitzenden/Esimehe kutsel/Με πρόσκληση του Προέδρου/At the invitation of the Chair/Sur l’invitation du président/ Na poziv predsjednika/Su invito del presidente/Pēc priekšsēdētāja uzaicinājuma/Pirmininkui pakvietus/Az elnök meghívására/ Fuq stedina taċ-'Chairman'/Op uitnodiging van de voorzitter/Na zaproszenie Przewodniczącego/A convite do Presidente/La invitaţia preşedintelui/ Na pozvanie predsedu/Na povabilo predsednika/Puheenjohtajan kutsusta/På ordförandens inbjudan</w:t>
            </w:r>
          </w:p>
        </w:tc>
      </w:tr>
      <w:tr w:rsidR="008452E8" w:rsidRPr="004F68F2">
        <w:trPr>
          <w:trHeight w:val="720"/>
        </w:trPr>
        <w:tc>
          <w:tcPr>
            <w:tcW w:w="9072" w:type="dxa"/>
          </w:tcPr>
          <w:p w:rsidR="008452E8" w:rsidRPr="004F68F2" w:rsidRDefault="008452E8" w:rsidP="00AD4CEB">
            <w:pPr>
              <w:pStyle w:val="AttendancePVTable"/>
            </w:pPr>
          </w:p>
        </w:tc>
      </w:tr>
    </w:tbl>
    <w:p w:rsidR="008452E8" w:rsidRPr="004F68F2" w:rsidRDefault="008452E8" w:rsidP="005D5A08">
      <w:pPr>
        <w:pStyle w:val="AttendancePV"/>
      </w:pPr>
    </w:p>
    <w:p w:rsidR="0083601E" w:rsidRPr="004F68F2" w:rsidRDefault="0083601E" w:rsidP="005D5A08">
      <w:pPr>
        <w:pStyle w:val="AttendancePV"/>
      </w:pPr>
    </w:p>
    <w:p w:rsidR="008452E8" w:rsidRPr="004F68F2" w:rsidRDefault="008452E8" w:rsidP="005D5A08">
      <w:pPr>
        <w:pStyle w:val="AttendancePV"/>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77" w:type="dxa"/>
          <w:right w:w="177" w:type="dxa"/>
        </w:tblCellMar>
        <w:tblLook w:val="0000" w:firstRow="0" w:lastRow="0" w:firstColumn="0" w:lastColumn="0" w:noHBand="0" w:noVBand="0"/>
      </w:tblPr>
      <w:tblGrid>
        <w:gridCol w:w="1701"/>
        <w:gridCol w:w="7371"/>
      </w:tblGrid>
      <w:tr w:rsidR="008452E8" w:rsidRPr="004F68F2">
        <w:tc>
          <w:tcPr>
            <w:tcW w:w="9072" w:type="dxa"/>
            <w:gridSpan w:val="2"/>
            <w:shd w:val="pct10" w:color="000000" w:fill="FFFFFF"/>
          </w:tcPr>
          <w:p w:rsidR="008452E8" w:rsidRPr="004F68F2" w:rsidRDefault="00CC6E1E" w:rsidP="00AD4CEB">
            <w:pPr>
              <w:pStyle w:val="AttendancePVTable"/>
            </w:pPr>
            <w:r w:rsidRPr="004F68F2">
              <w:t>Съвет/Consejo/Rada/Rådet/Rat/Nõukogu/Συμβούλιο/Council/Conseil/Vijeće/Consiglio/Padome/Taryba/Tanács/Kunsill/Raad/ Conselho/Consiliu/Svet/Neuvosto/Rådet (*)</w:t>
            </w:r>
          </w:p>
        </w:tc>
      </w:tr>
      <w:tr w:rsidR="008452E8" w:rsidRPr="004F68F2">
        <w:trPr>
          <w:trHeight w:val="720"/>
        </w:trPr>
        <w:tc>
          <w:tcPr>
            <w:tcW w:w="9072" w:type="dxa"/>
            <w:gridSpan w:val="2"/>
          </w:tcPr>
          <w:p w:rsidR="008452E8" w:rsidRPr="004F68F2" w:rsidRDefault="008452E8" w:rsidP="00AD4CEB">
            <w:pPr>
              <w:pStyle w:val="AttendancePVTable"/>
            </w:pPr>
          </w:p>
        </w:tc>
      </w:tr>
      <w:tr w:rsidR="008452E8" w:rsidRPr="004F68F2">
        <w:tc>
          <w:tcPr>
            <w:tcW w:w="9072" w:type="dxa"/>
            <w:gridSpan w:val="2"/>
            <w:shd w:val="pct10" w:color="000000" w:fill="FFFFFF"/>
          </w:tcPr>
          <w:p w:rsidR="008452E8" w:rsidRPr="004F68F2" w:rsidRDefault="00CC6E1E" w:rsidP="002E2B09">
            <w:pPr>
              <w:pStyle w:val="AttendancePVTable"/>
            </w:pPr>
            <w:r w:rsidRPr="004F68F2">
              <w:t>Комисия/Comisión/Komise/Kommissionen/Kommission/Komisjon/Επιτροπή/Commission/Komisija/Commissione/Bizottság/ Kummissjoni/Commissie/Komisja/Comissão/Comisie/Komisia/Komissio/Kommissionen (*)</w:t>
            </w:r>
          </w:p>
        </w:tc>
      </w:tr>
      <w:tr w:rsidR="008452E8" w:rsidRPr="004F68F2">
        <w:trPr>
          <w:trHeight w:val="720"/>
        </w:trPr>
        <w:tc>
          <w:tcPr>
            <w:tcW w:w="9072" w:type="dxa"/>
            <w:gridSpan w:val="2"/>
          </w:tcPr>
          <w:p w:rsidR="008452E8" w:rsidRPr="004F68F2" w:rsidRDefault="004176E2" w:rsidP="00BB057F">
            <w:pPr>
              <w:pStyle w:val="AttendancePVTable"/>
            </w:pPr>
            <w:r w:rsidRPr="004F68F2">
              <w:t>Giorgio Chiarion Casoni (DG ECFIN), Philippe Chantraine ( DG MOVE), Nicolas De Michelis (DG REGIO)</w:t>
            </w:r>
          </w:p>
        </w:tc>
      </w:tr>
      <w:tr w:rsidR="008452E8" w:rsidRPr="004F68F2">
        <w:tc>
          <w:tcPr>
            <w:tcW w:w="9072" w:type="dxa"/>
            <w:gridSpan w:val="2"/>
            <w:shd w:val="pct10" w:color="000000" w:fill="FFFFFF"/>
          </w:tcPr>
          <w:p w:rsidR="008452E8" w:rsidRPr="004F68F2" w:rsidRDefault="00F0068D" w:rsidP="00F0068D">
            <w:pPr>
              <w:pStyle w:val="AttendancePVTable"/>
            </w:pPr>
            <w:r w:rsidRPr="004F68F2">
              <w:t>Други институции и органи/Otras instituciones y organismos/Ostatní orgány a instituce/Andre institutioner og organer/Andere Organe und Einrichtungen/Muud institutsioonid ja organid/Λοιπά θεσμικά όργανα και οργανισμοί/Other institutions and bodies/Autres institutions et organes/Druge institucije i tijela/Altre istituzioni e altri organi/Citas iestādes un struktūras/Kitos institucijos ir įstaigos/ Más intézmények és szervek/Istituzzjonijiet u korpi oħra/Andere instellingen en organen/Inne instytucje i organy/Outras instituições e outros órgãos/Alte instituții și organe/Iné inštitúcie a orgány/Muut toimielimet ja elimet/Andra institutioner och organ</w:t>
            </w:r>
          </w:p>
        </w:tc>
      </w:tr>
      <w:tr w:rsidR="008452E8" w:rsidRPr="004F68F2">
        <w:trPr>
          <w:cantSplit/>
          <w:trHeight w:val="720"/>
        </w:trPr>
        <w:tc>
          <w:tcPr>
            <w:tcW w:w="1701" w:type="dxa"/>
          </w:tcPr>
          <w:p w:rsidR="008452E8" w:rsidRPr="004F68F2" w:rsidRDefault="00115EB1" w:rsidP="00AD4CEB">
            <w:pPr>
              <w:pStyle w:val="AttendancePVTable"/>
            </w:pPr>
            <w:r w:rsidRPr="004F68F2">
              <w:t>ECA</w:t>
            </w:r>
          </w:p>
          <w:p w:rsidR="004176E2" w:rsidRPr="004F68F2" w:rsidRDefault="004176E2" w:rsidP="00AD4CEB">
            <w:pPr>
              <w:pStyle w:val="AttendancePVTable"/>
            </w:pPr>
          </w:p>
          <w:p w:rsidR="004176E2" w:rsidRPr="004F68F2" w:rsidRDefault="004176E2" w:rsidP="00AD4CEB">
            <w:pPr>
              <w:pStyle w:val="AttendancePVTable"/>
            </w:pPr>
            <w:r w:rsidRPr="004F68F2">
              <w:t>EIB</w:t>
            </w:r>
          </w:p>
        </w:tc>
        <w:tc>
          <w:tcPr>
            <w:tcW w:w="7371" w:type="dxa"/>
          </w:tcPr>
          <w:p w:rsidR="004176E2" w:rsidRPr="004F68F2" w:rsidRDefault="004176E2" w:rsidP="004176E2">
            <w:pPr>
              <w:pStyle w:val="AttendancePVTable"/>
            </w:pPr>
            <w:r w:rsidRPr="004F68F2">
              <w:t>Annemie Turtleboom, Joâo Figueiredo, Nikolaos Milionis, Viorel Stefan, Pietro Russo, Ladislav Balko</w:t>
            </w:r>
          </w:p>
          <w:p w:rsidR="004176E2" w:rsidRPr="004F68F2" w:rsidRDefault="004176E2" w:rsidP="004176E2">
            <w:pPr>
              <w:pStyle w:val="AttendancePVTable"/>
            </w:pPr>
            <w:r w:rsidRPr="004F68F2">
              <w:t xml:space="preserve">Aleksandra Klis </w:t>
            </w:r>
          </w:p>
          <w:p w:rsidR="004176E2" w:rsidRPr="004F68F2" w:rsidRDefault="004176E2" w:rsidP="004176E2">
            <w:pPr>
              <w:pStyle w:val="AttendancePVTable"/>
            </w:pPr>
            <w:r w:rsidRPr="004F68F2">
              <w:t xml:space="preserve">Frank Lee </w:t>
            </w:r>
          </w:p>
          <w:p w:rsidR="008452E8" w:rsidRPr="004F68F2" w:rsidRDefault="008452E8" w:rsidP="00AD4CEB">
            <w:pPr>
              <w:pStyle w:val="AttendancePVTable"/>
            </w:pPr>
          </w:p>
        </w:tc>
      </w:tr>
    </w:tbl>
    <w:p w:rsidR="008452E8" w:rsidRPr="004F68F2" w:rsidRDefault="008452E8" w:rsidP="005D5A08">
      <w:pPr>
        <w:pStyle w:val="AttendancePV"/>
      </w:pPr>
    </w:p>
    <w:p w:rsidR="008452E8" w:rsidRPr="004F68F2" w:rsidRDefault="008452E8" w:rsidP="005D5A08">
      <w:pPr>
        <w:pStyle w:val="AttendancePV"/>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8452E8" w:rsidRPr="004F68F2">
        <w:trPr>
          <w:cantSplit/>
        </w:trPr>
        <w:tc>
          <w:tcPr>
            <w:tcW w:w="9072" w:type="dxa"/>
            <w:shd w:val="pct10" w:color="000000" w:fill="FFFFFF"/>
          </w:tcPr>
          <w:p w:rsidR="008452E8" w:rsidRPr="004F68F2" w:rsidRDefault="00007788" w:rsidP="00AD4CEB">
            <w:pPr>
              <w:pStyle w:val="AttendancePVTable"/>
            </w:pPr>
            <w:r w:rsidRPr="004F68F2">
              <w:t>Други участници/Otros participantes/Ostatní účastníci/Endvidere deltog/Andere Teilnehmer/Muud osalejad/Επίσης παρόντες/Other participants/Autres participants/Drugi sudionici/Altri partecipanti/Citi klātesošie/Kiti dalyviai/Más résztvevők/Parteċipanti ohra/Andere aanwezigen/Inni uczestnicy/Outros participantes/Alţi participanţi/Iní účastníci/Drugi udeleženci/Muut osallistujat/Övriga deltagare</w:t>
            </w:r>
          </w:p>
        </w:tc>
      </w:tr>
      <w:tr w:rsidR="008452E8" w:rsidRPr="004F68F2">
        <w:trPr>
          <w:cantSplit/>
          <w:trHeight w:val="1200"/>
        </w:trPr>
        <w:tc>
          <w:tcPr>
            <w:tcW w:w="9072" w:type="dxa"/>
          </w:tcPr>
          <w:p w:rsidR="008452E8" w:rsidRPr="004F68F2" w:rsidRDefault="008452E8" w:rsidP="00AD4CEB">
            <w:pPr>
              <w:pStyle w:val="AttendancePVTable"/>
            </w:pPr>
          </w:p>
        </w:tc>
      </w:tr>
    </w:tbl>
    <w:p w:rsidR="0083601E" w:rsidRPr="004F68F2" w:rsidRDefault="0083601E" w:rsidP="005D5A08">
      <w:pPr>
        <w:pStyle w:val="AttendancePV"/>
      </w:pPr>
      <w:r w:rsidRPr="004F68F2">
        <w:br w:type="page"/>
      </w: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8452E8" w:rsidRPr="004F68F2">
        <w:trPr>
          <w:cantSplit/>
        </w:trPr>
        <w:tc>
          <w:tcPr>
            <w:tcW w:w="9072" w:type="dxa"/>
            <w:gridSpan w:val="2"/>
            <w:shd w:val="pct10" w:color="000000" w:fill="FFFFFF"/>
          </w:tcPr>
          <w:p w:rsidR="008452E8" w:rsidRPr="004F68F2" w:rsidRDefault="00C634EF" w:rsidP="005F6C89">
            <w:pPr>
              <w:pStyle w:val="AttendancePVTable"/>
            </w:pPr>
            <w:r w:rsidRPr="004F68F2">
              <w:lastRenderedPageBreak/>
              <w:t>Секретариат на политическите групи/Secretaría de los Grupos políticos/Sekretariát politických skupin/Gruppernes sekretariat/ Sekretariat der Fraktionen/Fraktsioonide sekretariaat/Γραμματεία των Πολιτικών Ομάδων/Secretariats of political groups/Secrétariat des groupes politiques/Tajništva klubova zastupnika/Segreteria gruppi politici/Politisko grupu sekretariāts/Frakcijų sekretoriai/ Képviselőcsoportok titkársága/Segretarjat gruppi politiċi/Fractiesecretariaten/Sekretariat Grup Politycznych/Secretariado dos grupos políticos/Secretariate grupuri politice/Sekretariát politických skupín/Sekretariat političnih skupin/Poliittisten ryhmien sihteeristöt/ De politiska gruppernas sekretariat</w:t>
            </w:r>
          </w:p>
        </w:tc>
      </w:tr>
      <w:tr w:rsidR="008452E8" w:rsidRPr="004F68F2">
        <w:trPr>
          <w:cantSplit/>
        </w:trPr>
        <w:tc>
          <w:tcPr>
            <w:tcW w:w="1701" w:type="dxa"/>
            <w:shd w:val="clear" w:color="auto" w:fill="FFFFFF"/>
          </w:tcPr>
          <w:p w:rsidR="008452E8" w:rsidRPr="004F68F2" w:rsidRDefault="008452E8" w:rsidP="00A66B35">
            <w:pPr>
              <w:pStyle w:val="AttendancePVTable"/>
              <w:rPr>
                <w:lang w:val="en-GB"/>
              </w:rPr>
            </w:pPr>
            <w:r w:rsidRPr="004F68F2">
              <w:rPr>
                <w:lang w:val="en-GB"/>
              </w:rPr>
              <w:t>PPE</w:t>
            </w:r>
          </w:p>
          <w:p w:rsidR="008452E8" w:rsidRPr="004F68F2" w:rsidRDefault="00CE5AEB" w:rsidP="00A66B35">
            <w:pPr>
              <w:pStyle w:val="AttendancePVTable"/>
              <w:rPr>
                <w:lang w:val="en-GB"/>
              </w:rPr>
            </w:pPr>
            <w:r w:rsidRPr="004F68F2">
              <w:rPr>
                <w:lang w:val="en-GB"/>
              </w:rPr>
              <w:t>S&amp;D</w:t>
            </w:r>
          </w:p>
          <w:p w:rsidR="00A5325A" w:rsidRPr="004F68F2" w:rsidRDefault="00A5325A" w:rsidP="00A66B35">
            <w:pPr>
              <w:pStyle w:val="AttendancePVTable"/>
              <w:rPr>
                <w:lang w:val="en-GB"/>
              </w:rPr>
            </w:pPr>
            <w:r w:rsidRPr="004F68F2">
              <w:rPr>
                <w:lang w:val="en-GB"/>
              </w:rPr>
              <w:t>Renew</w:t>
            </w:r>
          </w:p>
          <w:p w:rsidR="008452E8" w:rsidRPr="004F68F2" w:rsidRDefault="006D6EB9" w:rsidP="00A66B35">
            <w:pPr>
              <w:pStyle w:val="AttendancePVTable"/>
              <w:rPr>
                <w:lang w:val="en-GB"/>
              </w:rPr>
            </w:pPr>
            <w:r w:rsidRPr="004F68F2">
              <w:rPr>
                <w:lang w:val="en-GB"/>
              </w:rPr>
              <w:t>ID</w:t>
            </w:r>
          </w:p>
          <w:p w:rsidR="00A5325A" w:rsidRPr="004F68F2" w:rsidRDefault="006D6EB9" w:rsidP="006D6EB9">
            <w:pPr>
              <w:pStyle w:val="AttendancePVTable"/>
              <w:rPr>
                <w:lang w:val="en-GB"/>
              </w:rPr>
            </w:pPr>
            <w:r w:rsidRPr="004F68F2">
              <w:rPr>
                <w:lang w:val="en-GB"/>
              </w:rPr>
              <w:t>Verts/ALE</w:t>
            </w:r>
          </w:p>
          <w:p w:rsidR="00A5325A" w:rsidRPr="004F68F2" w:rsidRDefault="00A5325A" w:rsidP="00A5325A">
            <w:pPr>
              <w:pStyle w:val="AttendancePVTable"/>
            </w:pPr>
            <w:r w:rsidRPr="004F68F2">
              <w:t>ECR</w:t>
            </w:r>
          </w:p>
          <w:p w:rsidR="008452E8" w:rsidRPr="004F68F2" w:rsidRDefault="00926DB0" w:rsidP="00A66B35">
            <w:pPr>
              <w:pStyle w:val="AttendancePVTable"/>
            </w:pPr>
            <w:r w:rsidRPr="004F68F2">
              <w:t>GUE/NGL</w:t>
            </w:r>
          </w:p>
          <w:p w:rsidR="008452E8" w:rsidRPr="004F68F2" w:rsidRDefault="008452E8" w:rsidP="00A66B35">
            <w:pPr>
              <w:pStyle w:val="AttendancePVTable"/>
            </w:pPr>
            <w:r w:rsidRPr="004F68F2">
              <w:t>NI</w:t>
            </w:r>
          </w:p>
        </w:tc>
        <w:tc>
          <w:tcPr>
            <w:tcW w:w="7371" w:type="dxa"/>
            <w:shd w:val="clear" w:color="auto" w:fill="FFFFFF"/>
          </w:tcPr>
          <w:p w:rsidR="0006514D" w:rsidRPr="004F68F2" w:rsidRDefault="0006514D" w:rsidP="00374A20">
            <w:pPr>
              <w:pStyle w:val="AttendancePVTable"/>
            </w:pPr>
          </w:p>
        </w:tc>
      </w:tr>
    </w:tbl>
    <w:p w:rsidR="00DB5CC6" w:rsidRPr="004F68F2" w:rsidRDefault="00DB5CC6" w:rsidP="005D5A08">
      <w:pPr>
        <w:pStyle w:val="AttendancePV"/>
      </w:pPr>
    </w:p>
    <w:p w:rsidR="0083601E" w:rsidRPr="004F68F2" w:rsidRDefault="0083601E" w:rsidP="005D5A08">
      <w:pPr>
        <w:pStyle w:val="AttendancePV"/>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8452E8" w:rsidRPr="004F68F2">
        <w:trPr>
          <w:cantSplit/>
        </w:trPr>
        <w:tc>
          <w:tcPr>
            <w:tcW w:w="9072" w:type="dxa"/>
            <w:gridSpan w:val="2"/>
            <w:shd w:val="pct10" w:color="000000" w:fill="FFFFFF"/>
          </w:tcPr>
          <w:p w:rsidR="008452E8" w:rsidRPr="004F68F2" w:rsidRDefault="00DC629C" w:rsidP="00AD4CEB">
            <w:pPr>
              <w:pStyle w:val="AttendancePVTable"/>
            </w:pPr>
            <w:r w:rsidRPr="004F68F2">
              <w:br w:type="page"/>
              <w:t>Кабинет на председателя/Gabinete del Presidente/Kancelář předsedy/Formandens Kabinet/Kabinett des Präsidenten/Presidendi kantselei/Γραφείο του Προέδρου/President's Office/Cabinet du Président/Ured predsjednika/Gabinetto del Presidente/Priekšsēdētāja kabinets/Pirmininko kabinetas/Elnöki hivatal/Kabinett tal-President/Kabinet van de Voorzitter/Gabinet Przewodniczącego/Gabinete do Presidente/Cabinet Preşedinte/Kancelária predsedu/Urad predsednika/Puhemiehen kabinetti/Talmannens kansli</w:t>
            </w:r>
          </w:p>
        </w:tc>
      </w:tr>
      <w:tr w:rsidR="008452E8" w:rsidRPr="004F68F2" w:rsidTr="003C7A12">
        <w:trPr>
          <w:cantSplit/>
          <w:trHeight w:val="510"/>
        </w:trPr>
        <w:tc>
          <w:tcPr>
            <w:tcW w:w="9072" w:type="dxa"/>
            <w:gridSpan w:val="2"/>
            <w:shd w:val="clear" w:color="auto" w:fill="FFFFFF"/>
          </w:tcPr>
          <w:p w:rsidR="008452E8" w:rsidRPr="004F68F2" w:rsidRDefault="008452E8" w:rsidP="00175A4C">
            <w:pPr>
              <w:pStyle w:val="AttendancePVTable"/>
            </w:pPr>
          </w:p>
        </w:tc>
      </w:tr>
      <w:tr w:rsidR="008452E8" w:rsidRPr="004F68F2">
        <w:trPr>
          <w:cantSplit/>
        </w:trPr>
        <w:tc>
          <w:tcPr>
            <w:tcW w:w="9072" w:type="dxa"/>
            <w:gridSpan w:val="2"/>
            <w:shd w:val="pct10" w:color="000000" w:fill="FFFFFF"/>
          </w:tcPr>
          <w:p w:rsidR="008452E8" w:rsidRPr="004F68F2" w:rsidRDefault="00C634EF" w:rsidP="00AD4CEB">
            <w:pPr>
              <w:pStyle w:val="AttendancePVTable"/>
            </w:pPr>
            <w:r w:rsidRPr="004F68F2">
              <w:t>Кабинет на генералния секретар/Gabinete del Secretario General/Kancelář generálního tajemníka/Generalsekretærens Kabinet/ Kabinett des Generalsekretärs/Peasekretäri büroo/Γραφείο του Γενικού Γραμματέα/Secretary-General's Office/Cabinet du Secrétaire général/Ured glavnog tajnika/Gabinetto del Segretario generale/Ģenerālsekretāra kabinets/Generalinio sekretoriaus kabinetas/ Főtitkári hivatal/Kabinett tas-Segretarju Ġenerali/Kabinet van de secretaris-generaal/Gabinet Sekretarza Generalnego/Gabinete do Secretário-Geral/Cabinet Secretar General/Kancelária generálneho tajomníka/Urad generalnega sekretarja/Pääsihteerin kabinetti/ Generalsekreterarens kansli</w:t>
            </w:r>
          </w:p>
        </w:tc>
      </w:tr>
      <w:tr w:rsidR="008452E8" w:rsidRPr="004F68F2" w:rsidTr="003C7A12">
        <w:trPr>
          <w:cantSplit/>
          <w:trHeight w:val="510"/>
        </w:trPr>
        <w:tc>
          <w:tcPr>
            <w:tcW w:w="9072" w:type="dxa"/>
            <w:gridSpan w:val="2"/>
            <w:shd w:val="clear" w:color="auto" w:fill="FFFFFF"/>
          </w:tcPr>
          <w:p w:rsidR="008452E8" w:rsidRPr="004F68F2" w:rsidRDefault="008452E8" w:rsidP="00AD4CEB">
            <w:pPr>
              <w:pStyle w:val="AttendancePVTable"/>
            </w:pPr>
          </w:p>
        </w:tc>
      </w:tr>
      <w:tr w:rsidR="008452E8" w:rsidRPr="004F68F2">
        <w:trPr>
          <w:cantSplit/>
        </w:trPr>
        <w:tc>
          <w:tcPr>
            <w:tcW w:w="9072" w:type="dxa"/>
            <w:gridSpan w:val="2"/>
            <w:shd w:val="pct10" w:color="000000" w:fill="FFFFFF"/>
          </w:tcPr>
          <w:p w:rsidR="008452E8" w:rsidRPr="004F68F2" w:rsidRDefault="00C634EF" w:rsidP="00AD4CEB">
            <w:pPr>
              <w:pStyle w:val="AttendancePVTable"/>
            </w:pPr>
            <w:r w:rsidRPr="004F68F2">
              <w:t>Генерална дирекция/Dirección General/Generální ředitelství/Generaldirektorat/Generaldirektion/Peadirektoraat/Γενική Διεύθυνση/ Directorate-General/Direction générale/Glavna uprava/Direzione generale/Ģenerāldirektorāts/Generalinis direktoratas/Főigazgatóság/ Direttorat Ġenerali/Directoraten-generaal/Dyrekcja Generalna/Direcção-Geral/Direcţii Generale/Generálne riaditeľstvo/Generalni direktorat/Pääosasto/Generaldirektorat</w:t>
            </w:r>
          </w:p>
        </w:tc>
      </w:tr>
      <w:tr w:rsidR="008452E8" w:rsidRPr="004F68F2">
        <w:trPr>
          <w:cantSplit/>
          <w:trHeight w:val="720"/>
        </w:trPr>
        <w:tc>
          <w:tcPr>
            <w:tcW w:w="1701" w:type="dxa"/>
            <w:shd w:val="clear" w:color="auto" w:fill="FFFFFF"/>
          </w:tcPr>
          <w:p w:rsidR="008452E8" w:rsidRPr="004F68F2" w:rsidRDefault="008452E8" w:rsidP="00A66B35">
            <w:pPr>
              <w:pStyle w:val="AttendancePVTable"/>
              <w:rPr>
                <w:lang w:val="pt-PT"/>
              </w:rPr>
            </w:pPr>
            <w:r w:rsidRPr="004F68F2">
              <w:rPr>
                <w:lang w:val="pt-PT"/>
              </w:rPr>
              <w:t>DG PRES</w:t>
            </w:r>
          </w:p>
          <w:p w:rsidR="008452E8" w:rsidRPr="004F68F2" w:rsidRDefault="008452E8" w:rsidP="00A66B35">
            <w:pPr>
              <w:pStyle w:val="AttendancePVTable"/>
              <w:rPr>
                <w:lang w:val="pt-PT"/>
              </w:rPr>
            </w:pPr>
            <w:r w:rsidRPr="004F68F2">
              <w:rPr>
                <w:lang w:val="pt-PT"/>
              </w:rPr>
              <w:t>DG IPOL</w:t>
            </w:r>
          </w:p>
          <w:p w:rsidR="008452E8" w:rsidRPr="004F68F2" w:rsidRDefault="008452E8" w:rsidP="00A66B35">
            <w:pPr>
              <w:pStyle w:val="AttendancePVTable"/>
              <w:rPr>
                <w:lang w:val="pt-PT"/>
              </w:rPr>
            </w:pPr>
            <w:r w:rsidRPr="004F68F2">
              <w:rPr>
                <w:lang w:val="pt-PT"/>
              </w:rPr>
              <w:t>DG EXPO</w:t>
            </w:r>
          </w:p>
          <w:p w:rsidR="00CA53ED" w:rsidRPr="004F68F2" w:rsidRDefault="00CA53ED" w:rsidP="00A66B35">
            <w:pPr>
              <w:pStyle w:val="AttendancePVTable"/>
              <w:rPr>
                <w:lang w:val="en-GB"/>
              </w:rPr>
            </w:pPr>
            <w:r w:rsidRPr="004F68F2">
              <w:rPr>
                <w:lang w:val="en-GB"/>
              </w:rPr>
              <w:t>DG EPRS</w:t>
            </w:r>
          </w:p>
          <w:p w:rsidR="008452E8" w:rsidRPr="004F68F2" w:rsidRDefault="008452E8" w:rsidP="00A66B35">
            <w:pPr>
              <w:pStyle w:val="AttendancePVTable"/>
              <w:rPr>
                <w:lang w:val="en-GB"/>
              </w:rPr>
            </w:pPr>
            <w:r w:rsidRPr="004F68F2">
              <w:rPr>
                <w:lang w:val="en-GB"/>
              </w:rPr>
              <w:t>DG COMM</w:t>
            </w:r>
          </w:p>
          <w:p w:rsidR="008452E8" w:rsidRPr="004F68F2" w:rsidRDefault="008452E8" w:rsidP="00A66B35">
            <w:pPr>
              <w:pStyle w:val="AttendancePVTable"/>
              <w:rPr>
                <w:lang w:val="en-GB"/>
              </w:rPr>
            </w:pPr>
            <w:r w:rsidRPr="004F68F2">
              <w:rPr>
                <w:lang w:val="en-GB"/>
              </w:rPr>
              <w:t>DG PERS</w:t>
            </w:r>
          </w:p>
          <w:p w:rsidR="008452E8" w:rsidRPr="004F68F2" w:rsidRDefault="007C674A" w:rsidP="00A66B35">
            <w:pPr>
              <w:pStyle w:val="AttendancePVTable"/>
              <w:rPr>
                <w:lang w:val="sv-SE"/>
              </w:rPr>
            </w:pPr>
            <w:r w:rsidRPr="004F68F2">
              <w:rPr>
                <w:lang w:val="sv-SE"/>
              </w:rPr>
              <w:t>DG INLO</w:t>
            </w:r>
          </w:p>
          <w:p w:rsidR="008452E8" w:rsidRPr="004F68F2" w:rsidRDefault="008452E8" w:rsidP="00A66B35">
            <w:pPr>
              <w:pStyle w:val="AttendancePVTable"/>
              <w:rPr>
                <w:lang w:val="sv-SE"/>
              </w:rPr>
            </w:pPr>
            <w:r w:rsidRPr="004F68F2">
              <w:rPr>
                <w:lang w:val="sv-SE"/>
              </w:rPr>
              <w:t>DG TRAD</w:t>
            </w:r>
          </w:p>
          <w:p w:rsidR="007C674A" w:rsidRPr="004F68F2" w:rsidRDefault="007C674A" w:rsidP="00A66B35">
            <w:pPr>
              <w:pStyle w:val="AttendancePVTable"/>
              <w:rPr>
                <w:lang w:val="sv-SE"/>
              </w:rPr>
            </w:pPr>
            <w:r w:rsidRPr="004F68F2">
              <w:rPr>
                <w:lang w:val="sv-SE"/>
              </w:rPr>
              <w:t>DG LINC</w:t>
            </w:r>
          </w:p>
          <w:p w:rsidR="008452E8" w:rsidRPr="004F68F2" w:rsidRDefault="008452E8" w:rsidP="00A66B35">
            <w:pPr>
              <w:pStyle w:val="AttendancePVTable"/>
              <w:rPr>
                <w:lang w:val="en-GB"/>
              </w:rPr>
            </w:pPr>
            <w:r w:rsidRPr="004F68F2">
              <w:rPr>
                <w:lang w:val="en-GB"/>
              </w:rPr>
              <w:t>DG FINS</w:t>
            </w:r>
          </w:p>
          <w:p w:rsidR="00CA53ED" w:rsidRPr="004F68F2" w:rsidRDefault="00CA53ED" w:rsidP="00A66B35">
            <w:pPr>
              <w:pStyle w:val="AttendancePVTable"/>
              <w:rPr>
                <w:lang w:val="en-GB"/>
              </w:rPr>
            </w:pPr>
            <w:r w:rsidRPr="004F68F2">
              <w:rPr>
                <w:lang w:val="en-GB"/>
              </w:rPr>
              <w:t>DG ITEC</w:t>
            </w:r>
          </w:p>
          <w:p w:rsidR="007C674A" w:rsidRPr="004F68F2" w:rsidRDefault="00CA53ED" w:rsidP="00A66B35">
            <w:pPr>
              <w:pStyle w:val="AttendancePVTable"/>
              <w:rPr>
                <w:lang w:val="en-GB"/>
              </w:rPr>
            </w:pPr>
            <w:r w:rsidRPr="004F68F2">
              <w:rPr>
                <w:lang w:val="en-GB"/>
              </w:rPr>
              <w:t>DG SAFE</w:t>
            </w:r>
          </w:p>
        </w:tc>
        <w:tc>
          <w:tcPr>
            <w:tcW w:w="7371" w:type="dxa"/>
            <w:shd w:val="clear" w:color="auto" w:fill="FFFFFF"/>
          </w:tcPr>
          <w:p w:rsidR="00CD4116" w:rsidRPr="004F68F2" w:rsidRDefault="00CD4116" w:rsidP="00A66B35">
            <w:pPr>
              <w:pStyle w:val="AttendancePVTable"/>
              <w:rPr>
                <w:lang w:val="en-GB"/>
              </w:rPr>
            </w:pPr>
          </w:p>
          <w:p w:rsidR="008452E8" w:rsidRPr="004F68F2" w:rsidRDefault="008E68DC" w:rsidP="00A66B35">
            <w:pPr>
              <w:pStyle w:val="AttendancePVTable"/>
            </w:pPr>
            <w:r w:rsidRPr="004F68F2">
              <w:t>Monika Strasser</w:t>
            </w:r>
          </w:p>
          <w:p w:rsidR="008452E8" w:rsidRPr="004F68F2" w:rsidRDefault="008452E8" w:rsidP="00A66B35">
            <w:pPr>
              <w:pStyle w:val="AttendancePVTable"/>
            </w:pPr>
          </w:p>
          <w:p w:rsidR="008452E8" w:rsidRPr="004F68F2" w:rsidRDefault="008452E8" w:rsidP="00CD4116">
            <w:pPr>
              <w:pStyle w:val="AttendancePVTable"/>
            </w:pPr>
          </w:p>
          <w:p w:rsidR="00CD4116" w:rsidRPr="004F68F2" w:rsidRDefault="00CD4116" w:rsidP="00CD4116">
            <w:pPr>
              <w:pStyle w:val="AttendancePVTable"/>
            </w:pPr>
          </w:p>
          <w:p w:rsidR="00CA53ED" w:rsidRPr="004F68F2" w:rsidRDefault="00CA53ED" w:rsidP="00AD4CEB">
            <w:pPr>
              <w:pStyle w:val="AttendancePVTable"/>
            </w:pPr>
          </w:p>
        </w:tc>
      </w:tr>
    </w:tbl>
    <w:p w:rsidR="0083601E" w:rsidRPr="004F68F2" w:rsidRDefault="0083601E" w:rsidP="005D5A08">
      <w:pPr>
        <w:pStyle w:val="AttendancePV"/>
      </w:pPr>
      <w:r w:rsidRPr="004F68F2">
        <w:br w:type="page"/>
      </w: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A13D65" w:rsidRPr="004F68F2">
        <w:trPr>
          <w:cantSplit/>
        </w:trPr>
        <w:tc>
          <w:tcPr>
            <w:tcW w:w="9072" w:type="dxa"/>
            <w:shd w:val="pct10" w:color="000000" w:fill="FFFFFF"/>
          </w:tcPr>
          <w:p w:rsidR="00A13D65" w:rsidRPr="004F68F2" w:rsidRDefault="00A13D65" w:rsidP="00AD4CEB">
            <w:pPr>
              <w:pStyle w:val="AttendancePVTable"/>
            </w:pPr>
            <w:r w:rsidRPr="004F68F2">
              <w:lastRenderedPageBreak/>
              <w:t>Правна служба/Servicio Jurídico/Právní služba/Juridisk Tjeneste/Juristischer Dienst/Õigusteenistus/Νομική Υπηρεσία/Legal Service/ Service juridique/Pravna služba/Servizio giuridico/Juridiskais dienests/Teisės tarnyba/Jogi szolgálat/Servizz legali/Juridische Dienst/ Wydział prawny/Serviço Jurídico/Serviciu Juridic/Právny servis/Oikeudellinen yksikkö/Rättstjänsten</w:t>
            </w:r>
          </w:p>
        </w:tc>
      </w:tr>
      <w:tr w:rsidR="00A13D65" w:rsidRPr="004F68F2" w:rsidTr="003C7A12">
        <w:trPr>
          <w:cantSplit/>
          <w:trHeight w:val="510"/>
        </w:trPr>
        <w:tc>
          <w:tcPr>
            <w:tcW w:w="9072" w:type="dxa"/>
            <w:shd w:val="clear" w:color="auto" w:fill="FFFFFF"/>
          </w:tcPr>
          <w:p w:rsidR="00A13D65" w:rsidRPr="004F68F2" w:rsidRDefault="00A13D65" w:rsidP="00AD4CEB">
            <w:pPr>
              <w:pStyle w:val="AttendancePVTable"/>
            </w:pPr>
          </w:p>
        </w:tc>
      </w:tr>
      <w:tr w:rsidR="00A13D65" w:rsidRPr="004F68F2">
        <w:trPr>
          <w:cantSplit/>
        </w:trPr>
        <w:tc>
          <w:tcPr>
            <w:tcW w:w="9072" w:type="dxa"/>
            <w:shd w:val="pct10" w:color="000000" w:fill="FFFFFF"/>
          </w:tcPr>
          <w:p w:rsidR="00A13D65" w:rsidRPr="004F68F2" w:rsidRDefault="00A13D65" w:rsidP="00E2213D">
            <w:pPr>
              <w:pStyle w:val="AttendancePVTable"/>
            </w:pPr>
            <w:r w:rsidRPr="004F68F2">
              <w:t>Секретариат на комисията/Secretaría de la comisión/Sekretariát výboru/Udvalgssekretariatet/Ausschusssekretariat/Komisjoni sekretariaat/Γραμματεία της επιτροπής/Committee secretariat/Secrétariat de la commission/Tajništvo odbora/Segreteria della commissione/Komitejas sekretariāts/Komiteto sekretoriatas/A bizottság titkársága/Segretarjat tal-kumitat/Commissiesecretariaat/ Sekretariat komisji/Secretariado da comissão/Secretariat comisie/Sekretariat odbora/Valiokunnan sihteeristö/Utskottssekretariatet</w:t>
            </w:r>
          </w:p>
        </w:tc>
      </w:tr>
      <w:tr w:rsidR="00A13D65" w:rsidRPr="004F68F2" w:rsidTr="003C7A12">
        <w:trPr>
          <w:cantSplit/>
          <w:trHeight w:val="510"/>
        </w:trPr>
        <w:tc>
          <w:tcPr>
            <w:tcW w:w="9072" w:type="dxa"/>
            <w:shd w:val="clear" w:color="auto" w:fill="FFFFFF"/>
          </w:tcPr>
          <w:p w:rsidR="00A13D65" w:rsidRPr="004F68F2" w:rsidRDefault="008E68DC" w:rsidP="00AD4CEB">
            <w:pPr>
              <w:pStyle w:val="AttendancePVTable"/>
            </w:pPr>
            <w:r w:rsidRPr="004F68F2">
              <w:t>Evelyn Waldherr</w:t>
            </w:r>
          </w:p>
        </w:tc>
      </w:tr>
      <w:tr w:rsidR="00A13D65" w:rsidRPr="004F68F2">
        <w:trPr>
          <w:cantSplit/>
        </w:trPr>
        <w:tc>
          <w:tcPr>
            <w:tcW w:w="9072" w:type="dxa"/>
            <w:shd w:val="pct10" w:color="000000" w:fill="FFFFFF"/>
          </w:tcPr>
          <w:p w:rsidR="00A13D65" w:rsidRPr="004F68F2" w:rsidRDefault="00A13D65" w:rsidP="00AD4CEB">
            <w:pPr>
              <w:pStyle w:val="AttendancePVTable"/>
            </w:pPr>
            <w:r w:rsidRPr="004F68F2">
              <w:t>Сътрудник/Asistente/Asistent/Assistent/Assistenz/Βοηθός/Assistant/Assistente/Palīgs/Padėjėjas/Asszisztens/Asystent/Pomočnik/ Avustaja/Assistenter</w:t>
            </w:r>
          </w:p>
        </w:tc>
      </w:tr>
      <w:tr w:rsidR="00A13D65" w:rsidRPr="004F68F2" w:rsidTr="003C7A12">
        <w:trPr>
          <w:cantSplit/>
          <w:trHeight w:val="510"/>
        </w:trPr>
        <w:tc>
          <w:tcPr>
            <w:tcW w:w="9072" w:type="dxa"/>
            <w:shd w:val="clear" w:color="auto" w:fill="FFFFFF"/>
          </w:tcPr>
          <w:p w:rsidR="00A13D65" w:rsidRPr="004F68F2" w:rsidRDefault="008E68DC" w:rsidP="00AD4CEB">
            <w:pPr>
              <w:pStyle w:val="AttendancePVTable"/>
            </w:pPr>
            <w:r w:rsidRPr="004F68F2">
              <w:t>Kameliya Velcheva</w:t>
            </w:r>
          </w:p>
        </w:tc>
      </w:tr>
    </w:tbl>
    <w:p w:rsidR="008452E8" w:rsidRPr="004F68F2" w:rsidRDefault="008452E8" w:rsidP="005D5A08">
      <w:pPr>
        <w:pStyle w:val="AttendancePV"/>
      </w:pPr>
    </w:p>
    <w:p w:rsidR="00801684" w:rsidRPr="004F68F2" w:rsidRDefault="00801684" w:rsidP="005D5A08">
      <w:pPr>
        <w:pStyle w:val="AttendancePV"/>
      </w:pPr>
    </w:p>
    <w:p w:rsidR="00801684" w:rsidRPr="004F68F2" w:rsidRDefault="00801684" w:rsidP="005D5A08">
      <w:pPr>
        <w:pStyle w:val="AttendancePV"/>
      </w:pPr>
    </w:p>
    <w:p w:rsidR="00C634EF" w:rsidRPr="004F68F2" w:rsidRDefault="00C634EF" w:rsidP="00AD4CEB">
      <w:pPr>
        <w:pStyle w:val="AttendancePVFootnote"/>
      </w:pPr>
      <w:r w:rsidRPr="004F68F2">
        <w:t xml:space="preserve">* </w:t>
      </w:r>
      <w:r w:rsidRPr="004F68F2">
        <w:tab/>
        <w:t>(P)</w:t>
      </w:r>
      <w:r w:rsidRPr="004F68F2">
        <w:tab/>
        <w:t>=</w:t>
      </w:r>
      <w:r w:rsidRPr="004F68F2">
        <w:tab/>
        <w:t>Председател/Presidente/Předseda/Formand/Vorsitzender/Esimees/Πρόεδρος/Chair/Président/Predsjednik/Priekšsēdētājs/ Pirmininkas/Elnök/'Chairman'/Voorzitter/Przewodniczący/Preşedinte/Predseda/Predsednik/Puheenjohtaja/Ordförande</w:t>
      </w:r>
    </w:p>
    <w:p w:rsidR="00C634EF" w:rsidRPr="004F68F2" w:rsidRDefault="00C634EF" w:rsidP="00AD4CEB">
      <w:pPr>
        <w:pStyle w:val="AttendancePVFootnote"/>
      </w:pPr>
      <w:r w:rsidRPr="004F68F2">
        <w:tab/>
        <w:t>(VP) =</w:t>
      </w:r>
      <w:r w:rsidRPr="004F68F2">
        <w:tab/>
        <w:t>Заместник-председател/Vicepresidente/Místopředseda/Næstformand/Stellvertretender Vorsitzender/Aseesimees/Αντιπρόεδρος/ Vice-Chair/Potpredsjednik/Vice-Président/Potpredsjednik/Priekšsēdētāja vietnieks/Pirmininko pavaduotojas/Alelnök/ Viċi 'Chairman'/Ondervoorzitter/Wiceprzewodniczący/Vice-Presidente/Vicepreşedinte/Podpredseda/Podpredsednik/ Varapuheenjohtaja/Vice ordförande</w:t>
      </w:r>
    </w:p>
    <w:p w:rsidR="00C634EF" w:rsidRPr="004F68F2" w:rsidRDefault="00C634EF" w:rsidP="00AD4CEB">
      <w:pPr>
        <w:pStyle w:val="AttendancePVFootnote"/>
      </w:pPr>
      <w:r w:rsidRPr="004F68F2">
        <w:tab/>
        <w:t>(M)</w:t>
      </w:r>
      <w:r w:rsidRPr="004F68F2">
        <w:tab/>
        <w:t>=</w:t>
      </w:r>
      <w:r w:rsidRPr="004F68F2">
        <w:tab/>
        <w:t>Член/Miembro/Člen/Medlem./Mitglied/Parlamendiliige/Βουλευτής/Member/Membre/Član/Membro/Deputāts/Narys/Képviselő/ Membru/Lid/Członek/Membro/Membru/Člen/Poslanec/Jäsen/Ledamot</w:t>
      </w:r>
    </w:p>
    <w:p w:rsidR="006275CD" w:rsidRPr="004F68F2" w:rsidRDefault="00C634EF" w:rsidP="00AD4CEB">
      <w:pPr>
        <w:pStyle w:val="AttendancePVFootnote"/>
      </w:pPr>
      <w:r w:rsidRPr="004F68F2">
        <w:tab/>
        <w:t>(F)</w:t>
      </w:r>
      <w:r w:rsidRPr="004F68F2">
        <w:tab/>
        <w:t>=</w:t>
      </w:r>
      <w:r w:rsidRPr="004F68F2">
        <w:tab/>
        <w:t>Длъжностно лице/Funcionario/Úředník/Tjenestemand/Beamter/Ametnik/Υπάλληλος/Official/Fonctionnaire/Dužnosnik/ Funzionario/Ierēdnis/Pareigūnas/Tisztviselő/Uffiċjal/Ambtenaar/Urzędnik/Funcionário/Funcţionar/Úradník/Uradnik/Virkamies/ Tjänsteman</w:t>
      </w:r>
    </w:p>
    <w:p w:rsidR="0022027F" w:rsidRPr="004F68F2" w:rsidRDefault="0022027F"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3B11A6" w:rsidRPr="004F68F2" w:rsidRDefault="003B11A6"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22027F">
      <w:pPr>
        <w:pStyle w:val="AttendancePV"/>
      </w:pPr>
    </w:p>
    <w:p w:rsidR="00777D87" w:rsidRPr="004F68F2" w:rsidRDefault="00777D87" w:rsidP="00726BB4">
      <w:pPr>
        <w:widowControl/>
        <w:tabs>
          <w:tab w:val="left" w:pos="1985"/>
          <w:tab w:val="left" w:pos="2124"/>
        </w:tabs>
        <w:jc w:val="right"/>
        <w:rPr>
          <w:rFonts w:ascii="Myriad Pro" w:eastAsia="Calibri" w:hAnsi="Myriad Pro"/>
          <w:b/>
          <w:smallCaps/>
          <w:snapToGrid/>
          <w:color w:val="709047"/>
          <w:sz w:val="22"/>
          <w:szCs w:val="22"/>
        </w:rPr>
      </w:pPr>
      <w:r w:rsidRPr="004F68F2">
        <w:rPr>
          <w:rFonts w:ascii="Myriad Pro" w:hAnsi="Myriad Pro"/>
          <w:b/>
          <w:smallCaps/>
          <w:snapToGrid/>
          <w:color w:val="709047"/>
          <w:sz w:val="22"/>
          <w:szCs w:val="22"/>
        </w:rPr>
        <w:t>Issue N°12 - 15 O</w:t>
      </w:r>
      <w:r w:rsidRPr="004F68F2">
        <w:rPr>
          <w:rFonts w:ascii="Myriad Pro" w:hAnsi="Myriad Pro"/>
          <w:b/>
          <w:smallCaps/>
          <w:snapToGrid/>
          <w:color w:val="709047"/>
          <w:sz w:val="20"/>
          <w:szCs w:val="22"/>
        </w:rPr>
        <w:t>CTO</w:t>
      </w:r>
      <w:r w:rsidRPr="004F68F2">
        <w:rPr>
          <w:rFonts w:ascii="Myriad Pro" w:hAnsi="Myriad Pro"/>
          <w:b/>
          <w:smallCaps/>
          <w:snapToGrid/>
          <w:color w:val="709047"/>
          <w:sz w:val="22"/>
          <w:szCs w:val="22"/>
        </w:rPr>
        <w:t>ber 2020</w:t>
      </w:r>
    </w:p>
    <w:p w:rsidR="00777D87" w:rsidRPr="004F68F2" w:rsidRDefault="00777D87" w:rsidP="00726BB4">
      <w:pPr>
        <w:widowControl/>
        <w:tabs>
          <w:tab w:val="left" w:pos="1985"/>
          <w:tab w:val="left" w:pos="2127"/>
        </w:tabs>
        <w:ind w:left="-709" w:firstLine="283"/>
        <w:jc w:val="center"/>
        <w:rPr>
          <w:rFonts w:ascii="Myriad Pro" w:eastAsia="Calibri" w:hAnsi="Myriad Pro"/>
          <w:b/>
          <w:smallCaps/>
          <w:snapToGrid/>
          <w:color w:val="709047"/>
          <w:spacing w:val="-20"/>
          <w:sz w:val="48"/>
          <w:szCs w:val="48"/>
        </w:rPr>
      </w:pPr>
      <w:r w:rsidRPr="004F68F2">
        <w:rPr>
          <w:rFonts w:ascii="Myriad Pro" w:hAnsi="Myriad Pro"/>
          <w:b/>
          <w:smallCaps/>
          <w:snapToGrid/>
          <w:color w:val="709047"/>
          <w:sz w:val="48"/>
          <w:szCs w:val="48"/>
        </w:rPr>
        <w:t>NEWSLETTER</w:t>
      </w:r>
    </w:p>
    <w:p w:rsidR="00777D87" w:rsidRPr="004F68F2" w:rsidRDefault="00777D87" w:rsidP="00726BB4">
      <w:pPr>
        <w:widowControl/>
        <w:tabs>
          <w:tab w:val="left" w:pos="1985"/>
          <w:tab w:val="left" w:pos="2127"/>
        </w:tabs>
        <w:ind w:left="-709" w:firstLine="283"/>
        <w:rPr>
          <w:rFonts w:ascii="Myriad Pro" w:eastAsia="Calibri" w:hAnsi="Myriad Pro"/>
          <w:smallCaps/>
          <w:snapToGrid/>
          <w:color w:val="000000"/>
          <w:sz w:val="20"/>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897" w:firstLine="283"/>
        <w:jc w:val="both"/>
        <w:rPr>
          <w:rFonts w:ascii="Myriad Pro" w:hAnsi="Myriad Pro" w:cs="Arial"/>
          <w:snapToGrid/>
          <w:sz w:val="20"/>
        </w:rPr>
      </w:pPr>
      <w:r w:rsidRPr="004F68F2">
        <w:rPr>
          <w:rFonts w:ascii="Myriad Pro" w:hAnsi="Myriad Pro"/>
          <w:noProof/>
          <w:snapToGrid/>
          <w:sz w:val="20"/>
          <w:lang w:val="en-GB" w:eastAsia="en-GB"/>
        </w:rPr>
        <mc:AlternateContent>
          <mc:Choice Requires="wps">
            <w:drawing>
              <wp:inline distT="0" distB="0" distL="0" distR="0" wp14:anchorId="53CA00E5" wp14:editId="07913BD1">
                <wp:extent cx="6748145" cy="3973731"/>
                <wp:effectExtent l="0" t="0" r="0" b="82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145" cy="3973731"/>
                        </a:xfrm>
                        <a:prstGeom prst="rect">
                          <a:avLst/>
                        </a:prstGeom>
                        <a:solidFill>
                          <a:srgbClr val="709047">
                            <a:alpha val="20000"/>
                          </a:srgbClr>
                        </a:solidFill>
                        <a:ln>
                          <a:noFill/>
                        </a:ln>
                      </wps:spPr>
                      <wps:txbx>
                        <w:txbxContent>
                          <w:p w:rsidR="00A901EA" w:rsidRPr="004F68F2" w:rsidRDefault="00A901EA" w:rsidP="00777D87">
                            <w:pPr>
                              <w:autoSpaceDE w:val="0"/>
                              <w:autoSpaceDN w:val="0"/>
                              <w:adjustRightInd w:val="0"/>
                              <w:spacing w:before="360" w:after="60"/>
                              <w:jc w:val="center"/>
                              <w:rPr>
                                <w:rFonts w:ascii="Myriad Pro" w:hAnsi="Myriad Pro" w:cs="Microsoft New Tai Lue"/>
                                <w:b/>
                                <w:smallCaps/>
                                <w:color w:val="525252"/>
                                <w:sz w:val="32"/>
                                <w:szCs w:val="32"/>
                                <w:lang w:val="en-GB"/>
                              </w:rPr>
                            </w:pPr>
                            <w:r w:rsidRPr="004F68F2">
                              <w:rPr>
                                <w:rFonts w:ascii="Myriad Pro" w:hAnsi="Myriad Pro"/>
                                <w:b/>
                                <w:smallCaps/>
                                <w:color w:val="525252"/>
                                <w:sz w:val="32"/>
                                <w:szCs w:val="32"/>
                                <w:lang w:val="en-GB"/>
                              </w:rPr>
                              <w:t>EXTRAORDINARY COMMITTEE MEETING</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lang w:val="en-GB"/>
                              </w:rPr>
                            </w:pPr>
                            <w:r w:rsidRPr="004F68F2">
                              <w:rPr>
                                <w:rFonts w:ascii="Myriad Pro" w:hAnsi="Myriad Pro"/>
                                <w:b/>
                                <w:smallCaps/>
                                <w:color w:val="709047"/>
                                <w:sz w:val="32"/>
                                <w:szCs w:val="32"/>
                                <w:lang w:val="en-GB"/>
                              </w:rPr>
                              <w:t>T</w:t>
                            </w:r>
                            <w:r w:rsidRPr="004F68F2">
                              <w:rPr>
                                <w:rFonts w:ascii="Myriad Pro" w:hAnsi="Myriad Pro"/>
                                <w:b/>
                                <w:smallCaps/>
                                <w:color w:val="709047"/>
                                <w:sz w:val="28"/>
                                <w:szCs w:val="32"/>
                                <w:lang w:val="en-GB"/>
                              </w:rPr>
                              <w:t>HURSDAY</w:t>
                            </w:r>
                            <w:r w:rsidRPr="004F68F2">
                              <w:rPr>
                                <w:rFonts w:ascii="Myriad Pro" w:hAnsi="Myriad Pro"/>
                                <w:b/>
                                <w:smallCaps/>
                                <w:color w:val="709047"/>
                                <w:sz w:val="32"/>
                                <w:szCs w:val="32"/>
                                <w:lang w:val="en-GB"/>
                              </w:rPr>
                              <w:t xml:space="preserve">, 15 </w:t>
                            </w:r>
                            <w:r w:rsidRPr="004F68F2">
                              <w:rPr>
                                <w:rFonts w:ascii="Myriad Pro" w:hAnsi="Myriad Pro"/>
                                <w:b/>
                                <w:smallCaps/>
                                <w:color w:val="709047"/>
                                <w:sz w:val="40"/>
                                <w:szCs w:val="32"/>
                                <w:lang w:val="en-GB"/>
                              </w:rPr>
                              <w:t>o</w:t>
                            </w:r>
                            <w:r w:rsidRPr="004F68F2">
                              <w:rPr>
                                <w:rFonts w:ascii="Myriad Pro" w:hAnsi="Myriad Pro"/>
                                <w:b/>
                                <w:smallCaps/>
                                <w:color w:val="709047"/>
                                <w:sz w:val="28"/>
                                <w:szCs w:val="32"/>
                                <w:lang w:val="en-GB"/>
                              </w:rPr>
                              <w:t>CTOBER</w:t>
                            </w:r>
                            <w:r w:rsidRPr="004F68F2">
                              <w:rPr>
                                <w:rFonts w:ascii="Myriad Pro" w:hAnsi="Myriad Pro"/>
                                <w:b/>
                                <w:smallCaps/>
                                <w:color w:val="709047"/>
                                <w:sz w:val="32"/>
                                <w:szCs w:val="32"/>
                                <w:lang w:val="en-GB"/>
                              </w:rPr>
                              <w:t xml:space="preserve"> 2020</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lang w:val="en-GB"/>
                              </w:rPr>
                            </w:pPr>
                            <w:r w:rsidRPr="004F68F2">
                              <w:rPr>
                                <w:rFonts w:ascii="Myriad Pro" w:hAnsi="Myriad Pro"/>
                                <w:bCs/>
                                <w:color w:val="000000"/>
                                <w:sz w:val="28"/>
                                <w:lang w:val="en-GB"/>
                              </w:rPr>
                              <w:t>13:45 to 15:45</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lang w:val="en-GB"/>
                              </w:rPr>
                            </w:pPr>
                            <w:r w:rsidRPr="004F68F2">
                              <w:rPr>
                                <w:rFonts w:ascii="Myriad Pro" w:hAnsi="Myriad Pro"/>
                                <w:bCs/>
                                <w:color w:val="000000"/>
                                <w:sz w:val="28"/>
                                <w:lang w:val="en-GB"/>
                              </w:rPr>
                              <w:t>Remote participation of Members</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lang w:val="en-GB"/>
                              </w:rPr>
                            </w:pPr>
                            <w:r w:rsidRPr="004F68F2">
                              <w:rPr>
                                <w:rFonts w:ascii="Myriad Pro" w:hAnsi="Myriad Pro"/>
                                <w:b/>
                                <w:smallCaps/>
                                <w:color w:val="709047"/>
                                <w:sz w:val="32"/>
                                <w:szCs w:val="32"/>
                                <w:lang w:val="en-GB"/>
                              </w:rPr>
                              <w:t>T</w:t>
                            </w:r>
                            <w:r w:rsidRPr="004F68F2">
                              <w:rPr>
                                <w:rFonts w:ascii="Myriad Pro" w:hAnsi="Myriad Pro"/>
                                <w:b/>
                                <w:smallCaps/>
                                <w:color w:val="709047"/>
                                <w:sz w:val="28"/>
                                <w:szCs w:val="32"/>
                                <w:lang w:val="en-GB"/>
                              </w:rPr>
                              <w:t>HURSDAY</w:t>
                            </w:r>
                            <w:r w:rsidRPr="004F68F2">
                              <w:rPr>
                                <w:rFonts w:ascii="Myriad Pro" w:hAnsi="Myriad Pro"/>
                                <w:b/>
                                <w:smallCaps/>
                                <w:color w:val="709047"/>
                                <w:sz w:val="32"/>
                                <w:szCs w:val="32"/>
                                <w:lang w:val="en-GB"/>
                              </w:rPr>
                              <w:t xml:space="preserve">, 15 </w:t>
                            </w:r>
                            <w:r w:rsidRPr="004F68F2">
                              <w:rPr>
                                <w:rFonts w:ascii="Myriad Pro" w:hAnsi="Myriad Pro"/>
                                <w:b/>
                                <w:smallCaps/>
                                <w:color w:val="709047"/>
                                <w:sz w:val="40"/>
                                <w:szCs w:val="32"/>
                                <w:lang w:val="en-GB"/>
                              </w:rPr>
                              <w:t>o</w:t>
                            </w:r>
                            <w:r w:rsidRPr="004F68F2">
                              <w:rPr>
                                <w:rFonts w:ascii="Myriad Pro" w:hAnsi="Myriad Pro"/>
                                <w:b/>
                                <w:smallCaps/>
                                <w:color w:val="709047"/>
                                <w:sz w:val="28"/>
                                <w:szCs w:val="32"/>
                                <w:lang w:val="en-GB"/>
                              </w:rPr>
                              <w:t>CTOBER</w:t>
                            </w:r>
                            <w:r w:rsidRPr="004F68F2">
                              <w:rPr>
                                <w:rFonts w:ascii="Myriad Pro" w:hAnsi="Myriad Pro"/>
                                <w:b/>
                                <w:smallCaps/>
                                <w:color w:val="709047"/>
                                <w:sz w:val="32"/>
                                <w:szCs w:val="32"/>
                                <w:lang w:val="en-GB"/>
                              </w:rPr>
                              <w:t xml:space="preserve"> 2020</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lang w:val="en-GB"/>
                              </w:rPr>
                            </w:pPr>
                            <w:r w:rsidRPr="004F68F2">
                              <w:rPr>
                                <w:rFonts w:ascii="Myriad Pro" w:hAnsi="Myriad Pro"/>
                                <w:bCs/>
                                <w:color w:val="000000"/>
                                <w:sz w:val="28"/>
                                <w:lang w:val="en-GB"/>
                              </w:rPr>
                              <w:t xml:space="preserve">16:45 to 18:15 - </w:t>
                            </w:r>
                            <w:r w:rsidRPr="004F68F2">
                              <w:rPr>
                                <w:rFonts w:ascii="Myriad Pro" w:hAnsi="Myriad Pro"/>
                                <w:b/>
                                <w:bCs/>
                                <w:color w:val="000000"/>
                                <w:sz w:val="28"/>
                                <w:lang w:val="en-GB"/>
                              </w:rPr>
                              <w:t>Joint meeting with ENVI and AGRI</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lang w:val="en-GB"/>
                              </w:rPr>
                            </w:pPr>
                            <w:r w:rsidRPr="004F68F2">
                              <w:rPr>
                                <w:rFonts w:ascii="Myriad Pro" w:hAnsi="Myriad Pro"/>
                                <w:bCs/>
                                <w:color w:val="000000"/>
                                <w:sz w:val="28"/>
                                <w:lang w:val="en-GB"/>
                              </w:rPr>
                              <w:t>Remote participation of Members</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lang w:val="en-GB"/>
                              </w:rPr>
                            </w:pPr>
                            <w:r w:rsidRPr="004F68F2">
                              <w:rPr>
                                <w:rFonts w:ascii="Myriad Pro" w:hAnsi="Myriad Pro"/>
                                <w:b/>
                                <w:smallCaps/>
                                <w:color w:val="709047"/>
                                <w:sz w:val="32"/>
                                <w:szCs w:val="32"/>
                                <w:lang w:val="en-GB"/>
                              </w:rPr>
                              <w:t>T</w:t>
                            </w:r>
                            <w:r w:rsidRPr="004F68F2">
                              <w:rPr>
                                <w:rFonts w:ascii="Myriad Pro" w:hAnsi="Myriad Pro"/>
                                <w:b/>
                                <w:smallCaps/>
                                <w:color w:val="709047"/>
                                <w:sz w:val="28"/>
                                <w:szCs w:val="32"/>
                                <w:lang w:val="en-GB"/>
                              </w:rPr>
                              <w:t>HURSDAY</w:t>
                            </w:r>
                            <w:r w:rsidRPr="004F68F2">
                              <w:rPr>
                                <w:rFonts w:ascii="Myriad Pro" w:hAnsi="Myriad Pro"/>
                                <w:b/>
                                <w:smallCaps/>
                                <w:color w:val="709047"/>
                                <w:sz w:val="32"/>
                                <w:szCs w:val="32"/>
                                <w:lang w:val="en-GB"/>
                              </w:rPr>
                              <w:t xml:space="preserve">, 15 </w:t>
                            </w:r>
                            <w:r w:rsidRPr="004F68F2">
                              <w:rPr>
                                <w:rFonts w:ascii="Myriad Pro" w:hAnsi="Myriad Pro"/>
                                <w:b/>
                                <w:smallCaps/>
                                <w:color w:val="709047"/>
                                <w:sz w:val="40"/>
                                <w:szCs w:val="32"/>
                                <w:lang w:val="en-GB"/>
                              </w:rPr>
                              <w:t>o</w:t>
                            </w:r>
                            <w:r w:rsidRPr="004F68F2">
                              <w:rPr>
                                <w:rFonts w:ascii="Myriad Pro" w:hAnsi="Myriad Pro"/>
                                <w:b/>
                                <w:smallCaps/>
                                <w:color w:val="709047"/>
                                <w:sz w:val="28"/>
                                <w:szCs w:val="32"/>
                                <w:lang w:val="en-GB"/>
                              </w:rPr>
                              <w:t>CTOBER</w:t>
                            </w:r>
                            <w:r w:rsidRPr="004F68F2">
                              <w:rPr>
                                <w:rFonts w:ascii="Myriad Pro" w:hAnsi="Myriad Pro"/>
                                <w:b/>
                                <w:smallCaps/>
                                <w:color w:val="709047"/>
                                <w:sz w:val="32"/>
                                <w:szCs w:val="32"/>
                                <w:lang w:val="en-GB"/>
                              </w:rPr>
                              <w:t xml:space="preserve"> 2020</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lang w:val="en-GB"/>
                              </w:rPr>
                            </w:pPr>
                            <w:r w:rsidRPr="004F68F2">
                              <w:rPr>
                                <w:rFonts w:ascii="Myriad Pro" w:hAnsi="Myriad Pro"/>
                                <w:bCs/>
                                <w:color w:val="000000"/>
                                <w:sz w:val="28"/>
                                <w:lang w:val="en-GB"/>
                              </w:rPr>
                              <w:t>18:15 to 18:45</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lang w:val="en-GB"/>
                              </w:rPr>
                            </w:pPr>
                            <w:r w:rsidRPr="004F68F2">
                              <w:rPr>
                                <w:rFonts w:ascii="Myriad Pro" w:hAnsi="Myriad Pro"/>
                                <w:bCs/>
                                <w:color w:val="000000"/>
                                <w:sz w:val="28"/>
                                <w:lang w:val="en-GB"/>
                              </w:rPr>
                              <w:t>Remote participation of Members</w:t>
                            </w:r>
                          </w:p>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5" w:right="57"/>
                              <w:jc w:val="center"/>
                              <w:rPr>
                                <w:rFonts w:ascii="Myriad Pro" w:eastAsia="ヒラギノ角ゴ Pro W3" w:hAnsi="Myriad Pro"/>
                                <w:b/>
                                <w:i/>
                                <w:color w:val="000000"/>
                                <w:lang w:val="en-GB"/>
                              </w:rPr>
                            </w:pPr>
                            <w:r w:rsidRPr="004F68F2">
                              <w:rPr>
                                <w:rFonts w:ascii="Myriad Pro" w:hAnsi="Myriad Pro"/>
                                <w:i/>
                                <w:color w:val="000000"/>
                                <w:lang w:val="en-GB"/>
                              </w:rPr>
                              <w:t xml:space="preserve">Any Members present in Brussels can attend the meeting in room </w:t>
                            </w:r>
                            <w:r w:rsidRPr="004F68F2">
                              <w:rPr>
                                <w:rFonts w:ascii="Myriad Pro" w:hAnsi="Myriad Pro"/>
                                <w:b/>
                                <w:i/>
                                <w:color w:val="000000"/>
                                <w:lang w:val="en-GB"/>
                              </w:rPr>
                              <w:t>József Antall (JAN) 4Q1</w:t>
                            </w:r>
                          </w:p>
                        </w:txbxContent>
                      </wps:txbx>
                      <wps:bodyPr rot="0" vert="horz" wrap="square" lIns="91440" tIns="45720" rIns="91440" bIns="45720" anchor="t" anchorCtr="0" upright="1">
                        <a:noAutofit/>
                      </wps:bodyPr>
                    </wps:wsp>
                  </a:graphicData>
                </a:graphic>
              </wp:inline>
            </w:drawing>
          </mc:Choice>
          <mc:Fallback>
            <w:pict>
              <v:shapetype w14:anchorId="53CA00E5" id="_x0000_t202" coordsize="21600,21600" o:spt="202" path="m,l,21600r21600,l21600,xe">
                <v:stroke joinstyle="miter"/>
                <v:path gradientshapeok="t" o:connecttype="rect"/>
              </v:shapetype>
              <v:shape id="Text Box 2" o:spid="_x0000_s1026" type="#_x0000_t202" style="width:531.35pt;height:3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" fillcolor="#709047" stroked="f">
                <v:fill opacity="13107f"/>
                <v:textbox>
                  <w:txbxContent>
                    <w:p w:rsidR="00A901EA" w:rsidRPr="003277EE" w:rsidRDefault="00A901EA" w:rsidP="00777D87">
                      <w:pPr>
                        <w:autoSpaceDE w:val="0"/>
                        <w:autoSpaceDN w:val="0"/>
                        <w:adjustRightInd w:val="0"/>
                        <w:spacing w:before="360" w:after="60"/>
                        <w:jc w:val="center"/>
                        <w:rPr>
                          <w:b/>
                          <w:smallCaps/>
                          <w:color w:val="525252"/>
                          <w:sz w:val="32"/>
                          <w:szCs w:val="32"/>
                          <w:rFonts w:ascii="Myriad Pro" w:hAnsi="Myriad Pro" w:cs="Microsoft New Tai Lue"/>
                        </w:rPr>
                      </w:pPr>
                      <w:r>
                        <w:rPr>
                          <w:b/>
                          <w:smallCaps/>
                          <w:color w:val="525252"/>
                          <w:sz w:val="32"/>
                          <w:szCs w:val="32"/>
                          <w:rFonts w:ascii="Myriad Pro" w:hAnsi="Myriad Pro"/>
                        </w:rPr>
                        <w:t xml:space="preserve">EXTRAORDINARY COMMITTEE MEETING</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b/>
                          <w:smallCaps/>
                          <w:color w:val="709047"/>
                          <w:sz w:val="32"/>
                          <w:szCs w:val="32"/>
                          <w:rFonts w:ascii="Myriad Pro" w:hAnsi="Myriad Pro"/>
                        </w:rPr>
                      </w:pPr>
                      <w:r>
                        <w:rPr>
                          <w:b/>
                          <w:smallCaps/>
                          <w:color w:val="709047"/>
                          <w:szCs w:val="32"/>
                          <w:sz w:val="32"/>
                          <w:rFonts w:ascii="Myriad Pro" w:hAnsi="Myriad Pro"/>
                        </w:rPr>
                        <w:t xml:space="preserve">T</w:t>
                      </w:r>
                      <w:r>
                        <w:rPr>
                          <w:b/>
                          <w:smallCaps/>
                          <w:color w:val="709047"/>
                          <w:szCs w:val="32"/>
                          <w:sz w:val="28"/>
                          <w:rFonts w:ascii="Myriad Pro" w:hAnsi="Myriad Pro"/>
                        </w:rPr>
                        <w:t xml:space="preserve">HURSDAY</w:t>
                      </w:r>
                      <w:r>
                        <w:rPr>
                          <w:b/>
                          <w:smallCaps/>
                          <w:color w:val="709047"/>
                          <w:szCs w:val="32"/>
                          <w:sz w:val="32"/>
                          <w:rFonts w:ascii="Myriad Pro" w:hAnsi="Myriad Pro"/>
                        </w:rPr>
                        <w:t xml:space="preserve">, 15 </w:t>
                      </w:r>
                      <w:r>
                        <w:rPr>
                          <w:b/>
                          <w:smallCaps/>
                          <w:color w:val="709047"/>
                          <w:szCs w:val="32"/>
                          <w:sz w:val="40"/>
                          <w:rFonts w:ascii="Myriad Pro" w:hAnsi="Myriad Pro"/>
                        </w:rPr>
                        <w:t xml:space="preserve">o</w:t>
                      </w:r>
                      <w:r>
                        <w:rPr>
                          <w:b/>
                          <w:smallCaps/>
                          <w:color w:val="709047"/>
                          <w:szCs w:val="32"/>
                          <w:sz w:val="28"/>
                          <w:rFonts w:ascii="Myriad Pro" w:hAnsi="Myriad Pro"/>
                        </w:rPr>
                        <w:t xml:space="preserve">CTOBER</w:t>
                      </w:r>
                      <w:r>
                        <w:rPr>
                          <w:b/>
                          <w:smallCaps/>
                          <w:color w:val="709047"/>
                          <w:szCs w:val="32"/>
                          <w:sz w:val="32"/>
                          <w:rFonts w:ascii="Myriad Pro" w:hAnsi="Myriad Pro"/>
                        </w:rPr>
                        <w:t xml:space="preserve"> 2020</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bCs/>
                          <w:color w:val="000000"/>
                          <w:sz w:val="28"/>
                          <w:rFonts w:ascii="Myriad Pro" w:eastAsia="ヒラギノ角ゴ Pro W3" w:hAnsi="Myriad Pro"/>
                        </w:rPr>
                      </w:pPr>
                      <w:r>
                        <w:rPr>
                          <w:bCs/>
                          <w:color w:val="000000"/>
                          <w:sz w:val="28"/>
                          <w:rFonts w:ascii="Myriad Pro" w:hAnsi="Myriad Pro"/>
                        </w:rPr>
                        <w:t xml:space="preserve">13:45 to 15:45</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i/>
                          <w:color w:val="000000"/>
                          <w:rFonts w:ascii="Myriad Pro" w:eastAsia="ヒラギノ角ゴ Pro W3" w:hAnsi="Myriad Pro"/>
                        </w:rPr>
                      </w:pPr>
                      <w:r>
                        <w:rPr>
                          <w:bCs/>
                          <w:color w:val="000000"/>
                          <w:sz w:val="28"/>
                          <w:rFonts w:ascii="Myriad Pro" w:hAnsi="Myriad Pro"/>
                        </w:rPr>
                        <w:t xml:space="preserve">Remote participation of Members</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b/>
                          <w:smallCaps/>
                          <w:color w:val="709047"/>
                          <w:sz w:val="32"/>
                          <w:szCs w:val="32"/>
                          <w:rFonts w:ascii="Myriad Pro" w:hAnsi="Myriad Pro"/>
                        </w:rPr>
                      </w:pPr>
                      <w:r>
                        <w:rPr>
                          <w:b/>
                          <w:smallCaps/>
                          <w:color w:val="709047"/>
                          <w:szCs w:val="32"/>
                          <w:sz w:val="32"/>
                          <w:rFonts w:ascii="Myriad Pro" w:hAnsi="Myriad Pro"/>
                        </w:rPr>
                        <w:t xml:space="preserve">T</w:t>
                      </w:r>
                      <w:r>
                        <w:rPr>
                          <w:b/>
                          <w:smallCaps/>
                          <w:color w:val="709047"/>
                          <w:szCs w:val="32"/>
                          <w:sz w:val="28"/>
                          <w:rFonts w:ascii="Myriad Pro" w:hAnsi="Myriad Pro"/>
                        </w:rPr>
                        <w:t xml:space="preserve">HURSDAY</w:t>
                      </w:r>
                      <w:r>
                        <w:rPr>
                          <w:b/>
                          <w:smallCaps/>
                          <w:color w:val="709047"/>
                          <w:szCs w:val="32"/>
                          <w:sz w:val="32"/>
                          <w:rFonts w:ascii="Myriad Pro" w:hAnsi="Myriad Pro"/>
                        </w:rPr>
                        <w:t xml:space="preserve">, 15 </w:t>
                      </w:r>
                      <w:r>
                        <w:rPr>
                          <w:b/>
                          <w:smallCaps/>
                          <w:color w:val="709047"/>
                          <w:szCs w:val="32"/>
                          <w:sz w:val="40"/>
                          <w:rFonts w:ascii="Myriad Pro" w:hAnsi="Myriad Pro"/>
                        </w:rPr>
                        <w:t xml:space="preserve">o</w:t>
                      </w:r>
                      <w:r>
                        <w:rPr>
                          <w:b/>
                          <w:smallCaps/>
                          <w:color w:val="709047"/>
                          <w:szCs w:val="32"/>
                          <w:sz w:val="28"/>
                          <w:rFonts w:ascii="Myriad Pro" w:hAnsi="Myriad Pro"/>
                        </w:rPr>
                        <w:t xml:space="preserve">CTOBER</w:t>
                      </w:r>
                      <w:r>
                        <w:rPr>
                          <w:b/>
                          <w:smallCaps/>
                          <w:color w:val="709047"/>
                          <w:szCs w:val="32"/>
                          <w:sz w:val="32"/>
                          <w:rFonts w:ascii="Myriad Pro" w:hAnsi="Myriad Pro"/>
                        </w:rPr>
                        <w:t xml:space="preserve"> 2020</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bCs/>
                          <w:color w:val="000000"/>
                          <w:sz w:val="28"/>
                          <w:rFonts w:ascii="Myriad Pro" w:eastAsia="ヒラギノ角ゴ Pro W3" w:hAnsi="Myriad Pro"/>
                        </w:rPr>
                      </w:pPr>
                      <w:r>
                        <w:rPr>
                          <w:bCs/>
                          <w:color w:val="000000"/>
                          <w:sz w:val="28"/>
                          <w:rFonts w:ascii="Myriad Pro" w:hAnsi="Myriad Pro"/>
                        </w:rPr>
                        <w:t xml:space="preserve">16:45 to 18:15 - </w:t>
                      </w:r>
                      <w:r>
                        <w:rPr>
                          <w:bCs/>
                          <w:color w:val="000000"/>
                          <w:sz w:val="28"/>
                          <w:b/>
                          <w:rFonts w:ascii="Myriad Pro" w:hAnsi="Myriad Pro"/>
                        </w:rPr>
                        <w:t xml:space="preserve">Joint meeting with ENVI and AGRI</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bCs/>
                          <w:color w:val="000000"/>
                          <w:sz w:val="28"/>
                          <w:rFonts w:ascii="Myriad Pro" w:eastAsia="ヒラギノ角ゴ Pro W3" w:hAnsi="Myriad Pro"/>
                        </w:rPr>
                      </w:pPr>
                      <w:r>
                        <w:rPr>
                          <w:bCs/>
                          <w:color w:val="000000"/>
                          <w:sz w:val="28"/>
                          <w:rFonts w:ascii="Myriad Pro" w:hAnsi="Myriad Pro"/>
                        </w:rPr>
                        <w:t xml:space="preserve">Remote participation of Members</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b/>
                          <w:smallCaps/>
                          <w:color w:val="709047"/>
                          <w:sz w:val="32"/>
                          <w:szCs w:val="32"/>
                          <w:rFonts w:ascii="Myriad Pro" w:hAnsi="Myriad Pro"/>
                        </w:rPr>
                      </w:pPr>
                      <w:r>
                        <w:rPr>
                          <w:b/>
                          <w:smallCaps/>
                          <w:color w:val="709047"/>
                          <w:szCs w:val="32"/>
                          <w:sz w:val="32"/>
                          <w:rFonts w:ascii="Myriad Pro" w:hAnsi="Myriad Pro"/>
                        </w:rPr>
                        <w:t xml:space="preserve">T</w:t>
                      </w:r>
                      <w:r>
                        <w:rPr>
                          <w:b/>
                          <w:smallCaps/>
                          <w:color w:val="709047"/>
                          <w:szCs w:val="32"/>
                          <w:sz w:val="28"/>
                          <w:rFonts w:ascii="Myriad Pro" w:hAnsi="Myriad Pro"/>
                        </w:rPr>
                        <w:t xml:space="preserve">HURSDAY</w:t>
                      </w:r>
                      <w:r>
                        <w:rPr>
                          <w:b/>
                          <w:smallCaps/>
                          <w:color w:val="709047"/>
                          <w:szCs w:val="32"/>
                          <w:sz w:val="32"/>
                          <w:rFonts w:ascii="Myriad Pro" w:hAnsi="Myriad Pro"/>
                        </w:rPr>
                        <w:t xml:space="preserve">, 15 </w:t>
                      </w:r>
                      <w:r>
                        <w:rPr>
                          <w:b/>
                          <w:smallCaps/>
                          <w:color w:val="709047"/>
                          <w:szCs w:val="32"/>
                          <w:sz w:val="40"/>
                          <w:rFonts w:ascii="Myriad Pro" w:hAnsi="Myriad Pro"/>
                        </w:rPr>
                        <w:t xml:space="preserve">o</w:t>
                      </w:r>
                      <w:r>
                        <w:rPr>
                          <w:b/>
                          <w:smallCaps/>
                          <w:color w:val="709047"/>
                          <w:szCs w:val="32"/>
                          <w:sz w:val="28"/>
                          <w:rFonts w:ascii="Myriad Pro" w:hAnsi="Myriad Pro"/>
                        </w:rPr>
                        <w:t xml:space="preserve">CTOBER</w:t>
                      </w:r>
                      <w:r>
                        <w:rPr>
                          <w:b/>
                          <w:smallCaps/>
                          <w:color w:val="709047"/>
                          <w:szCs w:val="32"/>
                          <w:sz w:val="32"/>
                          <w:rFonts w:ascii="Myriad Pro" w:hAnsi="Myriad Pro"/>
                        </w:rPr>
                        <w:t xml:space="preserve"> 2020</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bCs/>
                          <w:color w:val="000000"/>
                          <w:sz w:val="28"/>
                          <w:rFonts w:ascii="Myriad Pro" w:eastAsia="ヒラギノ角ゴ Pro W3" w:hAnsi="Myriad Pro"/>
                        </w:rPr>
                      </w:pPr>
                      <w:r>
                        <w:rPr>
                          <w:bCs/>
                          <w:color w:val="000000"/>
                          <w:sz w:val="28"/>
                          <w:rFonts w:ascii="Myriad Pro" w:hAnsi="Myriad Pro"/>
                        </w:rPr>
                        <w:t xml:space="preserve">18:15 to 18:45</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i/>
                          <w:color w:val="000000"/>
                          <w:rFonts w:ascii="Myriad Pro" w:eastAsia="ヒラギノ角ゴ Pro W3" w:hAnsi="Myriad Pro"/>
                        </w:rPr>
                      </w:pPr>
                      <w:r>
                        <w:rPr>
                          <w:bCs/>
                          <w:color w:val="000000"/>
                          <w:sz w:val="28"/>
                          <w:rFonts w:ascii="Myriad Pro" w:hAnsi="Myriad Pro"/>
                        </w:rPr>
                        <w:t xml:space="preserve">Remote participation of Members</w:t>
                      </w:r>
                    </w:p>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5" w:right="57"/>
                        <w:jc w:val="center"/>
                        <w:rPr>
                          <w:b/>
                          <w:i/>
                          <w:color w:val="000000"/>
                          <w:rFonts w:ascii="Myriad Pro" w:eastAsia="ヒラギノ角ゴ Pro W3" w:hAnsi="Myriad Pro"/>
                        </w:rPr>
                      </w:pPr>
                      <w:r>
                        <w:rPr>
                          <w:i/>
                          <w:color w:val="000000"/>
                          <w:rFonts w:ascii="Myriad Pro" w:hAnsi="Myriad Pro"/>
                        </w:rPr>
                        <w:t xml:space="preserve">Any Members present in Brussels can attend the meeting in room </w:t>
                      </w:r>
                      <w:r>
                        <w:rPr>
                          <w:i/>
                          <w:color w:val="000000"/>
                          <w:b/>
                          <w:rFonts w:ascii="Myriad Pro" w:hAnsi="Myriad Pro"/>
                        </w:rPr>
                        <w:t xml:space="preserve">József Antall (JAN) 4Q1</w:t>
                      </w:r>
                    </w:p>
                  </w:txbxContent>
                </v:textbox>
                <w10:anchorlock/>
              </v:shape>
            </w:pict>
          </mc:Fallback>
        </mc:AlternateConten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line="259" w:lineRule="auto"/>
        <w:ind w:left="-125" w:right="57" w:firstLine="283"/>
        <w:rPr>
          <w:rFonts w:ascii="Myriad Pro" w:eastAsia="Calibri" w:hAnsi="Myriad Pro"/>
          <w:b/>
          <w:bCs/>
          <w:i/>
          <w:snapToGrid/>
          <w:color w:val="709047"/>
          <w:szCs w:val="24"/>
          <w:lang w:val="en-GB"/>
        </w:rPr>
      </w:pPr>
      <w:r w:rsidRPr="004F68F2">
        <w:rPr>
          <w:rFonts w:ascii="Myriad Pro" w:hAnsi="Myriad Pro"/>
          <w:b/>
          <w:bCs/>
          <w:i/>
          <w:snapToGrid/>
          <w:color w:val="709047"/>
          <w:szCs w:val="24"/>
          <w:lang w:val="en-GB"/>
        </w:rPr>
        <w:t>13:45 - 15:45</w:t>
      </w: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p>
    <w:p w:rsidR="00777D87" w:rsidRPr="004F68F2" w:rsidRDefault="00777D87" w:rsidP="00726BB4">
      <w:pPr>
        <w:widowControl/>
        <w:ind w:left="-224" w:firstLine="283"/>
        <w:rPr>
          <w:rFonts w:ascii="Myriad Pro" w:eastAsia="Calibri" w:hAnsi="Myriad Pro"/>
          <w:b/>
          <w:smallCaps/>
          <w:snapToGrid/>
          <w:color w:val="595959"/>
          <w:sz w:val="20"/>
          <w:lang w:val="en-GB"/>
        </w:rPr>
      </w:pPr>
      <w:r w:rsidRPr="004F68F2">
        <w:rPr>
          <w:rFonts w:ascii="Myriad Pro" w:hAnsi="Myriad Pro"/>
          <w:b/>
          <w:smallCaps/>
          <w:snapToGrid/>
          <w:color w:val="595959"/>
          <w:sz w:val="28"/>
          <w:szCs w:val="28"/>
          <w:lang w:val="en-GB"/>
        </w:rPr>
        <w:t>1.</w:t>
      </w:r>
      <w:r w:rsidRPr="004F68F2">
        <w:rPr>
          <w:rFonts w:ascii="Myriad Pro" w:hAnsi="Myriad Pro"/>
          <w:b/>
          <w:smallCaps/>
          <w:snapToGrid/>
          <w:color w:val="595959"/>
          <w:sz w:val="28"/>
          <w:szCs w:val="28"/>
          <w:lang w:val="en-GB"/>
        </w:rPr>
        <w:tab/>
        <w:t>Adoption of the agenda</w:t>
      </w:r>
    </w:p>
    <w:p w:rsidR="00777D87" w:rsidRPr="004F68F2" w:rsidRDefault="00777D87" w:rsidP="00726BB4">
      <w:pPr>
        <w:widowControl/>
        <w:tabs>
          <w:tab w:val="left" w:pos="3326"/>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ヒラギノ角ゴ Pro W3" w:hAnsi="Myriad Pro"/>
          <w:snapToGrid/>
          <w:color w:val="000000"/>
          <w:sz w:val="20"/>
          <w:lang w:val="en-GB"/>
        </w:rPr>
      </w:pPr>
    </w:p>
    <w:p w:rsidR="00777D87" w:rsidRPr="004F68F2" w:rsidRDefault="00777D87" w:rsidP="00726BB4">
      <w:pPr>
        <w:widowControl/>
        <w:tabs>
          <w:tab w:val="left" w:pos="3326"/>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ヒラギノ角ゴ Pro W3" w:hAnsi="Myriad Pro"/>
          <w:snapToGrid/>
          <w:color w:val="000000"/>
          <w:sz w:val="20"/>
          <w:u w:val="single"/>
          <w:lang w:val="en-GB"/>
        </w:rPr>
      </w:pPr>
      <w:r w:rsidRPr="004F68F2">
        <w:rPr>
          <w:rFonts w:ascii="Myriad Pro" w:hAnsi="Myriad Pro"/>
          <w:snapToGrid/>
          <w:color w:val="000000"/>
          <w:sz w:val="20"/>
          <w:lang w:val="en-GB"/>
        </w:rPr>
        <w:t xml:space="preserve">The draft agenda and meeting documents are available in the </w:t>
      </w:r>
      <w:hyperlink r:id="rId15" w:history="1">
        <w:r w:rsidRPr="004F68F2">
          <w:rPr>
            <w:rFonts w:ascii="Myriad Pro" w:hAnsi="Myriad Pro"/>
            <w:snapToGrid/>
            <w:color w:val="0000FF"/>
            <w:sz w:val="20"/>
            <w:u w:val="single"/>
            <w:lang w:val="en-GB"/>
          </w:rPr>
          <w:t>meeting file.</w:t>
        </w:r>
      </w:hyperlink>
    </w:p>
    <w:p w:rsidR="00777D87" w:rsidRPr="004F68F2" w:rsidRDefault="00777D87" w:rsidP="00726BB4">
      <w:pPr>
        <w:widowControl/>
        <w:tabs>
          <w:tab w:val="left" w:pos="3326"/>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ヒラギノ角ゴ Pro W3" w:hAnsi="Myriad Pro"/>
          <w:snapToGrid/>
          <w:sz w:val="20"/>
          <w:lang w:val="en-GB"/>
        </w:rPr>
      </w:pPr>
    </w:p>
    <w:p w:rsidR="00777D87" w:rsidRPr="004F68F2" w:rsidRDefault="00777D87" w:rsidP="00726BB4">
      <w:pPr>
        <w:widowControl/>
        <w:tabs>
          <w:tab w:val="left" w:pos="3326"/>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ヒラギノ角ゴ Pro W3" w:hAnsi="Myriad Pro"/>
          <w:snapToGrid/>
          <w:sz w:val="20"/>
          <w:lang w:val="en-GB"/>
        </w:rPr>
      </w:pP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2.</w:t>
      </w:r>
      <w:r w:rsidRPr="004F68F2">
        <w:rPr>
          <w:rFonts w:ascii="Myriad Pro" w:hAnsi="Myriad Pro"/>
          <w:b/>
          <w:smallCaps/>
          <w:snapToGrid/>
          <w:color w:val="595959"/>
          <w:sz w:val="28"/>
          <w:szCs w:val="28"/>
          <w:lang w:val="en-GB"/>
        </w:rPr>
        <w:tab/>
        <w:t>Chair’s announcements</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lang w:val="en-GB"/>
        </w:rPr>
        <w:t xml:space="preserve">The Chair draws attention to the following points: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0"/>
          <w:lang w:val="en-GB"/>
        </w:rPr>
      </w:pPr>
      <w:r w:rsidRPr="004F68F2">
        <w:rPr>
          <w:rFonts w:ascii="Myriad Pro" w:hAnsi="Myriad Pro"/>
          <w:b/>
          <w:snapToGrid/>
          <w:color w:val="709047"/>
          <w:sz w:val="20"/>
          <w:lang w:val="en-GB"/>
        </w:rPr>
        <w:t>Languages available</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bCs/>
          <w:snapToGrid/>
          <w:sz w:val="22"/>
          <w:szCs w:val="22"/>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bCs/>
          <w:snapToGrid/>
          <w:sz w:val="22"/>
          <w:szCs w:val="22"/>
          <w:lang w:val="en-GB"/>
        </w:rPr>
      </w:pPr>
      <w:r w:rsidRPr="004F68F2">
        <w:rPr>
          <w:rFonts w:ascii="Calibri" w:hAnsi="Calibri"/>
          <w:bCs/>
          <w:snapToGrid/>
          <w:sz w:val="22"/>
          <w:szCs w:val="22"/>
          <w:lang w:val="en-GB"/>
        </w:rPr>
        <w:t xml:space="preserve">FR DE IT EN ES CS HU PL RO </w:t>
      </w:r>
      <w:r w:rsidRPr="004F68F2">
        <w:rPr>
          <w:rFonts w:ascii="Calibri" w:hAnsi="Calibri"/>
          <w:snapToGrid/>
          <w:sz w:val="22"/>
          <w:szCs w:val="22"/>
          <w:lang w:val="en-GB"/>
        </w:rPr>
        <w:t>plus PT for the session with AGRI and ENVI</w:t>
      </w:r>
    </w:p>
    <w:p w:rsidR="00777D87" w:rsidRPr="004F68F2" w:rsidRDefault="00777D87" w:rsidP="00726BB4">
      <w:pPr>
        <w:widowControl/>
        <w:autoSpaceDE w:val="0"/>
        <w:autoSpaceDN w:val="0"/>
        <w:adjustRightInd w:val="0"/>
        <w:ind w:left="-224" w:firstLine="283"/>
        <w:jc w:val="both"/>
        <w:rPr>
          <w:rFonts w:ascii="Myriad Pro" w:hAnsi="Myriad Pro" w:cs="Garamond"/>
          <w:snapToGrid/>
          <w:color w:val="000000"/>
          <w:sz w:val="20"/>
          <w:lang w:val="en-GB" w:eastAsia="fr-FR"/>
        </w:rPr>
      </w:pPr>
    </w:p>
    <w:p w:rsidR="00777D87" w:rsidRPr="004F68F2" w:rsidRDefault="004F68F2"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0000FF"/>
          <w:sz w:val="20"/>
          <w:u w:val="single"/>
          <w:lang w:val="en-GB"/>
        </w:rPr>
      </w:pPr>
      <w:hyperlink r:id="rId16" w:history="1">
        <w:r w:rsidR="00D11315" w:rsidRPr="004F68F2">
          <w:rPr>
            <w:rFonts w:ascii="Myriad Pro" w:hAnsi="Myriad Pro"/>
            <w:b/>
            <w:snapToGrid/>
            <w:color w:val="0000FF"/>
            <w:sz w:val="20"/>
            <w:u w:val="single"/>
            <w:lang w:val="en-GB"/>
          </w:rPr>
          <w:t>Webstreaming</w:t>
        </w:r>
      </w:hyperlink>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hAnsi="Calibri"/>
          <w:snapToGrid/>
          <w:sz w:val="22"/>
          <w:szCs w:val="22"/>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lang w:val="en-GB"/>
        </w:rPr>
        <w:lastRenderedPageBreak/>
        <w:t xml:space="preserve">The meeting will be webstreamed and can be followed live via the </w:t>
      </w:r>
      <w:hyperlink r:id="rId17" w:history="1">
        <w:r w:rsidRPr="004F68F2">
          <w:rPr>
            <w:rFonts w:ascii="Myriad Pro" w:hAnsi="Myriad Pro"/>
            <w:snapToGrid/>
            <w:color w:val="0000FF"/>
            <w:sz w:val="20"/>
            <w:u w:val="single"/>
            <w:lang w:val="en-GB"/>
          </w:rPr>
          <w:t>CONT webpage</w:t>
        </w:r>
      </w:hyperlink>
      <w:r w:rsidRPr="004F68F2">
        <w:rPr>
          <w:rFonts w:ascii="Myriad Pro" w:hAnsi="Myriad Pro"/>
          <w:snapToGrid/>
          <w:sz w:val="20"/>
          <w:lang w:val="en-GB"/>
        </w:rPr>
        <w:t>.</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ind w:left="-224" w:firstLine="283"/>
        <w:jc w:val="center"/>
        <w:rPr>
          <w:rFonts w:ascii="Myriad Pro" w:eastAsia="Calibri" w:hAnsi="Myriad Pro"/>
          <w:b/>
          <w:i/>
          <w:snapToGrid/>
          <w:color w:val="709047"/>
          <w:sz w:val="22"/>
          <w:szCs w:val="22"/>
          <w:lang w:val="en-GB"/>
        </w:rPr>
      </w:pPr>
      <w:r w:rsidRPr="004F68F2">
        <w:rPr>
          <w:rFonts w:ascii="Myriad Pro" w:hAnsi="Myriad Pro"/>
          <w:b/>
          <w:bCs/>
          <w:i/>
          <w:iCs/>
          <w:snapToGrid/>
          <w:color w:val="709047"/>
          <w:sz w:val="22"/>
          <w:szCs w:val="22"/>
          <w:lang w:val="en-GB"/>
        </w:rPr>
        <w:t>Opening of the remote voting procedure: first voting session</w:t>
      </w:r>
    </w:p>
    <w:p w:rsidR="00777D87" w:rsidRPr="004F68F2" w:rsidRDefault="00777D87" w:rsidP="00726BB4">
      <w:pPr>
        <w:widowControl/>
        <w:ind w:left="-224" w:firstLine="283"/>
        <w:jc w:val="center"/>
        <w:rPr>
          <w:rFonts w:ascii="Myriad Pro" w:eastAsia="Calibri" w:hAnsi="Myriad Pro"/>
          <w:b/>
          <w:bCs/>
          <w:i/>
          <w:iCs/>
          <w:snapToGrid/>
          <w:color w:val="709047"/>
          <w:sz w:val="22"/>
          <w:szCs w:val="22"/>
          <w:lang w:val="en-GB" w:eastAsia="en-GB"/>
        </w:rPr>
      </w:pPr>
    </w:p>
    <w:p w:rsidR="00777D87" w:rsidRPr="004F68F2" w:rsidRDefault="00777D87" w:rsidP="00726BB4">
      <w:pPr>
        <w:widowControl/>
        <w:ind w:left="-224" w:firstLine="283"/>
        <w:jc w:val="center"/>
        <w:rPr>
          <w:rFonts w:ascii="Myriad Pro" w:eastAsia="Calibri" w:hAnsi="Myriad Pro"/>
          <w:b/>
          <w:i/>
          <w:snapToGrid/>
          <w:color w:val="709047"/>
          <w:sz w:val="22"/>
          <w:szCs w:val="22"/>
          <w:lang w:val="en-GB"/>
        </w:rPr>
      </w:pPr>
      <w:r w:rsidRPr="004F68F2">
        <w:rPr>
          <w:rFonts w:ascii="Myriad Pro" w:hAnsi="Myriad Pro"/>
          <w:b/>
          <w:bCs/>
          <w:i/>
          <w:iCs/>
          <w:snapToGrid/>
          <w:color w:val="709047"/>
          <w:sz w:val="22"/>
          <w:szCs w:val="22"/>
          <w:lang w:val="en-GB"/>
        </w:rPr>
        <w:t>Voting procedure will be open from 13h45 to 14h45</w:t>
      </w:r>
    </w:p>
    <w:p w:rsidR="00777D87" w:rsidRPr="004F68F2" w:rsidRDefault="00777D87" w:rsidP="00726BB4">
      <w:pPr>
        <w:widowControl/>
        <w:ind w:left="-224" w:firstLine="283"/>
        <w:jc w:val="center"/>
        <w:rPr>
          <w:rFonts w:ascii="Myriad Pro" w:eastAsia="Calibri" w:hAnsi="Myriad Pro"/>
          <w:b/>
          <w:i/>
          <w:snapToGrid/>
          <w:color w:val="709047"/>
          <w:sz w:val="22"/>
          <w:szCs w:val="22"/>
          <w:lang w:val="en-GB" w:eastAsia="en-GB"/>
        </w:rPr>
      </w:pPr>
    </w:p>
    <w:p w:rsidR="00777D87" w:rsidRPr="004F68F2" w:rsidRDefault="00777D87" w:rsidP="00726BB4">
      <w:pPr>
        <w:widowControl/>
        <w:pBdr>
          <w:top w:val="single" w:sz="4" w:space="1" w:color="auto"/>
          <w:left w:val="single" w:sz="4" w:space="4" w:color="auto"/>
          <w:bottom w:val="single" w:sz="4" w:space="1" w:color="auto"/>
          <w:right w:val="single" w:sz="4" w:space="4" w:color="auto"/>
        </w:pBdr>
        <w:spacing w:before="240" w:after="160" w:line="259" w:lineRule="auto"/>
        <w:ind w:left="-142" w:firstLine="283"/>
        <w:jc w:val="both"/>
        <w:rPr>
          <w:rFonts w:ascii="Myriad Pro" w:eastAsia="Calibri" w:hAnsi="Myriad Pro"/>
          <w:b/>
          <w:i/>
          <w:snapToGrid/>
          <w:color w:val="709047"/>
          <w:sz w:val="22"/>
          <w:szCs w:val="22"/>
          <w:lang w:val="en-GB"/>
        </w:rPr>
      </w:pPr>
      <w:r w:rsidRPr="004F68F2">
        <w:rPr>
          <w:rFonts w:ascii="Calibri" w:hAnsi="Calibri"/>
          <w:b/>
          <w:bCs/>
          <w:i/>
          <w:iCs/>
          <w:snapToGrid/>
          <w:sz w:val="22"/>
          <w:szCs w:val="22"/>
          <w:lang w:val="en-GB"/>
        </w:rPr>
        <w:t xml:space="preserve">All Members taking part in the vote (either present in committee meeting room or via remote participation) will vote via the application </w:t>
      </w:r>
      <w:r w:rsidRPr="004F68F2">
        <w:rPr>
          <w:rFonts w:ascii="Calibri" w:hAnsi="Calibri"/>
          <w:b/>
          <w:bCs/>
          <w:i/>
          <w:iCs/>
          <w:snapToGrid/>
          <w:sz w:val="22"/>
          <w:szCs w:val="22"/>
          <w:u w:val="single"/>
          <w:lang w:val="en-GB"/>
        </w:rPr>
        <w:t>EP-Vote.</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center"/>
        <w:rPr>
          <w:rFonts w:ascii="Myriad Pro" w:hAnsi="Myriad Pro"/>
          <w:snapToGrid/>
          <w:sz w:val="20"/>
        </w:rPr>
      </w:pPr>
      <w:r w:rsidRPr="004F68F2">
        <w:rPr>
          <w:rFonts w:ascii="Calibri" w:hAnsi="Calibri"/>
          <w:noProof/>
          <w:snapToGrid/>
          <w:sz w:val="22"/>
          <w:szCs w:val="22"/>
          <w:lang w:val="en-GB" w:eastAsia="en-GB"/>
        </w:rPr>
        <w:drawing>
          <wp:inline distT="0" distB="0" distL="0" distR="0" wp14:anchorId="69B0869B" wp14:editId="3428E5AA">
            <wp:extent cx="2252345" cy="1416483"/>
            <wp:effectExtent l="0" t="0" r="0" b="0"/>
            <wp:docPr id="5" name="Picture 5" descr="Image of a keyboard with one button written vot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a keyboard with one button written vote on 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2267" cy="1429012"/>
                    </a:xfrm>
                    <a:prstGeom prst="rect">
                      <a:avLst/>
                    </a:prstGeom>
                    <a:noFill/>
                    <a:ln>
                      <a:noFill/>
                    </a:ln>
                  </pic:spPr>
                </pic:pic>
              </a:graphicData>
            </a:graphic>
          </wp:inline>
        </w:drawing>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4F68F2" w:rsidRDefault="00777D87" w:rsidP="00726BB4">
      <w:pPr>
        <w:widowControl/>
        <w:ind w:left="-224" w:firstLine="283"/>
        <w:jc w:val="both"/>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3.</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Establishing a Recovery and Resilience Facility</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lang w:val="en-GB"/>
        </w:rPr>
      </w:pPr>
      <w:r w:rsidRPr="004F68F2">
        <w:rPr>
          <w:rFonts w:ascii="Myriad Pro" w:hAnsi="Myriad Pro"/>
          <w:snapToGrid/>
          <w:color w:val="595959"/>
          <w:sz w:val="20"/>
          <w:szCs w:val="28"/>
          <w:lang w:val="en-GB"/>
        </w:rPr>
        <w:t xml:space="preserve">CONT/9/03552 - </w:t>
      </w:r>
      <w:hyperlink r:id="rId19" w:history="1">
        <w:r w:rsidRPr="004F68F2">
          <w:rPr>
            <w:rFonts w:ascii="Calibri" w:hAnsi="Calibri"/>
            <w:snapToGrid/>
            <w:color w:val="0000FF"/>
            <w:sz w:val="22"/>
            <w:szCs w:val="22"/>
            <w:u w:val="single"/>
            <w:lang w:val="en-GB"/>
          </w:rPr>
          <w:t>2020/0104(COD)</w:t>
        </w:r>
      </w:hyperlink>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ind w:left="-224" w:firstLine="283"/>
        <w:rPr>
          <w:rFonts w:ascii="Myriad Pro" w:eastAsia="Calibri" w:hAnsi="Myriad Pro"/>
          <w:b/>
          <w:snapToGrid/>
          <w:color w:val="709047"/>
          <w:sz w:val="22"/>
          <w:szCs w:val="22"/>
          <w:lang w:val="en-GB"/>
        </w:rPr>
      </w:pPr>
      <w:r w:rsidRPr="004F68F2">
        <w:rPr>
          <w:rFonts w:ascii="Calibri" w:hAnsi="Calibri"/>
          <w:noProof/>
          <w:snapToGrid/>
          <w:sz w:val="22"/>
          <w:szCs w:val="22"/>
          <w:lang w:val="en-GB" w:eastAsia="en-GB"/>
        </w:rPr>
        <w:drawing>
          <wp:anchor distT="0" distB="0" distL="114300" distR="114300" simplePos="0" relativeHeight="251663360" behindDoc="0" locked="0" layoutInCell="1" allowOverlap="1" wp14:anchorId="1FFF802E" wp14:editId="27E51AE3">
            <wp:simplePos x="0" y="0"/>
            <wp:positionH relativeFrom="column">
              <wp:posOffset>-123825</wp:posOffset>
            </wp:positionH>
            <wp:positionV relativeFrom="paragraph">
              <wp:posOffset>149225</wp:posOffset>
            </wp:positionV>
            <wp:extent cx="1628775" cy="20383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2038350"/>
                    </a:xfrm>
                    <a:prstGeom prst="rect">
                      <a:avLst/>
                    </a:prstGeom>
                    <a:noFill/>
                    <a:ln>
                      <a:noFill/>
                    </a:ln>
                  </pic:spPr>
                </pic:pic>
              </a:graphicData>
            </a:graphic>
          </wp:anchor>
        </w:drawing>
      </w:r>
      <w:r w:rsidRPr="004F68F2">
        <w:rPr>
          <w:rFonts w:ascii="Myriad Pro" w:hAnsi="Myriad Pro"/>
          <w:b/>
          <w:noProof/>
          <w:snapToGrid/>
          <w:color w:val="709047"/>
          <w:sz w:val="22"/>
          <w:szCs w:val="22"/>
          <w:lang w:val="en-GB" w:eastAsia="en-GB"/>
        </w:rPr>
        <w:drawing>
          <wp:anchor distT="0" distB="0" distL="114300" distR="114300" simplePos="0" relativeHeight="251662336" behindDoc="0" locked="0" layoutInCell="1" allowOverlap="1" wp14:anchorId="1B453675" wp14:editId="4946DEA0">
            <wp:simplePos x="0" y="0"/>
            <wp:positionH relativeFrom="column">
              <wp:posOffset>-122555</wp:posOffset>
            </wp:positionH>
            <wp:positionV relativeFrom="paragraph">
              <wp:posOffset>147955</wp:posOffset>
            </wp:positionV>
            <wp:extent cx="1299845" cy="16243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984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8F2">
        <w:rPr>
          <w:rFonts w:ascii="Myriad Pro" w:hAnsi="Myriad Pro"/>
          <w:b/>
          <w:bCs/>
          <w:snapToGrid/>
          <w:color w:val="709047"/>
          <w:sz w:val="22"/>
          <w:szCs w:val="22"/>
          <w:lang w:val="en-GB"/>
        </w:rPr>
        <w:t>Adoption of draft opinion</w:t>
      </w:r>
    </w:p>
    <w:p w:rsidR="00777D87" w:rsidRPr="004F68F2" w:rsidRDefault="00777D87" w:rsidP="00726BB4">
      <w:pPr>
        <w:widowControl/>
        <w:ind w:left="-126" w:firstLine="283"/>
        <w:rPr>
          <w:rFonts w:ascii="Myriad Pro" w:eastAsia="Calibri" w:hAnsi="Myriad Pro"/>
          <w:snapToGrid/>
          <w:color w:val="000000"/>
          <w:sz w:val="20"/>
          <w:lang w:val="en-GB"/>
        </w:rPr>
      </w:pPr>
    </w:p>
    <w:p w:rsidR="00777D87" w:rsidRPr="004F68F2" w:rsidRDefault="00777D87" w:rsidP="00726BB4">
      <w:pPr>
        <w:widowControl/>
        <w:tabs>
          <w:tab w:val="left" w:pos="4253"/>
        </w:tabs>
        <w:ind w:left="-126" w:firstLine="283"/>
        <w:rPr>
          <w:rFonts w:ascii="Myriad Pro" w:eastAsia="Calibri" w:hAnsi="Myriad Pro"/>
          <w:snapToGrid/>
          <w:color w:val="000000"/>
          <w:sz w:val="20"/>
          <w:lang w:val="sv-SE"/>
        </w:rPr>
      </w:pPr>
      <w:r w:rsidRPr="004F68F2">
        <w:rPr>
          <w:rFonts w:ascii="Myriad Pro" w:hAnsi="Myriad Pro"/>
          <w:snapToGrid/>
          <w:color w:val="000000"/>
          <w:sz w:val="20"/>
          <w:lang w:val="sv-SE"/>
        </w:rPr>
        <w:t>Rapporteur:</w:t>
      </w:r>
      <w:r w:rsidRPr="004F68F2">
        <w:rPr>
          <w:rFonts w:ascii="Myriad Pro" w:hAnsi="Myriad Pro"/>
          <w:snapToGrid/>
          <w:color w:val="000000"/>
          <w:sz w:val="20"/>
          <w:lang w:val="sv-SE"/>
        </w:rPr>
        <w:tab/>
      </w:r>
      <w:hyperlink r:id="rId22" w:history="1">
        <w:r w:rsidRPr="004F68F2">
          <w:rPr>
            <w:rFonts w:ascii="Myriad Pro" w:hAnsi="Myriad Pro"/>
            <w:snapToGrid/>
            <w:color w:val="0000FF"/>
            <w:sz w:val="20"/>
            <w:u w:val="single"/>
            <w:lang w:val="sv-SE"/>
          </w:rPr>
          <w:t>Monika Hohlmeier</w:t>
        </w:r>
      </w:hyperlink>
      <w:r w:rsidRPr="004F68F2">
        <w:rPr>
          <w:rFonts w:ascii="Myriad Pro" w:hAnsi="Myriad Pro"/>
          <w:snapToGrid/>
          <w:color w:val="000000"/>
          <w:sz w:val="20"/>
          <w:lang w:val="sv-SE"/>
        </w:rPr>
        <w:t xml:space="preserve"> (EPP)</w:t>
      </w:r>
    </w:p>
    <w:p w:rsidR="00777D87" w:rsidRPr="004F68F2" w:rsidRDefault="00777D87" w:rsidP="00726BB4">
      <w:pPr>
        <w:widowControl/>
        <w:tabs>
          <w:tab w:val="left" w:pos="4253"/>
        </w:tabs>
        <w:ind w:left="-126" w:firstLine="283"/>
        <w:rPr>
          <w:rFonts w:ascii="Myriad Pro" w:eastAsia="Calibri" w:hAnsi="Myriad Pro"/>
          <w:snapToGrid/>
          <w:color w:val="000000"/>
          <w:sz w:val="20"/>
          <w:lang w:val="sv-SE"/>
        </w:rPr>
      </w:pPr>
      <w:r w:rsidRPr="004F68F2">
        <w:rPr>
          <w:rFonts w:ascii="Myriad Pro" w:hAnsi="Myriad Pro"/>
          <w:snapToGrid/>
          <w:color w:val="000000"/>
          <w:sz w:val="20"/>
          <w:lang w:val="sv-SE"/>
        </w:rPr>
        <w:t xml:space="preserve">Administrator: </w:t>
      </w:r>
      <w:r w:rsidRPr="004F68F2">
        <w:rPr>
          <w:rFonts w:ascii="Myriad Pro" w:hAnsi="Myriad Pro"/>
          <w:snapToGrid/>
          <w:color w:val="000000"/>
          <w:sz w:val="20"/>
          <w:lang w:val="sv-SE"/>
        </w:rPr>
        <w:tab/>
        <w:t>Hans Stander</w:t>
      </w:r>
    </w:p>
    <w:p w:rsidR="00777D87" w:rsidRPr="004F68F2" w:rsidRDefault="00777D87" w:rsidP="00726BB4">
      <w:pPr>
        <w:widowControl/>
        <w:ind w:left="-224" w:firstLine="283"/>
        <w:jc w:val="both"/>
        <w:rPr>
          <w:rFonts w:ascii="Myriad Pro" w:eastAsia="Calibri" w:hAnsi="Myriad Pro"/>
          <w:snapToGrid/>
          <w:color w:val="000000"/>
          <w:sz w:val="20"/>
          <w:lang w:val="sv-SE"/>
        </w:rPr>
      </w:pPr>
    </w:p>
    <w:p w:rsidR="00777D87" w:rsidRPr="004F68F2" w:rsidRDefault="00777D87" w:rsidP="00726BB4">
      <w:pPr>
        <w:widowControl/>
        <w:tabs>
          <w:tab w:val="left" w:pos="4395"/>
        </w:tabs>
        <w:ind w:left="-224" w:firstLine="283"/>
        <w:jc w:val="both"/>
        <w:rPr>
          <w:rFonts w:ascii="Myriad Pro" w:eastAsia="Calibri" w:hAnsi="Myriad Pro"/>
          <w:snapToGrid/>
          <w:color w:val="000000"/>
          <w:sz w:val="20"/>
          <w:lang w:val="sv-SE"/>
        </w:rPr>
      </w:pPr>
      <w:r w:rsidRPr="004F68F2">
        <w:rPr>
          <w:rFonts w:ascii="Myriad Pro" w:hAnsi="Myriad Pro"/>
          <w:snapToGrid/>
          <w:color w:val="000000"/>
          <w:sz w:val="20"/>
          <w:lang w:val="sv-SE"/>
        </w:rPr>
        <w:t>Shadow Rapporteurs:</w:t>
      </w:r>
      <w:r w:rsidRPr="004F68F2">
        <w:rPr>
          <w:rFonts w:ascii="Myriad Pro" w:hAnsi="Myriad Pro"/>
          <w:snapToGrid/>
          <w:color w:val="000000"/>
          <w:sz w:val="20"/>
          <w:lang w:val="sv-SE"/>
        </w:rPr>
        <w:tab/>
        <w:t>Isabel G</w:t>
      </w:r>
      <w:r w:rsidRPr="004F68F2">
        <w:rPr>
          <w:rFonts w:ascii="Myriad Pro" w:hAnsi="Myriad Pro"/>
          <w:snapToGrid/>
          <w:color w:val="000000"/>
          <w:sz w:val="18"/>
          <w:lang w:val="sv-SE"/>
        </w:rPr>
        <w:t>arcía</w:t>
      </w:r>
      <w:r w:rsidRPr="004F68F2">
        <w:rPr>
          <w:rFonts w:ascii="Myriad Pro" w:hAnsi="Myriad Pro"/>
          <w:snapToGrid/>
          <w:color w:val="000000"/>
          <w:sz w:val="20"/>
          <w:lang w:val="sv-SE"/>
        </w:rPr>
        <w:t xml:space="preserve"> Muñoz (S&amp;D), Gilles Boyer (RE), Viola Von Cramon-Taubadel (Greens), Ryszard Czarnecki (ECR), Joachim Kuhs (ID), Younous Omarjee (GUE/NGL)</w:t>
      </w:r>
    </w:p>
    <w:p w:rsidR="00777D87" w:rsidRPr="004F68F2" w:rsidRDefault="00777D87" w:rsidP="00726BB4">
      <w:pPr>
        <w:widowControl/>
        <w:ind w:left="-224" w:firstLine="283"/>
        <w:jc w:val="both"/>
        <w:rPr>
          <w:rFonts w:ascii="Myriad Pro" w:eastAsia="Calibri" w:hAnsi="Myriad Pro"/>
          <w:snapToGrid/>
          <w:color w:val="000000"/>
          <w:sz w:val="20"/>
          <w:lang w:val="sv-SE"/>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In its meeting of 28 September, the Members of the Committee discussed the draft opinion of the committee on the establishment of the Recovery and Resilience Facility (RRF).</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The Commission submitted a proposal for the RRF, based on Article 175(3) TFEU, to support the recovery from the crisis and to make Member States' economies more resilient. The Facility will offer large </w:t>
      </w:r>
      <w:r w:rsidRPr="004F68F2">
        <w:rPr>
          <w:noProof/>
          <w:lang w:val="en-GB" w:eastAsia="en-GB"/>
        </w:rPr>
        <w:drawing>
          <wp:anchor distT="0" distB="0" distL="114300" distR="114300" simplePos="0" relativeHeight="251668480" behindDoc="1" locked="0" layoutInCell="1" allowOverlap="1" wp14:anchorId="3ED77BD6" wp14:editId="6BB6A72B">
            <wp:simplePos x="0" y="0"/>
            <wp:positionH relativeFrom="column">
              <wp:posOffset>3587750</wp:posOffset>
            </wp:positionH>
            <wp:positionV relativeFrom="paragraph">
              <wp:posOffset>55245</wp:posOffset>
            </wp:positionV>
            <wp:extent cx="2724150" cy="1684020"/>
            <wp:effectExtent l="0" t="0" r="0" b="0"/>
            <wp:wrapTight wrapText="bothSides">
              <wp:wrapPolygon edited="0">
                <wp:start x="0" y="0"/>
                <wp:lineTo x="0" y="21258"/>
                <wp:lineTo x="21449" y="21258"/>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150" cy="1684020"/>
                    </a:xfrm>
                    <a:prstGeom prst="rect">
                      <a:avLst/>
                    </a:prstGeom>
                  </pic:spPr>
                </pic:pic>
              </a:graphicData>
            </a:graphic>
            <wp14:sizeRelH relativeFrom="margin">
              <wp14:pctWidth>0</wp14:pctWidth>
            </wp14:sizeRelH>
            <wp14:sizeRelV relativeFrom="margin">
              <wp14:pctHeight>0</wp14:pctHeight>
            </wp14:sizeRelV>
          </wp:anchor>
        </w:drawing>
      </w:r>
      <w:r w:rsidRPr="004F68F2">
        <w:rPr>
          <w:rFonts w:ascii="Myriad Pro" w:hAnsi="Myriad Pro"/>
          <w:snapToGrid/>
          <w:color w:val="000000"/>
          <w:sz w:val="20"/>
          <w:lang w:val="en-GB"/>
        </w:rPr>
        <w:t xml:space="preserve">scale financial support for public investment and reforms in the Member States. The Facility is part of the EUR 750 billion Next Generation EU (NGEU).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The deadline for amendments on the proposal lapsed on 29 September and the Members tabled 212 amendments. As became clear during the discussion on 28 September, the contributions of the Members were quite aligned, focusing mainly on the issue of the Rule of Law, the Protection of the EU financial interest, the position of the RRF in the discharge procedure and related reporting by the Commission and the adoption of the Recovery and Resilience plans.</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The rapporteur convened a shadows’ meeting in which agreement was found on several compromise agreements.</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color w:val="000000"/>
          <w:sz w:val="20"/>
          <w:lang w:val="en-GB"/>
        </w:rPr>
        <w:t xml:space="preserve">For more information, see the opinion’s </w:t>
      </w:r>
      <w:hyperlink r:id="rId24" w:history="1">
        <w:r w:rsidRPr="004F68F2">
          <w:rPr>
            <w:rFonts w:ascii="Myriad Pro" w:hAnsi="Myriad Pro"/>
            <w:snapToGrid/>
            <w:color w:val="0000FF"/>
            <w:sz w:val="20"/>
            <w:u w:val="single"/>
            <w:lang w:val="en-GB"/>
          </w:rPr>
          <w:t>subject file</w:t>
        </w:r>
      </w:hyperlink>
      <w:r w:rsidRPr="004F68F2">
        <w:rPr>
          <w:rFonts w:ascii="Myriad Pro" w:hAnsi="Myriad Pro"/>
          <w:snapToGrid/>
          <w:color w:val="000000"/>
          <w:sz w:val="20"/>
          <w:lang w:val="en-GB"/>
        </w:rPr>
        <w:t xml:space="preserve"> on the CONT website.</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767171"/>
          <w:sz w:val="20"/>
        </w:rPr>
      </w:pPr>
      <w:r w:rsidRPr="004F68F2">
        <w:rPr>
          <w:rFonts w:ascii="Myriad Pro" w:hAnsi="Myriad Pro"/>
          <w:snapToGrid/>
          <w:color w:val="767171"/>
          <w:sz w:val="20"/>
        </w:rPr>
        <w:t>Procedure Timetable</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2461"/>
        <w:gridCol w:w="3006"/>
      </w:tblGrid>
      <w:tr w:rsidR="00777D87" w:rsidRPr="004F68F2" w:rsidTr="00A901EA">
        <w:tc>
          <w:tcPr>
            <w:tcW w:w="3539" w:type="dxa"/>
            <w:tcMar>
              <w:top w:w="0" w:type="dxa"/>
              <w:left w:w="108" w:type="dxa"/>
              <w:bottom w:w="0" w:type="dxa"/>
              <w:right w:w="108" w:type="dxa"/>
            </w:tcMar>
            <w:hideMark/>
          </w:tcPr>
          <w:p w:rsidR="00777D87" w:rsidRPr="004F68F2" w:rsidRDefault="00777D87" w:rsidP="00726BB4">
            <w:pPr>
              <w:widowControl/>
              <w:ind w:left="19" w:firstLine="283"/>
              <w:rPr>
                <w:rFonts w:ascii="Myriad Pro" w:eastAsia="Calibri" w:hAnsi="Myriad Pro"/>
                <w:b/>
                <w:bCs/>
                <w:snapToGrid/>
                <w:color w:val="767171"/>
                <w:sz w:val="20"/>
              </w:rPr>
            </w:pPr>
            <w:r w:rsidRPr="004F68F2">
              <w:rPr>
                <w:rFonts w:ascii="Myriad Pro" w:hAnsi="Myriad Pro"/>
                <w:b/>
                <w:bCs/>
                <w:snapToGrid/>
                <w:color w:val="767171"/>
                <w:sz w:val="20"/>
              </w:rPr>
              <w:t>Event</w:t>
            </w:r>
          </w:p>
        </w:tc>
        <w:tc>
          <w:tcPr>
            <w:tcW w:w="2461" w:type="dxa"/>
            <w:tcMar>
              <w:top w:w="0" w:type="dxa"/>
              <w:left w:w="108" w:type="dxa"/>
              <w:bottom w:w="0" w:type="dxa"/>
              <w:right w:w="108" w:type="dxa"/>
            </w:tcMar>
            <w:hideMark/>
          </w:tcPr>
          <w:p w:rsidR="00777D87" w:rsidRPr="004F68F2" w:rsidRDefault="00777D87" w:rsidP="00726BB4">
            <w:pPr>
              <w:widowControl/>
              <w:ind w:left="19" w:firstLine="283"/>
              <w:rPr>
                <w:rFonts w:ascii="Myriad Pro" w:eastAsia="Calibri" w:hAnsi="Myriad Pro"/>
                <w:b/>
                <w:bCs/>
                <w:snapToGrid/>
                <w:color w:val="767171"/>
                <w:sz w:val="20"/>
              </w:rPr>
            </w:pPr>
            <w:r w:rsidRPr="004F68F2">
              <w:rPr>
                <w:rFonts w:ascii="Myriad Pro" w:hAnsi="Myriad Pro"/>
                <w:b/>
                <w:bCs/>
                <w:snapToGrid/>
                <w:color w:val="767171"/>
                <w:sz w:val="20"/>
              </w:rPr>
              <w:t>Body</w:t>
            </w:r>
          </w:p>
        </w:tc>
        <w:tc>
          <w:tcPr>
            <w:tcW w:w="3006" w:type="dxa"/>
            <w:tcMar>
              <w:top w:w="0" w:type="dxa"/>
              <w:left w:w="108" w:type="dxa"/>
              <w:bottom w:w="0" w:type="dxa"/>
              <w:right w:w="108" w:type="dxa"/>
            </w:tcMar>
            <w:hideMark/>
          </w:tcPr>
          <w:p w:rsidR="00777D87" w:rsidRPr="004F68F2" w:rsidRDefault="00777D87" w:rsidP="00726BB4">
            <w:pPr>
              <w:widowControl/>
              <w:ind w:left="19" w:firstLine="283"/>
              <w:rPr>
                <w:rFonts w:ascii="Myriad Pro" w:eastAsia="Calibri" w:hAnsi="Myriad Pro"/>
                <w:b/>
                <w:bCs/>
                <w:snapToGrid/>
                <w:color w:val="767171"/>
                <w:sz w:val="20"/>
              </w:rPr>
            </w:pPr>
            <w:r w:rsidRPr="004F68F2">
              <w:rPr>
                <w:rFonts w:ascii="Myriad Pro" w:hAnsi="Myriad Pro"/>
                <w:b/>
                <w:bCs/>
                <w:snapToGrid/>
                <w:color w:val="767171"/>
                <w:sz w:val="20"/>
              </w:rPr>
              <w:t>Date</w:t>
            </w:r>
          </w:p>
        </w:tc>
      </w:tr>
      <w:tr w:rsidR="00777D87" w:rsidRPr="004F68F2" w:rsidTr="00A901EA">
        <w:tc>
          <w:tcPr>
            <w:tcW w:w="3539"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Vote in CONT</w:t>
            </w:r>
          </w:p>
        </w:tc>
        <w:tc>
          <w:tcPr>
            <w:tcW w:w="2461"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CONT</w:t>
            </w:r>
          </w:p>
        </w:tc>
        <w:tc>
          <w:tcPr>
            <w:tcW w:w="3006"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15 October 2020</w:t>
            </w:r>
          </w:p>
        </w:tc>
      </w:tr>
      <w:tr w:rsidR="00777D87" w:rsidRPr="004F68F2" w:rsidTr="00A901EA">
        <w:tc>
          <w:tcPr>
            <w:tcW w:w="3539"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lang w:val="en-GB"/>
              </w:rPr>
            </w:pPr>
            <w:r w:rsidRPr="004F68F2">
              <w:rPr>
                <w:rFonts w:ascii="Myriad Pro" w:hAnsi="Myriad Pro"/>
                <w:snapToGrid/>
                <w:color w:val="767171"/>
                <w:sz w:val="20"/>
                <w:lang w:val="en-GB"/>
              </w:rPr>
              <w:t>Vote in Joint BUDG - ECON</w:t>
            </w:r>
          </w:p>
        </w:tc>
        <w:tc>
          <w:tcPr>
            <w:tcW w:w="2461"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BUDG-ECON</w:t>
            </w:r>
          </w:p>
        </w:tc>
        <w:tc>
          <w:tcPr>
            <w:tcW w:w="3006"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26 October 2020</w:t>
            </w:r>
          </w:p>
        </w:tc>
      </w:tr>
      <w:tr w:rsidR="00777D87" w:rsidRPr="004F68F2" w:rsidTr="00A901EA">
        <w:tc>
          <w:tcPr>
            <w:tcW w:w="3539"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Adoption of report</w:t>
            </w:r>
          </w:p>
        </w:tc>
        <w:tc>
          <w:tcPr>
            <w:tcW w:w="2461"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Plenary</w:t>
            </w:r>
          </w:p>
        </w:tc>
        <w:tc>
          <w:tcPr>
            <w:tcW w:w="3006"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tbc</w:t>
            </w:r>
          </w:p>
        </w:tc>
      </w:tr>
    </w:tbl>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4.</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Investigations conducted by the European Anti-Fraud Office (OLAF) as regards cooperation with the European Public Prosecutor's Office and the effectiveness of OLAF investigations</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lang w:val="en-GB"/>
        </w:rPr>
      </w:pPr>
      <w:r w:rsidRPr="004F68F2">
        <w:rPr>
          <w:rFonts w:ascii="Myriad Pro" w:hAnsi="Myriad Pro"/>
          <w:snapToGrid/>
          <w:color w:val="595959"/>
          <w:sz w:val="20"/>
          <w:szCs w:val="28"/>
          <w:lang w:val="en-GB"/>
        </w:rPr>
        <w:t xml:space="preserve">CONT/9/01460 - </w:t>
      </w:r>
      <w:hyperlink r:id="rId25" w:history="1">
        <w:r w:rsidRPr="004F68F2">
          <w:rPr>
            <w:rFonts w:ascii="Myriad Pro" w:hAnsi="Myriad Pro"/>
            <w:snapToGrid/>
            <w:color w:val="0000FF"/>
            <w:sz w:val="20"/>
            <w:szCs w:val="28"/>
            <w:u w:val="single"/>
            <w:lang w:val="en-GB"/>
          </w:rPr>
          <w:t>2018/0170(COD)</w:t>
        </w:r>
      </w:hyperlink>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Calibri" w:hAnsi="Calibri"/>
          <w:noProof/>
          <w:snapToGrid/>
          <w:sz w:val="22"/>
          <w:szCs w:val="22"/>
          <w:lang w:val="en-GB" w:eastAsia="en-GB"/>
        </w:rPr>
        <w:drawing>
          <wp:anchor distT="0" distB="0" distL="114300" distR="114300" simplePos="0" relativeHeight="251660288" behindDoc="0" locked="0" layoutInCell="1" allowOverlap="1" wp14:anchorId="59380213" wp14:editId="54B46AA4">
            <wp:simplePos x="0" y="0"/>
            <wp:positionH relativeFrom="column">
              <wp:posOffset>3810</wp:posOffset>
            </wp:positionH>
            <wp:positionV relativeFrom="paragraph">
              <wp:posOffset>151765</wp:posOffset>
            </wp:positionV>
            <wp:extent cx="1450800" cy="183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ING PLAN_New arborescence\5 COMMUNICATION\5.1.4 NEWSLETTERS\CONT News\CONT Members\ZDECHOVSKÝ.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D87" w:rsidRPr="004F68F2" w:rsidRDefault="00777D87" w:rsidP="00726BB4">
      <w:pPr>
        <w:widowControl/>
        <w:ind w:left="1100" w:firstLine="283"/>
        <w:rPr>
          <w:rFonts w:ascii="Myriad Pro" w:eastAsia="Calibri" w:hAnsi="Myriad Pro"/>
          <w:b/>
          <w:snapToGrid/>
          <w:color w:val="709047"/>
          <w:sz w:val="22"/>
          <w:szCs w:val="22"/>
          <w:lang w:val="en-GB"/>
        </w:rPr>
      </w:pPr>
      <w:r w:rsidRPr="004F68F2">
        <w:rPr>
          <w:rFonts w:ascii="Myriad Pro" w:hAnsi="Myriad Pro"/>
          <w:b/>
          <w:bCs/>
          <w:snapToGrid/>
          <w:color w:val="709047"/>
          <w:sz w:val="22"/>
          <w:szCs w:val="22"/>
          <w:lang w:val="en-GB"/>
        </w:rPr>
        <w:t>Adoption of the provisional agreement resulting from interinstitutional negotiations</w:t>
      </w:r>
    </w:p>
    <w:p w:rsidR="00777D87" w:rsidRPr="004F68F2" w:rsidRDefault="00777D87" w:rsidP="00726BB4">
      <w:pPr>
        <w:widowControl/>
        <w:ind w:left="-126" w:firstLine="283"/>
        <w:rPr>
          <w:rFonts w:ascii="Myriad Pro" w:eastAsia="Calibri" w:hAnsi="Myriad Pro"/>
          <w:snapToGrid/>
          <w:color w:val="000000"/>
          <w:sz w:val="20"/>
          <w:lang w:val="en-GB"/>
        </w:rPr>
      </w:pPr>
    </w:p>
    <w:p w:rsidR="00777D87" w:rsidRPr="004F68F2" w:rsidRDefault="00777D87" w:rsidP="00726BB4">
      <w:pPr>
        <w:widowControl/>
        <w:tabs>
          <w:tab w:val="left" w:pos="4253"/>
        </w:tabs>
        <w:ind w:left="-126" w:firstLine="283"/>
        <w:rPr>
          <w:rFonts w:ascii="Myriad Pro" w:eastAsia="Calibri" w:hAnsi="Myriad Pro"/>
          <w:snapToGrid/>
          <w:color w:val="000000"/>
          <w:sz w:val="20"/>
        </w:rPr>
      </w:pPr>
      <w:r w:rsidRPr="004F68F2">
        <w:rPr>
          <w:rFonts w:ascii="Myriad Pro" w:hAnsi="Myriad Pro"/>
          <w:snapToGrid/>
          <w:color w:val="000000"/>
          <w:sz w:val="20"/>
        </w:rPr>
        <w:t>Rapporteur:</w:t>
      </w:r>
      <w:r w:rsidRPr="004F68F2">
        <w:rPr>
          <w:rFonts w:ascii="Myriad Pro" w:hAnsi="Myriad Pro"/>
          <w:snapToGrid/>
          <w:color w:val="000000"/>
          <w:sz w:val="20"/>
        </w:rPr>
        <w:tab/>
      </w:r>
      <w:hyperlink r:id="rId27" w:history="1">
        <w:r w:rsidRPr="004F68F2">
          <w:rPr>
            <w:rFonts w:ascii="Calibri" w:hAnsi="Calibri"/>
            <w:snapToGrid/>
            <w:color w:val="0000FF"/>
            <w:sz w:val="22"/>
            <w:szCs w:val="22"/>
            <w:u w:val="single"/>
          </w:rPr>
          <w:t>Marian-Jean Marinescu</w:t>
        </w:r>
      </w:hyperlink>
      <w:r w:rsidRPr="004F68F2">
        <w:rPr>
          <w:rFonts w:ascii="Calibri" w:hAnsi="Calibri"/>
          <w:snapToGrid/>
          <w:sz w:val="22"/>
          <w:szCs w:val="22"/>
        </w:rPr>
        <w:t xml:space="preserve"> </w:t>
      </w:r>
      <w:r w:rsidRPr="004F68F2">
        <w:rPr>
          <w:rFonts w:ascii="Myriad Pro" w:hAnsi="Myriad Pro"/>
          <w:snapToGrid/>
          <w:color w:val="000000"/>
          <w:sz w:val="20"/>
        </w:rPr>
        <w:t>(EPP)</w:t>
      </w:r>
    </w:p>
    <w:p w:rsidR="00777D87" w:rsidRPr="004F68F2" w:rsidRDefault="00777D87" w:rsidP="00726BB4">
      <w:pPr>
        <w:widowControl/>
        <w:tabs>
          <w:tab w:val="left" w:pos="4253"/>
        </w:tabs>
        <w:ind w:left="-126" w:firstLine="283"/>
        <w:rPr>
          <w:rFonts w:ascii="Myriad Pro" w:eastAsia="Calibri" w:hAnsi="Myriad Pro"/>
          <w:snapToGrid/>
          <w:color w:val="000000"/>
          <w:sz w:val="20"/>
        </w:rPr>
      </w:pPr>
      <w:r w:rsidRPr="004F68F2">
        <w:rPr>
          <w:rFonts w:ascii="Myriad Pro" w:hAnsi="Myriad Pro"/>
          <w:snapToGrid/>
          <w:color w:val="000000"/>
          <w:sz w:val="20"/>
        </w:rPr>
        <w:t xml:space="preserve">Administrator: </w:t>
      </w:r>
      <w:r w:rsidRPr="004F68F2">
        <w:rPr>
          <w:rFonts w:ascii="Myriad Pro" w:hAnsi="Myriad Pro"/>
          <w:snapToGrid/>
          <w:color w:val="000000"/>
          <w:sz w:val="20"/>
        </w:rPr>
        <w:tab/>
        <w:t>Aleksi Hyvatti</w:t>
      </w:r>
    </w:p>
    <w:p w:rsidR="00777D87" w:rsidRPr="004F68F2" w:rsidRDefault="00777D87" w:rsidP="00726BB4">
      <w:pPr>
        <w:widowControl/>
        <w:ind w:left="-224" w:firstLine="283"/>
        <w:jc w:val="both"/>
        <w:rPr>
          <w:rFonts w:ascii="Myriad Pro" w:eastAsia="Calibri" w:hAnsi="Myriad Pro"/>
          <w:snapToGrid/>
          <w:color w:val="000000"/>
          <w:sz w:val="20"/>
        </w:rPr>
      </w:pPr>
    </w:p>
    <w:p w:rsidR="00777D87" w:rsidRPr="004F68F2" w:rsidRDefault="00777D87" w:rsidP="00726BB4">
      <w:pPr>
        <w:widowControl/>
        <w:ind w:left="-224" w:firstLine="283"/>
        <w:jc w:val="both"/>
        <w:rPr>
          <w:rFonts w:ascii="Myriad Pro" w:eastAsia="Calibri" w:hAnsi="Myriad Pro"/>
          <w:snapToGrid/>
          <w:color w:val="000000"/>
          <w:sz w:val="20"/>
        </w:rPr>
      </w:pPr>
      <w:r w:rsidRPr="004F68F2">
        <w:rPr>
          <w:rFonts w:ascii="Myriad Pro" w:hAnsi="Myriad Pro"/>
          <w:snapToGrid/>
          <w:color w:val="000000"/>
          <w:sz w:val="20"/>
        </w:rPr>
        <w:t>Shadow Rapporteurs: Caterina Chinnici (S&amp;D), Martina Dlabajová (RE), Jean-François Jalkh (ID), Michèle Rivasi (Greens), Ryszard Czarnecki (ECR), Luke Ming Flanagan (GUE)</w:t>
      </w:r>
    </w:p>
    <w:p w:rsidR="00777D87" w:rsidRPr="004F68F2" w:rsidRDefault="00777D87" w:rsidP="00726BB4">
      <w:pPr>
        <w:widowControl/>
        <w:ind w:left="-224" w:firstLine="283"/>
        <w:jc w:val="both"/>
        <w:rPr>
          <w:rFonts w:ascii="Myriad Pro" w:eastAsia="Calibri" w:hAnsi="Myriad Pro"/>
          <w:snapToGrid/>
          <w:color w:val="000000"/>
          <w:sz w:val="20"/>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lang w:val="en-GB"/>
        </w:rPr>
        <w:t>On the CONT meeting of 6 July 2020, the Rapporteur for the revision of the OLAF Regulation reported back to CONT Committee on the outcome of the interinstitutional trilogue negotiations. The third and last trilogue meeting took place on 26 June 2020 in the European Parliament, and in remote participation. The first two trilogue meetings were held on 5 November and 12 December 2019 respectively.</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lang w:val="en-GB"/>
        </w:rPr>
        <w:t>As the interinstitutional negotiations have led to a compromise, in accordance with Rule 74(4) of the Parliament's Rules of Procedure, the provisional agreement has been submitted as a whole to the CONT Committee for confirmation by way of a single vote.</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lang w:val="en-GB"/>
        </w:rPr>
        <w:t>This file will not proceed to plenary directly, as it is in early second reading phase. After a positive vote, a confirmation letter by the CONT Chair would be sent to the Council, which would then initiate their first reading procedure on the basis of this text. Only once the Council formally adopts its first reading, and it is announced in plenary, CONT will have a second vote on the file, in preparation of the second reading. The second vote will be on the recommendation for the plenary to accept the Council's first reading without amendments as the Parliament's second reading position. The timetable for the next steps is still to be decided.</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767171"/>
          <w:sz w:val="20"/>
        </w:rPr>
      </w:pPr>
      <w:r w:rsidRPr="004F68F2">
        <w:rPr>
          <w:rFonts w:ascii="Myriad Pro" w:hAnsi="Myriad Pro"/>
          <w:snapToGrid/>
          <w:color w:val="767171"/>
          <w:sz w:val="20"/>
        </w:rPr>
        <w:t>Procedure Timetable</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2461"/>
        <w:gridCol w:w="3006"/>
      </w:tblGrid>
      <w:tr w:rsidR="00777D87" w:rsidRPr="004F68F2" w:rsidTr="00A901EA">
        <w:tc>
          <w:tcPr>
            <w:tcW w:w="3539" w:type="dxa"/>
            <w:tcMar>
              <w:top w:w="0" w:type="dxa"/>
              <w:left w:w="108" w:type="dxa"/>
              <w:bottom w:w="0" w:type="dxa"/>
              <w:right w:w="108" w:type="dxa"/>
            </w:tcMar>
            <w:hideMark/>
          </w:tcPr>
          <w:p w:rsidR="00777D87" w:rsidRPr="004F68F2" w:rsidRDefault="00777D87" w:rsidP="00726BB4">
            <w:pPr>
              <w:widowControl/>
              <w:ind w:left="19" w:firstLine="283"/>
              <w:rPr>
                <w:rFonts w:ascii="Myriad Pro" w:eastAsia="Calibri" w:hAnsi="Myriad Pro"/>
                <w:b/>
                <w:bCs/>
                <w:snapToGrid/>
                <w:color w:val="767171"/>
                <w:sz w:val="20"/>
              </w:rPr>
            </w:pPr>
            <w:r w:rsidRPr="004F68F2">
              <w:rPr>
                <w:rFonts w:ascii="Myriad Pro" w:hAnsi="Myriad Pro"/>
                <w:b/>
                <w:bCs/>
                <w:snapToGrid/>
                <w:color w:val="767171"/>
                <w:sz w:val="20"/>
              </w:rPr>
              <w:t>Event</w:t>
            </w:r>
          </w:p>
        </w:tc>
        <w:tc>
          <w:tcPr>
            <w:tcW w:w="2461" w:type="dxa"/>
            <w:tcMar>
              <w:top w:w="0" w:type="dxa"/>
              <w:left w:w="108" w:type="dxa"/>
              <w:bottom w:w="0" w:type="dxa"/>
              <w:right w:w="108" w:type="dxa"/>
            </w:tcMar>
            <w:hideMark/>
          </w:tcPr>
          <w:p w:rsidR="00777D87" w:rsidRPr="004F68F2" w:rsidRDefault="00777D87" w:rsidP="00726BB4">
            <w:pPr>
              <w:widowControl/>
              <w:ind w:left="19" w:firstLine="283"/>
              <w:rPr>
                <w:rFonts w:ascii="Myriad Pro" w:eastAsia="Calibri" w:hAnsi="Myriad Pro"/>
                <w:b/>
                <w:bCs/>
                <w:snapToGrid/>
                <w:color w:val="767171"/>
                <w:sz w:val="20"/>
              </w:rPr>
            </w:pPr>
            <w:r w:rsidRPr="004F68F2">
              <w:rPr>
                <w:rFonts w:ascii="Myriad Pro" w:hAnsi="Myriad Pro"/>
                <w:b/>
                <w:bCs/>
                <w:snapToGrid/>
                <w:color w:val="767171"/>
                <w:sz w:val="20"/>
              </w:rPr>
              <w:t>Body</w:t>
            </w:r>
          </w:p>
        </w:tc>
        <w:tc>
          <w:tcPr>
            <w:tcW w:w="3006" w:type="dxa"/>
            <w:tcMar>
              <w:top w:w="0" w:type="dxa"/>
              <w:left w:w="108" w:type="dxa"/>
              <w:bottom w:w="0" w:type="dxa"/>
              <w:right w:w="108" w:type="dxa"/>
            </w:tcMar>
            <w:hideMark/>
          </w:tcPr>
          <w:p w:rsidR="00777D87" w:rsidRPr="004F68F2" w:rsidRDefault="00777D87" w:rsidP="00726BB4">
            <w:pPr>
              <w:widowControl/>
              <w:ind w:left="19" w:firstLine="283"/>
              <w:rPr>
                <w:rFonts w:ascii="Myriad Pro" w:eastAsia="Calibri" w:hAnsi="Myriad Pro"/>
                <w:b/>
                <w:bCs/>
                <w:snapToGrid/>
                <w:color w:val="767171"/>
                <w:sz w:val="20"/>
              </w:rPr>
            </w:pPr>
            <w:r w:rsidRPr="004F68F2">
              <w:rPr>
                <w:rFonts w:ascii="Myriad Pro" w:hAnsi="Myriad Pro"/>
                <w:b/>
                <w:bCs/>
                <w:snapToGrid/>
                <w:color w:val="767171"/>
                <w:sz w:val="20"/>
              </w:rPr>
              <w:t>Date</w:t>
            </w:r>
          </w:p>
        </w:tc>
      </w:tr>
      <w:tr w:rsidR="00777D87" w:rsidRPr="004F68F2" w:rsidTr="00A901EA">
        <w:tc>
          <w:tcPr>
            <w:tcW w:w="3539"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Vote</w:t>
            </w:r>
          </w:p>
        </w:tc>
        <w:tc>
          <w:tcPr>
            <w:tcW w:w="2461"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CONT</w:t>
            </w:r>
          </w:p>
        </w:tc>
        <w:tc>
          <w:tcPr>
            <w:tcW w:w="3006"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15 October 2020</w:t>
            </w:r>
          </w:p>
        </w:tc>
      </w:tr>
      <w:tr w:rsidR="00777D87" w:rsidRPr="004F68F2" w:rsidTr="00A901EA">
        <w:tc>
          <w:tcPr>
            <w:tcW w:w="3539"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Council first reading</w:t>
            </w:r>
          </w:p>
        </w:tc>
        <w:tc>
          <w:tcPr>
            <w:tcW w:w="2461"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Council</w:t>
            </w:r>
          </w:p>
        </w:tc>
        <w:tc>
          <w:tcPr>
            <w:tcW w:w="3006" w:type="dxa"/>
            <w:tcMar>
              <w:top w:w="0" w:type="dxa"/>
              <w:left w:w="108" w:type="dxa"/>
              <w:bottom w:w="0" w:type="dxa"/>
              <w:right w:w="108" w:type="dxa"/>
            </w:tcMar>
          </w:tcPr>
          <w:p w:rsidR="00777D87" w:rsidRPr="004F68F2" w:rsidRDefault="00777D87" w:rsidP="00726BB4">
            <w:pPr>
              <w:widowControl/>
              <w:ind w:firstLine="283"/>
              <w:rPr>
                <w:rFonts w:ascii="Myriad Pro" w:eastAsia="Calibri" w:hAnsi="Myriad Pro"/>
                <w:snapToGrid/>
                <w:color w:val="767171"/>
                <w:sz w:val="20"/>
              </w:rPr>
            </w:pPr>
            <w:r w:rsidRPr="004F68F2">
              <w:rPr>
                <w:rFonts w:ascii="Myriad Pro" w:hAnsi="Myriad Pro"/>
                <w:snapToGrid/>
                <w:color w:val="767171"/>
                <w:sz w:val="20"/>
              </w:rPr>
              <w:t>tbc</w:t>
            </w:r>
          </w:p>
        </w:tc>
      </w:tr>
    </w:tbl>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lastRenderedPageBreak/>
        <w:t>5.</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ECA Special Report 12/2020 (Discharge 2019): The European Investment Advisory Hub - Launched to boost investment in the EU, the Hub’s impact remains limited</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lang w:val="en-GB"/>
        </w:rPr>
      </w:pPr>
      <w:r w:rsidRPr="004F68F2">
        <w:rPr>
          <w:rFonts w:ascii="Myriad Pro" w:hAnsi="Myriad Pro"/>
          <w:snapToGrid/>
          <w:color w:val="595959"/>
          <w:sz w:val="20"/>
          <w:szCs w:val="28"/>
          <w:lang w:val="en-GB"/>
        </w:rPr>
        <w:t>CONT/9/03491</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Calibri" w:hAnsi="Calibri"/>
          <w:noProof/>
          <w:snapToGrid/>
          <w:sz w:val="22"/>
          <w:szCs w:val="22"/>
          <w:lang w:val="en-GB" w:eastAsia="en-GB"/>
        </w:rPr>
        <w:drawing>
          <wp:anchor distT="0" distB="0" distL="114300" distR="114300" simplePos="0" relativeHeight="251664384" behindDoc="0" locked="0" layoutInCell="1" allowOverlap="1" wp14:anchorId="286C0A51" wp14:editId="53D49F1D">
            <wp:simplePos x="0" y="0"/>
            <wp:positionH relativeFrom="column">
              <wp:posOffset>-135172</wp:posOffset>
            </wp:positionH>
            <wp:positionV relativeFrom="paragraph">
              <wp:posOffset>801</wp:posOffset>
            </wp:positionV>
            <wp:extent cx="1450800" cy="1836000"/>
            <wp:effectExtent l="0" t="0" r="0" b="0"/>
            <wp:wrapSquare wrapText="bothSides"/>
            <wp:docPr id="11" name="Picture 11" descr="F:\FILING PLAN_New arborescence\5 COMMUNICATION\5.1.4 NEWSLETTERS\CONT News\CONT Members\Grapini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LING PLAN_New arborescence\5 COMMUNICATION\5.1.4 NEWSLETTERS\CONT News\CONT Members\Grapini Mari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0800"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D87" w:rsidRPr="004F68F2" w:rsidRDefault="00777D87" w:rsidP="00726BB4">
      <w:pPr>
        <w:widowControl/>
        <w:ind w:left="2268" w:firstLine="283"/>
        <w:jc w:val="both"/>
        <w:rPr>
          <w:rFonts w:ascii="Myriad Pro" w:eastAsia="Calibri" w:hAnsi="Myriad Pro"/>
          <w:b/>
          <w:snapToGrid/>
          <w:color w:val="709047"/>
          <w:sz w:val="22"/>
          <w:szCs w:val="22"/>
          <w:lang w:val="en-GB"/>
        </w:rPr>
      </w:pPr>
      <w:r w:rsidRPr="004F68F2">
        <w:rPr>
          <w:rFonts w:ascii="Myriad Pro" w:hAnsi="Myriad Pro"/>
          <w:b/>
          <w:bCs/>
          <w:snapToGrid/>
          <w:color w:val="709047"/>
          <w:sz w:val="22"/>
          <w:szCs w:val="22"/>
          <w:lang w:val="en-GB"/>
        </w:rPr>
        <w:t xml:space="preserve">Presentation of the special report by reporting ECA Member, </w:t>
      </w:r>
      <w:r w:rsidRPr="004F68F2">
        <w:rPr>
          <w:rFonts w:ascii="Myriad Pro" w:hAnsi="Myriad Pro"/>
          <w:b/>
          <w:bCs/>
          <w:i/>
          <w:snapToGrid/>
          <w:color w:val="709047"/>
          <w:sz w:val="22"/>
          <w:szCs w:val="22"/>
          <w:lang w:val="en-GB"/>
        </w:rPr>
        <w:t>Annemie Turtelboom</w:t>
      </w:r>
    </w:p>
    <w:p w:rsidR="00777D87" w:rsidRPr="004F68F2" w:rsidRDefault="00777D87" w:rsidP="00726BB4">
      <w:pPr>
        <w:widowControl/>
        <w:ind w:left="-126" w:firstLine="283"/>
        <w:rPr>
          <w:rFonts w:ascii="Myriad Pro" w:eastAsia="Calibri" w:hAnsi="Myriad Pro"/>
          <w:snapToGrid/>
          <w:color w:val="000000"/>
          <w:sz w:val="20"/>
          <w:lang w:val="en-GB"/>
        </w:rPr>
      </w:pP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Rapporteur:</w:t>
      </w:r>
      <w:r w:rsidRPr="004F68F2">
        <w:rPr>
          <w:rFonts w:ascii="Myriad Pro" w:hAnsi="Myriad Pro"/>
          <w:snapToGrid/>
          <w:color w:val="000000"/>
          <w:sz w:val="20"/>
          <w:lang w:val="en-GB"/>
        </w:rPr>
        <w:tab/>
      </w:r>
      <w:hyperlink r:id="rId29" w:history="1">
        <w:r w:rsidRPr="004F68F2">
          <w:rPr>
            <w:rFonts w:ascii="Calibri" w:hAnsi="Calibri"/>
            <w:snapToGrid/>
            <w:color w:val="0000FF"/>
            <w:sz w:val="22"/>
            <w:szCs w:val="22"/>
            <w:u w:val="single"/>
            <w:lang w:val="en-GB"/>
          </w:rPr>
          <w:t>Maria Grapini</w:t>
        </w:r>
      </w:hyperlink>
      <w:r w:rsidRPr="004F68F2">
        <w:rPr>
          <w:rFonts w:ascii="Calibri" w:hAnsi="Calibri"/>
          <w:snapToGrid/>
          <w:sz w:val="22"/>
          <w:szCs w:val="22"/>
          <w:lang w:val="en-GB"/>
        </w:rPr>
        <w:t xml:space="preserve"> (S&amp;D)</w:t>
      </w: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 xml:space="preserve">Administrator: </w:t>
      </w:r>
      <w:r w:rsidRPr="004F68F2">
        <w:rPr>
          <w:rFonts w:ascii="Myriad Pro" w:hAnsi="Myriad Pro"/>
          <w:snapToGrid/>
          <w:color w:val="000000"/>
          <w:sz w:val="20"/>
          <w:lang w:val="en-GB"/>
        </w:rPr>
        <w:tab/>
        <w:t>Olivier Sautière</w:t>
      </w:r>
    </w:p>
    <w:p w:rsidR="00777D87" w:rsidRPr="004F68F2" w:rsidRDefault="00777D87" w:rsidP="00726BB4">
      <w:pPr>
        <w:widowControl/>
        <w:ind w:left="-224" w:firstLine="283"/>
        <w:jc w:val="both"/>
        <w:rPr>
          <w:rFonts w:ascii="Myriad Pro" w:eastAsia="Calibri" w:hAnsi="Myriad Pro"/>
          <w:snapToGrid/>
          <w:color w:val="000000"/>
          <w:sz w:val="20"/>
          <w:lang w:val="en-GB"/>
        </w:rPr>
      </w:pPr>
    </w:p>
    <w:p w:rsidR="00777D87" w:rsidRPr="004F68F2" w:rsidRDefault="00777D87" w:rsidP="00726BB4">
      <w:pPr>
        <w:widowControl/>
        <w:ind w:left="-224" w:firstLine="283"/>
        <w:rPr>
          <w:rFonts w:ascii="Myriad Pro" w:eastAsia="Calibri" w:hAnsi="Myriad Pro"/>
          <w:snapToGrid/>
          <w:color w:val="000000"/>
          <w:sz w:val="20"/>
          <w:lang w:val="en-GB"/>
        </w:rPr>
      </w:pPr>
      <w:r w:rsidRPr="004F68F2">
        <w:rPr>
          <w:rFonts w:ascii="Myriad Pro" w:hAnsi="Myriad Pro"/>
          <w:snapToGrid/>
          <w:color w:val="000000"/>
          <w:sz w:val="20"/>
          <w:lang w:val="en-GB"/>
        </w:rPr>
        <w:t>Shadow Rapporteurs: José Manuel Fernandes (EPP)</w:t>
      </w:r>
    </w:p>
    <w:p w:rsidR="00777D87" w:rsidRPr="004F68F2" w:rsidRDefault="00777D87" w:rsidP="00726BB4">
      <w:pPr>
        <w:widowControl/>
        <w:ind w:left="-224" w:firstLine="283"/>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The European Investment Advisory Hub (EIAH) was set up in 2015, alongside the European Fund for Strategic Investments (EFSI), as part of the Investment Plan for Europe designed to boost investment following the economic crisis.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noProof/>
          <w:snapToGrid/>
          <w:color w:val="000000"/>
          <w:sz w:val="20"/>
          <w:lang w:val="en-GB" w:eastAsia="en-GB"/>
        </w:rPr>
        <w:drawing>
          <wp:anchor distT="0" distB="0" distL="114300" distR="114300" simplePos="0" relativeHeight="251670528" behindDoc="1" locked="0" layoutInCell="1" allowOverlap="1" wp14:anchorId="1EE905A3" wp14:editId="6C89F97B">
            <wp:simplePos x="0" y="0"/>
            <wp:positionH relativeFrom="margin">
              <wp:posOffset>3597275</wp:posOffset>
            </wp:positionH>
            <wp:positionV relativeFrom="paragraph">
              <wp:posOffset>62230</wp:posOffset>
            </wp:positionV>
            <wp:extent cx="2447925" cy="1734820"/>
            <wp:effectExtent l="76200" t="76200" r="85725" b="74930"/>
            <wp:wrapTight wrapText="bothSides">
              <wp:wrapPolygon edited="0">
                <wp:start x="-672" y="-949"/>
                <wp:lineTo x="-672" y="22296"/>
                <wp:lineTo x="22188" y="22296"/>
                <wp:lineTo x="22188" y="-949"/>
                <wp:lineTo x="-672" y="-949"/>
              </wp:wrapPolygon>
            </wp:wrapTight>
            <wp:docPr id="7" name="Picture 7" descr="F:\FILING PLAN_New arborescence\5 COMMUNICATION\Editorial Unit, webpage_Not to archive\Pictures and logos\Adobe Stock Images\invest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LING PLAN_New arborescence\5 COMMUNICATION\Editorial Unit, webpage_Not to archive\Pictures and logos\Adobe Stock Images\investment.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7925" cy="1734820"/>
                    </a:xfrm>
                    <a:prstGeom prst="rect">
                      <a:avLst/>
                    </a:prstGeom>
                    <a:noFill/>
                    <a:ln>
                      <a:noFill/>
                    </a:ln>
                    <a:effectLst>
                      <a:glow rad="63500">
                        <a:srgbClr val="4472C4">
                          <a:satMod val="175000"/>
                          <a:alpha val="40000"/>
                        </a:srgbClr>
                      </a:glow>
                    </a:effectLst>
                  </pic:spPr>
                </pic:pic>
              </a:graphicData>
            </a:graphic>
            <wp14:sizeRelH relativeFrom="margin">
              <wp14:pctWidth>0</wp14:pctWidth>
            </wp14:sizeRelH>
            <wp14:sizeRelV relativeFrom="margin">
              <wp14:pctHeight>0</wp14:pctHeight>
            </wp14:sizeRelV>
          </wp:anchor>
        </w:drawing>
      </w:r>
      <w:r w:rsidRPr="004F68F2">
        <w:rPr>
          <w:rFonts w:ascii="Myriad Pro" w:hAnsi="Myriad Pro"/>
          <w:snapToGrid/>
          <w:color w:val="000000"/>
          <w:sz w:val="20"/>
          <w:lang w:val="en-GB"/>
        </w:rPr>
        <w:t>The Investment Plan for Europe was built on three pillars: (i) EFSI providing finance for investment supported by an EU budgetary guarantee, (ii) EIAH providing technical assistance to private and public projects promoters in addition to those already available under other EU programmes and (iii) measures to remove barriers to investment across Europe and improve investment conditions in Europe.</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The Hub operates as a partnership between the Commission and the European Investment Bank and works in cooperation with national promotional banks or institutions (NPBIs) and the European Bank for Reconstruction and Development (EBRD).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The Court of auditors examined whether the Advisory Hub has proven to be an effective tool for boosting investment. In particular, the Court assessed whether the Hub: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ab/>
        <w:t xml:space="preserve">(i) was set up appropriately to meet the need for advisory services additional to those already available </w:t>
      </w:r>
      <w:r w:rsidRPr="004F68F2">
        <w:rPr>
          <w:rFonts w:ascii="Myriad Pro" w:hAnsi="Myriad Pro"/>
          <w:snapToGrid/>
          <w:color w:val="000000"/>
          <w:sz w:val="20"/>
          <w:lang w:val="en-GB"/>
        </w:rPr>
        <w:tab/>
        <w:t xml:space="preserve">from other EU sources;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ab/>
        <w:t xml:space="preserve">(ii) operated as intended to achieve its goals, including cooperation with partners; and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ab/>
        <w:t xml:space="preserve">(iii) has contributed to improving the supply of projects that are suitable for investment.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The Court stated that, by the end of 2018, the Hub had not yet proven to be an effective tool for boosting investment. The Court found that the Hub was set up as a ‘demand-driven’ tool with limited prior assessment of the advisory needs it would address, the level of demand it was likely to receive, or the amount of resources it would need.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The Court also observed that the Hub received few requests that could have led to assignments compared to the resources at its disposal (i.e. 285 out of the 1091 requests received in total by the Hub over the period mid 2015-2018). In particular, the number of requests received directly through the Hub website or from NPBIs generated few assignments requiring the Hub support. This situation was also reflected in the use of the Hub’s budget as at 31 December 2018, insofar only 26% of the amounts available from the EU budget for the period 2015-2018 were used i.e. EUR 26,2 million out of EUR 68,1 million.</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The Court considered that the Hub largely met the goal of providing tailored advisory services (mostly technical and financial advices on specific projects). However, it did not have a sufficiently clear strategy or establish the criteria for targeting support where it could potentially add most value to the supply of investment projects. The additionality of Hub support with respect to other advisory public or private sources was also questioned by some beneficiaries and just over 1 % of financial operations supported by EFSI during the period benefited from a Hub assignment. While most assignments were in high priority sectors (215 out of 285 or 83%) and related to top priority Member States (i.e. </w:t>
      </w:r>
      <w:r w:rsidRPr="004F68F2">
        <w:rPr>
          <w:rFonts w:ascii="Myriad Pro" w:hAnsi="Myriad Pro"/>
          <w:snapToGrid/>
          <w:color w:val="000000"/>
          <w:sz w:val="20"/>
          <w:lang w:val="en-GB"/>
        </w:rPr>
        <w:lastRenderedPageBreak/>
        <w:t xml:space="preserve">transport, energy, environment and resource efficiency and SMEs), the Court’s audit revealed that few assignments were related to the priority sectors for the Member States with the highest advisory needs. Hence, the Court considered that a more proactive approach would have been required to better target the overall unmet advisory needs.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In addition, despite the Advisory Hub’s efforts, cooperation with partners to improve geographical coverage developed slowly due to legal complexity and the NPBIs’ varying willingness and capacity to cooperate.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The Court reported that the Hub had insufficient procedures for following up the investments resulting from the Hub’s assignments during the period. There was a lack of information on the results of assignments and the limitations affecting some of the Hub’s performance indicators made it difficult to monitor and evaluate the Hub’s performance in this regard.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The audit also showed that the Hub had also completed too few assignments by the end of 2018 (i.e. 89 assignments with three related to approved or signed EFSI operations) to make a significant contribution to boosting investment.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Furthermore, as the Hub support was mostly related to projects at an early stage, it may only have effects in the longer term.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bCs/>
          <w:snapToGrid/>
          <w:sz w:val="20"/>
          <w:lang w:val="en-GB"/>
        </w:rPr>
        <w:t xml:space="preserve">The ECA special report is available on the </w:t>
      </w:r>
      <w:hyperlink r:id="rId31" w:history="1">
        <w:r w:rsidRPr="004F68F2">
          <w:rPr>
            <w:rFonts w:ascii="Myriad Pro" w:hAnsi="Myriad Pro"/>
            <w:bCs/>
            <w:snapToGrid/>
            <w:color w:val="0000FF"/>
            <w:sz w:val="20"/>
            <w:u w:val="single"/>
            <w:lang w:val="en-GB"/>
          </w:rPr>
          <w:t>ECA website</w:t>
        </w:r>
      </w:hyperlink>
      <w:r w:rsidRPr="004F68F2">
        <w:rPr>
          <w:rFonts w:ascii="Myriad Pro" w:hAnsi="Myriad Pro"/>
          <w:bCs/>
          <w:snapToGrid/>
          <w:sz w:val="20"/>
          <w:lang w:val="en-GB"/>
        </w:rPr>
        <w:t xml:space="preserve">. A succinct working document with the recommendations of the Rapporteur has been sent to CONT Members and is also available on the </w:t>
      </w:r>
      <w:hyperlink r:id="rId32" w:history="1">
        <w:r w:rsidRPr="004F68F2">
          <w:rPr>
            <w:rFonts w:ascii="Myriad Pro" w:hAnsi="Myriad Pro"/>
            <w:bCs/>
            <w:snapToGrid/>
            <w:color w:val="0000FF"/>
            <w:sz w:val="20"/>
            <w:u w:val="single"/>
            <w:lang w:val="en-GB"/>
          </w:rPr>
          <w:t>meeting documents</w:t>
        </w:r>
      </w:hyperlink>
      <w:r w:rsidRPr="004F68F2">
        <w:rPr>
          <w:rFonts w:ascii="Myriad Pro" w:hAnsi="Myriad Pro"/>
          <w:bCs/>
          <w:snapToGrid/>
          <w:sz w:val="20"/>
          <w:lang w:val="en-GB"/>
        </w:rPr>
        <w:t>.</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6.</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ECA Special Report 09/2020 (Discharge 2019): The EU core road network: shorter travel times but network not yet fully functional</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lang w:val="en-GB"/>
        </w:rPr>
      </w:pPr>
      <w:r w:rsidRPr="004F68F2">
        <w:rPr>
          <w:rFonts w:ascii="Myriad Pro" w:hAnsi="Myriad Pro"/>
          <w:snapToGrid/>
          <w:color w:val="595959"/>
          <w:sz w:val="20"/>
          <w:szCs w:val="28"/>
          <w:lang w:val="en-GB"/>
        </w:rPr>
        <w:t>CONT/9/04005</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Calibri" w:hAnsi="Calibri"/>
          <w:noProof/>
          <w:snapToGrid/>
          <w:sz w:val="22"/>
          <w:szCs w:val="22"/>
          <w:lang w:val="en-GB" w:eastAsia="en-GB"/>
        </w:rPr>
        <w:drawing>
          <wp:anchor distT="0" distB="0" distL="114300" distR="114300" simplePos="0" relativeHeight="251665408" behindDoc="0" locked="0" layoutInCell="1" allowOverlap="1" wp14:anchorId="0434D787" wp14:editId="7A3D029F">
            <wp:simplePos x="0" y="0"/>
            <wp:positionH relativeFrom="column">
              <wp:posOffset>3810</wp:posOffset>
            </wp:positionH>
            <wp:positionV relativeFrom="paragraph">
              <wp:posOffset>151765</wp:posOffset>
            </wp:positionV>
            <wp:extent cx="1450800" cy="183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ING PLAN_New arborescence\5 COMMUNICATION\5.1.4 NEWSLETTERS\CONT News\CONT Members\ZDECHOVSKÝ.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D87" w:rsidRPr="004F68F2" w:rsidRDefault="00777D87" w:rsidP="00726BB4">
      <w:pPr>
        <w:widowControl/>
        <w:ind w:left="1100" w:firstLine="283"/>
        <w:rPr>
          <w:rFonts w:ascii="Myriad Pro" w:eastAsia="Calibri" w:hAnsi="Myriad Pro"/>
          <w:b/>
          <w:snapToGrid/>
          <w:color w:val="709047"/>
          <w:sz w:val="22"/>
          <w:szCs w:val="22"/>
          <w:lang w:val="en-GB"/>
        </w:rPr>
      </w:pPr>
      <w:r w:rsidRPr="004F68F2">
        <w:rPr>
          <w:rFonts w:ascii="Myriad Pro" w:hAnsi="Myriad Pro"/>
          <w:b/>
          <w:bCs/>
          <w:snapToGrid/>
          <w:color w:val="709047"/>
          <w:sz w:val="22"/>
          <w:szCs w:val="22"/>
          <w:lang w:val="en-GB"/>
        </w:rPr>
        <w:t xml:space="preserve">Presentation of the special report by reporting ECA Member, </w:t>
      </w:r>
      <w:r w:rsidRPr="004F68F2">
        <w:rPr>
          <w:rFonts w:ascii="Myriad Pro" w:hAnsi="Myriad Pro"/>
          <w:b/>
          <w:bCs/>
          <w:i/>
          <w:snapToGrid/>
          <w:color w:val="709047"/>
          <w:sz w:val="22"/>
          <w:szCs w:val="22"/>
          <w:lang w:val="en-GB"/>
        </w:rPr>
        <w:t>Ladislav Balko</w:t>
      </w:r>
    </w:p>
    <w:p w:rsidR="00777D87" w:rsidRPr="004F68F2" w:rsidRDefault="00777D87" w:rsidP="00726BB4">
      <w:pPr>
        <w:widowControl/>
        <w:ind w:left="-126" w:firstLine="283"/>
        <w:rPr>
          <w:rFonts w:ascii="Myriad Pro" w:eastAsia="Calibri" w:hAnsi="Myriad Pro"/>
          <w:snapToGrid/>
          <w:color w:val="000000"/>
          <w:sz w:val="20"/>
          <w:lang w:val="en-GB"/>
        </w:rPr>
      </w:pPr>
    </w:p>
    <w:p w:rsidR="00777D87" w:rsidRPr="004F68F2" w:rsidRDefault="00777D87" w:rsidP="00726BB4">
      <w:pPr>
        <w:widowControl/>
        <w:tabs>
          <w:tab w:val="left" w:pos="4253"/>
        </w:tabs>
        <w:ind w:left="-126" w:firstLine="283"/>
        <w:rPr>
          <w:rFonts w:ascii="Myriad Pro" w:eastAsia="Calibri" w:hAnsi="Myriad Pro"/>
          <w:snapToGrid/>
          <w:color w:val="000000"/>
          <w:sz w:val="20"/>
        </w:rPr>
      </w:pPr>
      <w:r w:rsidRPr="004F68F2">
        <w:rPr>
          <w:rFonts w:ascii="Myriad Pro" w:hAnsi="Myriad Pro"/>
          <w:snapToGrid/>
          <w:color w:val="000000"/>
          <w:sz w:val="20"/>
        </w:rPr>
        <w:t>Rapporteur:</w:t>
      </w:r>
      <w:r w:rsidRPr="004F68F2">
        <w:rPr>
          <w:rFonts w:ascii="Myriad Pro" w:hAnsi="Myriad Pro"/>
          <w:snapToGrid/>
          <w:color w:val="000000"/>
          <w:sz w:val="20"/>
        </w:rPr>
        <w:tab/>
      </w:r>
      <w:hyperlink r:id="rId33" w:history="1">
        <w:r w:rsidRPr="004F68F2">
          <w:rPr>
            <w:rFonts w:ascii="Calibri" w:hAnsi="Calibri"/>
            <w:snapToGrid/>
            <w:color w:val="0000FF"/>
            <w:sz w:val="22"/>
            <w:szCs w:val="22"/>
            <w:u w:val="single"/>
          </w:rPr>
          <w:t>Marian-Jean Marinescu</w:t>
        </w:r>
      </w:hyperlink>
      <w:r w:rsidRPr="004F68F2">
        <w:rPr>
          <w:rFonts w:ascii="Calibri" w:hAnsi="Calibri"/>
          <w:snapToGrid/>
          <w:sz w:val="22"/>
          <w:szCs w:val="22"/>
        </w:rPr>
        <w:t xml:space="preserve"> </w:t>
      </w:r>
      <w:r w:rsidRPr="004F68F2">
        <w:rPr>
          <w:rFonts w:ascii="Myriad Pro" w:hAnsi="Myriad Pro"/>
          <w:snapToGrid/>
          <w:color w:val="000000"/>
          <w:sz w:val="20"/>
        </w:rPr>
        <w:t>(EPP)</w:t>
      </w:r>
    </w:p>
    <w:p w:rsidR="00777D87" w:rsidRPr="004F68F2" w:rsidRDefault="00777D87" w:rsidP="00726BB4">
      <w:pPr>
        <w:widowControl/>
        <w:tabs>
          <w:tab w:val="left" w:pos="4253"/>
        </w:tabs>
        <w:ind w:left="-126" w:firstLine="283"/>
        <w:rPr>
          <w:rFonts w:ascii="Myriad Pro" w:eastAsia="Calibri" w:hAnsi="Myriad Pro"/>
          <w:snapToGrid/>
          <w:color w:val="000000"/>
          <w:sz w:val="20"/>
        </w:rPr>
      </w:pPr>
      <w:r w:rsidRPr="004F68F2">
        <w:rPr>
          <w:rFonts w:ascii="Myriad Pro" w:hAnsi="Myriad Pro"/>
          <w:snapToGrid/>
          <w:color w:val="000000"/>
          <w:sz w:val="20"/>
        </w:rPr>
        <w:t xml:space="preserve">Administrator: </w:t>
      </w:r>
      <w:r w:rsidRPr="004F68F2">
        <w:rPr>
          <w:rFonts w:ascii="Myriad Pro" w:hAnsi="Myriad Pro"/>
          <w:snapToGrid/>
          <w:color w:val="000000"/>
          <w:sz w:val="20"/>
        </w:rPr>
        <w:tab/>
        <w:t>Charlotte Kutzenberger</w:t>
      </w:r>
    </w:p>
    <w:p w:rsidR="00777D87" w:rsidRPr="004F68F2" w:rsidRDefault="00777D87" w:rsidP="00726BB4">
      <w:pPr>
        <w:widowControl/>
        <w:ind w:left="-224" w:firstLine="283"/>
        <w:jc w:val="both"/>
        <w:rPr>
          <w:rFonts w:ascii="Myriad Pro" w:eastAsia="Calibri" w:hAnsi="Myriad Pro"/>
          <w:snapToGrid/>
          <w:color w:val="000000"/>
          <w:sz w:val="20"/>
        </w:rPr>
      </w:pPr>
    </w:p>
    <w:p w:rsidR="00777D87" w:rsidRPr="004F68F2" w:rsidRDefault="00777D87" w:rsidP="00726BB4">
      <w:pPr>
        <w:widowControl/>
        <w:ind w:left="-224" w:firstLine="283"/>
        <w:jc w:val="both"/>
        <w:rPr>
          <w:rFonts w:ascii="Myriad Pro" w:eastAsia="Calibri" w:hAnsi="Myriad Pro"/>
          <w:snapToGrid/>
          <w:color w:val="000000"/>
          <w:sz w:val="20"/>
        </w:rPr>
      </w:pPr>
      <w:r w:rsidRPr="004F68F2">
        <w:rPr>
          <w:rFonts w:ascii="Myriad Pro" w:hAnsi="Myriad Pro"/>
          <w:snapToGrid/>
          <w:color w:val="000000"/>
          <w:sz w:val="20"/>
        </w:rPr>
        <w:t>Shadow Rapporteurs: Isabel G</w:t>
      </w:r>
      <w:r w:rsidRPr="004F68F2">
        <w:rPr>
          <w:rFonts w:ascii="Myriad Pro" w:hAnsi="Myriad Pro"/>
          <w:snapToGrid/>
          <w:color w:val="000000"/>
          <w:sz w:val="18"/>
        </w:rPr>
        <w:t>arcía</w:t>
      </w:r>
      <w:r w:rsidRPr="004F68F2">
        <w:rPr>
          <w:rFonts w:ascii="Myriad Pro" w:hAnsi="Myriad Pro"/>
          <w:snapToGrid/>
          <w:color w:val="000000"/>
          <w:sz w:val="20"/>
        </w:rPr>
        <w:t xml:space="preserve"> Muñoz (S&amp;D), Martina Dlabajová (RE)</w:t>
      </w:r>
    </w:p>
    <w:p w:rsidR="00777D87" w:rsidRPr="004F68F2" w:rsidRDefault="00777D87" w:rsidP="00726BB4">
      <w:pPr>
        <w:widowControl/>
        <w:ind w:left="-224" w:firstLine="283"/>
        <w:jc w:val="both"/>
        <w:rPr>
          <w:rFonts w:ascii="Myriad Pro" w:eastAsia="Calibri" w:hAnsi="Myriad Pro"/>
          <w:snapToGrid/>
          <w:color w:val="000000"/>
          <w:sz w:val="20"/>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rPr>
        <w:t xml:space="preserve">In the 2007 to 2020 time span the EU allocated approximately EUR 78 billion for roads, out of which around EUR 40 billion for TEN-T roads. </w:t>
      </w:r>
      <w:r w:rsidRPr="004F68F2">
        <w:rPr>
          <w:rFonts w:ascii="Myriad Pro" w:hAnsi="Myriad Pro"/>
          <w:snapToGrid/>
          <w:sz w:val="20"/>
          <w:lang w:val="en-GB"/>
        </w:rPr>
        <w:t>Most of it has come from the European Regional Development Fund (ERDF) and the Cohesion Fund. Smaller amounts are also available from the Connecting Europe Facility (CEF).</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lang w:val="en-GB"/>
        </w:rPr>
        <w:t xml:space="preserve">Overall, the development of the core road network is progressing and achieving results. EU funding and the Commission’s actions contributed positively to these results. The Commission has played an important role at strategy level.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noProof/>
          <w:snapToGrid/>
          <w:sz w:val="20"/>
          <w:lang w:val="en-GB" w:eastAsia="en-GB"/>
        </w:rPr>
        <w:lastRenderedPageBreak/>
        <w:drawing>
          <wp:anchor distT="0" distB="0" distL="114300" distR="114300" simplePos="0" relativeHeight="251671552" behindDoc="1" locked="0" layoutInCell="1" allowOverlap="1" wp14:anchorId="119A90E4" wp14:editId="71B52981">
            <wp:simplePos x="0" y="0"/>
            <wp:positionH relativeFrom="column">
              <wp:posOffset>1715135</wp:posOffset>
            </wp:positionH>
            <wp:positionV relativeFrom="paragraph">
              <wp:posOffset>714375</wp:posOffset>
            </wp:positionV>
            <wp:extent cx="4314190" cy="1641475"/>
            <wp:effectExtent l="76200" t="76200" r="67310" b="73025"/>
            <wp:wrapTight wrapText="bothSides">
              <wp:wrapPolygon edited="0">
                <wp:start x="-382" y="-1003"/>
                <wp:lineTo x="-382" y="22310"/>
                <wp:lineTo x="21842" y="22310"/>
                <wp:lineTo x="21842" y="-1003"/>
                <wp:lineTo x="-382" y="-1003"/>
              </wp:wrapPolygon>
            </wp:wrapTight>
            <wp:docPr id="8" name="Picture 8" descr="F:\FILING PLAN_New arborescence\5 COMMUNICATION\Editorial Unit, webpage_Not to archive\Pictures and logos\Adobe Stock Images\road netwo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LING PLAN_New arborescence\5 COMMUNICATION\Editorial Unit, webpage_Not to archive\Pictures and logos\Adobe Stock Images\road network.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4190" cy="1641475"/>
                    </a:xfrm>
                    <a:prstGeom prst="rect">
                      <a:avLst/>
                    </a:prstGeom>
                    <a:noFill/>
                    <a:ln>
                      <a:noFill/>
                    </a:ln>
                    <a:effectLst>
                      <a:glow rad="63500">
                        <a:srgbClr val="4472C4">
                          <a:satMod val="175000"/>
                          <a:alpha val="40000"/>
                        </a:srgbClr>
                      </a:glow>
                    </a:effectLst>
                  </pic:spPr>
                </pic:pic>
              </a:graphicData>
            </a:graphic>
            <wp14:sizeRelH relativeFrom="margin">
              <wp14:pctWidth>0</wp14:pctWidth>
            </wp14:sizeRelH>
            <wp14:sizeRelV relativeFrom="margin">
              <wp14:pctHeight>0</wp14:pctHeight>
            </wp14:sizeRelV>
          </wp:anchor>
        </w:drawing>
      </w:r>
      <w:r w:rsidRPr="004F68F2">
        <w:rPr>
          <w:rFonts w:ascii="Myriad Pro" w:hAnsi="Myriad Pro"/>
          <w:snapToGrid/>
          <w:sz w:val="20"/>
          <w:lang w:val="en-GB"/>
        </w:rPr>
        <w:t xml:space="preserve">Furthermore, the CEF funding focused on the core network, including cross-border sections. With regard to the European Structural and Investment Funds (ESIF), out of the available funds for 2014-2020, Member States earmarked 66 % outside the TEN-T core road network. This happened despite the fact that in Member States receiving the most ESIF support for roads, the level of core network completion was low at the time when allocations were negotiated at EU level.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lang w:val="en-GB"/>
        </w:rPr>
        <w:t>The Court of auditors noted another obstacle for seamless traveling along the TEN-T core road network: some cross-border sections are incomplete and there is an insufficiently coordinated approach to secure parking areas and alternative fuel.</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lang w:val="en-GB"/>
        </w:rPr>
        <w:t xml:space="preserve">The Commission does not always monitor the entire core network and lacks intermediate milestones to accurately assess progress and make reliable forecasts as to whether it is likely to be completed by 2030. These monitoring weaknesses, as well as untimely and unreliable data from the Member States, undermine its ability to take timely corrective action if needed. The auditors warn that national maintenance budgets are steadily decreasing, rather than increasing in line with the growing infrastructure and ageing crucial links. Even though this may have an impact on whether the network is fully functional by 2030, the Commission does not have tools to verify whether Member States have a solid system for ensuring proper road maintenance.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snapToGrid/>
          <w:sz w:val="20"/>
          <w:lang w:val="en-GB"/>
        </w:rPr>
        <w:t>The auditors recommend that the Commission prioritise investment in the core road network, enhance monitoring arrangements, and strengthen its approach to ensure adequate maintenance of the growing network by Member States.</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rPr>
      </w:pPr>
      <w:r w:rsidRPr="004F68F2">
        <w:rPr>
          <w:rFonts w:ascii="Myriad Pro" w:hAnsi="Myriad Pro"/>
          <w:bCs/>
          <w:snapToGrid/>
          <w:sz w:val="20"/>
          <w:lang w:val="en-GB"/>
        </w:rPr>
        <w:t xml:space="preserve">The ECA special report is available on the </w:t>
      </w:r>
      <w:hyperlink r:id="rId35" w:history="1">
        <w:r w:rsidRPr="004F68F2">
          <w:rPr>
            <w:rFonts w:ascii="Myriad Pro" w:hAnsi="Myriad Pro"/>
            <w:bCs/>
            <w:snapToGrid/>
            <w:color w:val="0000FF"/>
            <w:sz w:val="20"/>
            <w:u w:val="single"/>
            <w:lang w:val="en-GB"/>
          </w:rPr>
          <w:t>ECA website</w:t>
        </w:r>
      </w:hyperlink>
      <w:r w:rsidRPr="004F68F2">
        <w:rPr>
          <w:rFonts w:ascii="Myriad Pro" w:hAnsi="Myriad Pro"/>
          <w:bCs/>
          <w:snapToGrid/>
          <w:sz w:val="20"/>
          <w:lang w:val="en-GB"/>
        </w:rPr>
        <w:t xml:space="preserve">. A succinct working document with the recommendations of the Rapporteur has been sent to CONT Members and is also available on the </w:t>
      </w:r>
      <w:hyperlink r:id="rId36" w:history="1">
        <w:r w:rsidRPr="004F68F2">
          <w:rPr>
            <w:rFonts w:ascii="Myriad Pro" w:hAnsi="Myriad Pro"/>
            <w:bCs/>
            <w:snapToGrid/>
            <w:color w:val="0000FF"/>
            <w:sz w:val="20"/>
            <w:u w:val="single"/>
            <w:lang w:val="en-GB"/>
          </w:rPr>
          <w:t>meeting documents</w:t>
        </w:r>
      </w:hyperlink>
      <w:r w:rsidRPr="004F68F2">
        <w:rPr>
          <w:rFonts w:ascii="Myriad Pro" w:hAnsi="Myriad Pro"/>
          <w:bCs/>
          <w:snapToGrid/>
          <w:sz w:val="20"/>
          <w:lang w:val="en-GB"/>
        </w:rPr>
        <w:t>.</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7.</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ECA Special Report 11/2020 (Discharge 2019): Energy efficiency in buildings: greater focus on cost-effectiveness still needed</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snapToGrid/>
          <w:color w:val="0000FF"/>
          <w:sz w:val="22"/>
          <w:szCs w:val="22"/>
          <w:u w:val="single"/>
          <w:lang w:val="en-GB"/>
        </w:rPr>
      </w:pPr>
      <w:r w:rsidRPr="004F68F2">
        <w:rPr>
          <w:rFonts w:ascii="Myriad Pro" w:hAnsi="Myriad Pro"/>
          <w:snapToGrid/>
          <w:color w:val="595959"/>
          <w:sz w:val="20"/>
          <w:szCs w:val="28"/>
          <w:lang w:val="en-GB"/>
        </w:rPr>
        <w:t>CONT/9/04334</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lang w:val="en-GB"/>
        </w:rPr>
      </w:pPr>
      <w:r w:rsidRPr="004F68F2">
        <w:rPr>
          <w:rFonts w:ascii="Myriad Pro" w:hAnsi="Myriad Pro"/>
          <w:noProof/>
          <w:snapToGrid/>
          <w:sz w:val="20"/>
          <w:lang w:val="en-GB" w:eastAsia="en-GB"/>
        </w:rPr>
        <w:drawing>
          <wp:anchor distT="0" distB="0" distL="114300" distR="114300" simplePos="0" relativeHeight="251661312" behindDoc="0" locked="0" layoutInCell="1" allowOverlap="1" wp14:anchorId="4E064049" wp14:editId="60DD0543">
            <wp:simplePos x="0" y="0"/>
            <wp:positionH relativeFrom="column">
              <wp:posOffset>-133350</wp:posOffset>
            </wp:positionH>
            <wp:positionV relativeFrom="paragraph">
              <wp:posOffset>148590</wp:posOffset>
            </wp:positionV>
            <wp:extent cx="1450800" cy="1836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pic:spPr>
                </pic:pic>
              </a:graphicData>
            </a:graphic>
            <wp14:sizeRelH relativeFrom="margin">
              <wp14:pctWidth>0</wp14:pctWidth>
            </wp14:sizeRelH>
            <wp14:sizeRelV relativeFrom="margin">
              <wp14:pctHeight>0</wp14:pctHeight>
            </wp14:sizeRelV>
          </wp:anchor>
        </w:drawing>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2"/>
          <w:szCs w:val="22"/>
          <w:lang w:val="en-GB"/>
        </w:rPr>
      </w:pPr>
      <w:r w:rsidRPr="004F68F2">
        <w:rPr>
          <w:rFonts w:ascii="Myriad Pro" w:hAnsi="Myriad Pro"/>
          <w:b/>
          <w:bCs/>
          <w:snapToGrid/>
          <w:color w:val="709047"/>
          <w:sz w:val="22"/>
          <w:szCs w:val="22"/>
          <w:lang w:val="en-GB"/>
        </w:rPr>
        <w:t xml:space="preserve">Presentation of the special report by reporting ECA Member, </w:t>
      </w:r>
      <w:r w:rsidRPr="004F68F2">
        <w:rPr>
          <w:rFonts w:ascii="Myriad Pro" w:hAnsi="Myriad Pro"/>
          <w:b/>
          <w:bCs/>
          <w:i/>
          <w:snapToGrid/>
          <w:color w:val="709047"/>
          <w:sz w:val="22"/>
          <w:szCs w:val="22"/>
          <w:lang w:val="en-GB"/>
        </w:rPr>
        <w:t>João Figueiredo</w:t>
      </w:r>
    </w:p>
    <w:p w:rsidR="00777D87" w:rsidRPr="004F68F2" w:rsidRDefault="00777D87" w:rsidP="00726BB4">
      <w:pPr>
        <w:widowControl/>
        <w:ind w:left="-126" w:firstLine="283"/>
        <w:rPr>
          <w:rFonts w:ascii="Myriad Pro" w:eastAsia="Calibri" w:hAnsi="Myriad Pro"/>
          <w:snapToGrid/>
          <w:color w:val="000000"/>
          <w:sz w:val="20"/>
          <w:lang w:val="en-GB"/>
        </w:rPr>
      </w:pP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Rapporteur:</w:t>
      </w:r>
      <w:r w:rsidRPr="004F68F2">
        <w:rPr>
          <w:rFonts w:ascii="Myriad Pro" w:hAnsi="Myriad Pro"/>
          <w:snapToGrid/>
          <w:color w:val="000000"/>
          <w:sz w:val="20"/>
          <w:lang w:val="en-GB"/>
        </w:rPr>
        <w:tab/>
      </w:r>
      <w:hyperlink r:id="rId38" w:history="1">
        <w:r w:rsidRPr="004F68F2">
          <w:rPr>
            <w:rFonts w:ascii="Myriad Pro" w:hAnsi="Myriad Pro"/>
            <w:snapToGrid/>
            <w:color w:val="0000FF"/>
            <w:sz w:val="20"/>
            <w:u w:val="single"/>
            <w:lang w:val="en-GB"/>
          </w:rPr>
          <w:t>Lefteris Christoforou</w:t>
        </w:r>
      </w:hyperlink>
      <w:r w:rsidRPr="004F68F2">
        <w:rPr>
          <w:rFonts w:ascii="Myriad Pro" w:hAnsi="Myriad Pro"/>
          <w:snapToGrid/>
          <w:sz w:val="20"/>
          <w:lang w:val="en-GB"/>
        </w:rPr>
        <w:t xml:space="preserve"> (EPP)</w:t>
      </w: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 xml:space="preserve">Administrator: </w:t>
      </w:r>
      <w:r w:rsidRPr="004F68F2">
        <w:rPr>
          <w:rFonts w:ascii="Myriad Pro" w:hAnsi="Myriad Pro"/>
          <w:snapToGrid/>
          <w:color w:val="000000"/>
          <w:sz w:val="20"/>
          <w:lang w:val="en-GB"/>
        </w:rPr>
        <w:tab/>
        <w:t>Benoît Lefort</w:t>
      </w:r>
    </w:p>
    <w:p w:rsidR="00777D87" w:rsidRPr="004F68F2" w:rsidRDefault="00777D87" w:rsidP="00726BB4">
      <w:pPr>
        <w:widowControl/>
        <w:ind w:left="-224" w:firstLine="283"/>
        <w:jc w:val="both"/>
        <w:rPr>
          <w:rFonts w:ascii="Myriad Pro" w:eastAsia="Calibri" w:hAnsi="Myriad Pro"/>
          <w:snapToGrid/>
          <w:color w:val="000000"/>
          <w:sz w:val="20"/>
          <w:lang w:val="en-GB"/>
        </w:rPr>
      </w:pP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Shadow Rapporteurs: Sándor Rónai (S&amp;D), Pascal Durand (RE)</w:t>
      </w:r>
    </w:p>
    <w:p w:rsidR="00777D87" w:rsidRPr="004F68F2" w:rsidRDefault="00777D87" w:rsidP="00726BB4">
      <w:pPr>
        <w:widowControl/>
        <w:ind w:left="-224" w:firstLine="283"/>
        <w:rPr>
          <w:rFonts w:ascii="Myriad Pro" w:eastAsia="Calibri" w:hAnsi="Myriad Pro"/>
          <w:snapToGrid/>
          <w:color w:val="000000"/>
          <w:sz w:val="20"/>
          <w:lang w:val="en-GB"/>
        </w:rPr>
      </w:pP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noProof/>
          <w:snapToGrid/>
          <w:color w:val="000000"/>
          <w:sz w:val="20"/>
          <w:lang w:val="en-GB" w:eastAsia="en-GB"/>
        </w:rPr>
        <w:lastRenderedPageBreak/>
        <w:drawing>
          <wp:anchor distT="0" distB="0" distL="114300" distR="114300" simplePos="0" relativeHeight="251672576" behindDoc="1" locked="0" layoutInCell="1" allowOverlap="1" wp14:anchorId="1A1FC5E4" wp14:editId="4FF77A8B">
            <wp:simplePos x="0" y="0"/>
            <wp:positionH relativeFrom="margin">
              <wp:posOffset>3269317</wp:posOffset>
            </wp:positionH>
            <wp:positionV relativeFrom="paragraph">
              <wp:posOffset>287622</wp:posOffset>
            </wp:positionV>
            <wp:extent cx="2847975" cy="1901190"/>
            <wp:effectExtent l="76200" t="76200" r="85725" b="80010"/>
            <wp:wrapTight wrapText="bothSides">
              <wp:wrapPolygon edited="0">
                <wp:start x="-578" y="-866"/>
                <wp:lineTo x="-578" y="22293"/>
                <wp:lineTo x="22106" y="22293"/>
                <wp:lineTo x="22106" y="-866"/>
                <wp:lineTo x="-578" y="-866"/>
              </wp:wrapPolygon>
            </wp:wrapTight>
            <wp:docPr id="14" name="Picture 14" descr="F:\FILING PLAN_New arborescence\5 COMMUNICATION\Editorial Unit, webpage_Not to archive\Pictures and logos\Adobe Stock Images\energy efficienc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LING PLAN_New arborescence\5 COMMUNICATION\Editorial Unit, webpage_Not to archive\Pictures and logos\Adobe Stock Images\energy efficiency.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975" cy="1901190"/>
                    </a:xfrm>
                    <a:prstGeom prst="rect">
                      <a:avLst/>
                    </a:prstGeom>
                    <a:noFill/>
                    <a:ln>
                      <a:noFill/>
                    </a:ln>
                    <a:effectLst>
                      <a:glow rad="63500">
                        <a:srgbClr val="5B9BD5">
                          <a:satMod val="175000"/>
                          <a:alpha val="40000"/>
                        </a:srgbClr>
                      </a:glow>
                    </a:effectLst>
                  </pic:spPr>
                </pic:pic>
              </a:graphicData>
            </a:graphic>
            <wp14:sizeRelH relativeFrom="margin">
              <wp14:pctWidth>0</wp14:pctWidth>
            </wp14:sizeRelH>
            <wp14:sizeRelV relativeFrom="margin">
              <wp14:pctHeight>0</wp14:pctHeight>
            </wp14:sizeRelV>
          </wp:anchor>
        </w:drawing>
      </w:r>
      <w:r w:rsidRPr="004F68F2">
        <w:rPr>
          <w:rFonts w:ascii="Myriad Pro" w:hAnsi="Myriad Pro"/>
          <w:snapToGrid/>
          <w:color w:val="000000"/>
          <w:sz w:val="20"/>
          <w:lang w:val="en-GB"/>
        </w:rPr>
        <w:t>On 28 April 2020 the ECA published its Special Report n° 11/2020 “Energy efficiency in buildings: greater focus on cost-effectiveness still needed". Cost-effectiveness is not a determining factor for allocating public funding to energy efficiency measures in residential buildings, according to the ECA special report. Despite improved guidance from the European Commission, EU-funded projects still do not focus on achieving the greatest potential energy savings per euro invested. The overall contribution of EU funding to the Union’s energy efficiency targets is not clear, say the auditors.</w:t>
      </w:r>
    </w:p>
    <w:p w:rsidR="00777D87" w:rsidRPr="004F68F2" w:rsidRDefault="00777D87" w:rsidP="00726BB4">
      <w:pPr>
        <w:widowControl/>
        <w:ind w:left="-224" w:firstLine="283"/>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FF"/>
          <w:sz w:val="20"/>
          <w:lang w:val="en-GB"/>
        </w:rPr>
      </w:pPr>
      <w:r w:rsidRPr="004F68F2">
        <w:rPr>
          <w:rFonts w:ascii="Myriad Pro" w:hAnsi="Myriad Pro"/>
          <w:bCs/>
          <w:snapToGrid/>
          <w:sz w:val="20"/>
          <w:lang w:val="en-GB"/>
        </w:rPr>
        <w:t xml:space="preserve">The ECA special report is available on the </w:t>
      </w:r>
      <w:hyperlink r:id="rId40" w:history="1">
        <w:r w:rsidRPr="004F68F2">
          <w:rPr>
            <w:rFonts w:ascii="Myriad Pro" w:hAnsi="Myriad Pro"/>
            <w:bCs/>
            <w:snapToGrid/>
            <w:color w:val="0000FF"/>
            <w:sz w:val="20"/>
            <w:u w:val="single"/>
            <w:lang w:val="en-GB"/>
          </w:rPr>
          <w:t>ECA website</w:t>
        </w:r>
      </w:hyperlink>
      <w:r w:rsidRPr="004F68F2">
        <w:rPr>
          <w:rFonts w:ascii="Myriad Pro" w:hAnsi="Myriad Pro"/>
          <w:bCs/>
          <w:snapToGrid/>
          <w:sz w:val="20"/>
          <w:lang w:val="en-GB"/>
        </w:rPr>
        <w:t xml:space="preserve">. A succinct working document with the recommendations of the Rapporteur has been sent to CONT Members and is also available on the </w:t>
      </w:r>
      <w:hyperlink r:id="rId41" w:history="1">
        <w:r w:rsidRPr="004F68F2">
          <w:rPr>
            <w:rFonts w:ascii="Myriad Pro" w:hAnsi="Myriad Pro"/>
            <w:bCs/>
            <w:snapToGrid/>
            <w:color w:val="0000FF"/>
            <w:sz w:val="20"/>
            <w:u w:val="single"/>
            <w:lang w:val="en-GB"/>
          </w:rPr>
          <w:t>meeting documents</w:t>
        </w:r>
      </w:hyperlink>
      <w:r w:rsidRPr="004F68F2">
        <w:rPr>
          <w:rFonts w:ascii="Myriad Pro" w:hAnsi="Myriad Pro"/>
          <w:bCs/>
          <w:snapToGrid/>
          <w:sz w:val="20"/>
          <w:lang w:val="en-GB"/>
        </w:rPr>
        <w:t>.</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line="259" w:lineRule="auto"/>
        <w:ind w:left="-125" w:right="57" w:firstLine="283"/>
        <w:rPr>
          <w:rFonts w:ascii="Myriad Pro" w:eastAsia="Calibri" w:hAnsi="Myriad Pro"/>
          <w:b/>
          <w:bCs/>
          <w:i/>
          <w:snapToGrid/>
          <w:color w:val="709047"/>
          <w:szCs w:val="24"/>
          <w:lang w:val="en-GB"/>
          <w14:shadow w14:blurRad="50800" w14:dist="50800" w14:dir="5400000" w14:sx="0" w14:sy="0" w14:kx="0" w14:ky="0" w14:algn="ctr">
            <w14:srgbClr w14:val="000000"/>
          </w14:shadow>
        </w:rPr>
      </w:pPr>
      <w:r w:rsidRPr="004F68F2">
        <w:rPr>
          <w:rFonts w:ascii="Myriad Pro" w:hAnsi="Myriad Pro"/>
          <w:b/>
          <w:bCs/>
          <w:i/>
          <w:snapToGrid/>
          <w:color w:val="709047"/>
          <w:szCs w:val="24"/>
          <w:lang w:val="en-GB"/>
        </w:rPr>
        <w:t>16:45 - 16:50</w:t>
      </w: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8.</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Chair’s announcements: results of the votes from the first voting session</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ind w:left="-224" w:firstLine="283"/>
        <w:jc w:val="center"/>
        <w:rPr>
          <w:rFonts w:ascii="Myriad Pro" w:eastAsia="Calibri" w:hAnsi="Myriad Pro"/>
          <w:b/>
          <w:i/>
          <w:snapToGrid/>
          <w:color w:val="709047"/>
          <w:sz w:val="22"/>
          <w:szCs w:val="22"/>
          <w:lang w:val="en-GB"/>
        </w:rPr>
      </w:pPr>
      <w:r w:rsidRPr="004F68F2">
        <w:rPr>
          <w:rFonts w:ascii="Myriad Pro" w:hAnsi="Myriad Pro"/>
          <w:b/>
          <w:bCs/>
          <w:i/>
          <w:iCs/>
          <w:snapToGrid/>
          <w:color w:val="709047"/>
          <w:sz w:val="22"/>
          <w:szCs w:val="22"/>
          <w:lang w:val="en-GB"/>
        </w:rPr>
        <w:t>Opening of remote voting procedure: second voting session - final vote on CONT opinion to Establishing a Recovery and Resilience Facility as amended</w:t>
      </w:r>
    </w:p>
    <w:p w:rsidR="00777D87" w:rsidRPr="004F68F2" w:rsidRDefault="00777D87" w:rsidP="00726BB4">
      <w:pPr>
        <w:widowControl/>
        <w:ind w:left="-224" w:firstLine="283"/>
        <w:jc w:val="center"/>
        <w:rPr>
          <w:rFonts w:ascii="Myriad Pro" w:eastAsia="Calibri" w:hAnsi="Myriad Pro"/>
          <w:b/>
          <w:bCs/>
          <w:i/>
          <w:iCs/>
          <w:snapToGrid/>
          <w:color w:val="709047"/>
          <w:sz w:val="22"/>
          <w:szCs w:val="22"/>
          <w:lang w:val="en-GB" w:eastAsia="en-GB"/>
        </w:rPr>
      </w:pPr>
    </w:p>
    <w:p w:rsidR="00777D87" w:rsidRPr="004F68F2" w:rsidRDefault="00777D87" w:rsidP="00726BB4">
      <w:pPr>
        <w:widowControl/>
        <w:ind w:left="-224" w:firstLine="283"/>
        <w:jc w:val="center"/>
        <w:rPr>
          <w:rFonts w:ascii="Myriad Pro" w:eastAsia="Calibri" w:hAnsi="Myriad Pro"/>
          <w:b/>
          <w:i/>
          <w:snapToGrid/>
          <w:color w:val="709047"/>
          <w:sz w:val="22"/>
          <w:szCs w:val="22"/>
          <w:lang w:val="en-GB"/>
        </w:rPr>
      </w:pPr>
      <w:r w:rsidRPr="004F68F2">
        <w:rPr>
          <w:rFonts w:ascii="Myriad Pro" w:hAnsi="Myriad Pro"/>
          <w:b/>
          <w:bCs/>
          <w:i/>
          <w:iCs/>
          <w:snapToGrid/>
          <w:color w:val="709047"/>
          <w:sz w:val="22"/>
          <w:szCs w:val="22"/>
          <w:lang w:val="en-GB"/>
        </w:rPr>
        <w:t>Voting procedure will be open from 16.45-17.30</w:t>
      </w:r>
    </w:p>
    <w:p w:rsidR="00777D87" w:rsidRPr="004F68F2" w:rsidRDefault="00777D87" w:rsidP="00726BB4">
      <w:pPr>
        <w:widowControl/>
        <w:ind w:left="-224" w:firstLine="283"/>
        <w:jc w:val="center"/>
        <w:rPr>
          <w:rFonts w:ascii="Myriad Pro" w:eastAsia="Calibri" w:hAnsi="Myriad Pro"/>
          <w:b/>
          <w:i/>
          <w:snapToGrid/>
          <w:color w:val="709047"/>
          <w:sz w:val="22"/>
          <w:szCs w:val="22"/>
          <w:lang w:val="en-GB" w:eastAsia="en-GB"/>
        </w:rPr>
      </w:pPr>
    </w:p>
    <w:p w:rsidR="00777D87" w:rsidRPr="004F68F2" w:rsidRDefault="00777D87" w:rsidP="00726BB4">
      <w:pPr>
        <w:widowControl/>
        <w:pBdr>
          <w:top w:val="single" w:sz="4" w:space="1" w:color="auto"/>
          <w:left w:val="single" w:sz="4" w:space="4" w:color="auto"/>
          <w:bottom w:val="single" w:sz="4" w:space="1" w:color="auto"/>
          <w:right w:val="single" w:sz="4" w:space="4" w:color="auto"/>
        </w:pBdr>
        <w:spacing w:before="240" w:after="160" w:line="259" w:lineRule="auto"/>
        <w:ind w:left="-142" w:firstLine="283"/>
        <w:jc w:val="both"/>
        <w:rPr>
          <w:rFonts w:ascii="Myriad Pro" w:eastAsia="Calibri" w:hAnsi="Myriad Pro"/>
          <w:b/>
          <w:i/>
          <w:snapToGrid/>
          <w:color w:val="709047"/>
          <w:sz w:val="22"/>
          <w:szCs w:val="22"/>
          <w:lang w:val="en-GB"/>
        </w:rPr>
      </w:pPr>
      <w:r w:rsidRPr="004F68F2">
        <w:rPr>
          <w:rFonts w:ascii="Calibri" w:hAnsi="Calibri"/>
          <w:b/>
          <w:bCs/>
          <w:i/>
          <w:iCs/>
          <w:snapToGrid/>
          <w:sz w:val="22"/>
          <w:szCs w:val="22"/>
          <w:lang w:val="en-GB"/>
        </w:rPr>
        <w:t xml:space="preserve">All Members taking part in the vote (either present in committee meeting room or via remote participation) will vote via the application </w:t>
      </w:r>
      <w:r w:rsidRPr="004F68F2">
        <w:rPr>
          <w:rFonts w:ascii="Calibri" w:hAnsi="Calibri"/>
          <w:b/>
          <w:bCs/>
          <w:i/>
          <w:iCs/>
          <w:snapToGrid/>
          <w:sz w:val="22"/>
          <w:szCs w:val="22"/>
          <w:u w:val="single"/>
          <w:lang w:val="en-GB"/>
        </w:rPr>
        <w:t>EP-Vote.</w:t>
      </w:r>
    </w:p>
    <w:p w:rsidR="00777D87" w:rsidRPr="004F68F2" w:rsidRDefault="00777D87" w:rsidP="00726BB4">
      <w:pPr>
        <w:widowControl/>
        <w:spacing w:before="240" w:after="160" w:line="259" w:lineRule="auto"/>
        <w:ind w:firstLine="283"/>
        <w:jc w:val="center"/>
        <w:rPr>
          <w:rFonts w:ascii="Calibri" w:eastAsia="Calibri" w:hAnsi="Calibri"/>
          <w:snapToGrid/>
          <w:sz w:val="22"/>
          <w:szCs w:val="22"/>
          <w:lang w:val="en-GB"/>
        </w:rPr>
      </w:pPr>
      <w:r w:rsidRPr="004F68F2">
        <w:rPr>
          <w:rFonts w:ascii="Calibri" w:hAnsi="Calibri"/>
          <w:snapToGrid/>
          <w:sz w:val="22"/>
          <w:szCs w:val="22"/>
          <w:lang w:val="en-GB"/>
        </w:rPr>
        <w:t>* *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line="259" w:lineRule="auto"/>
        <w:ind w:left="-125" w:right="57" w:firstLine="283"/>
        <w:rPr>
          <w:rFonts w:ascii="Myriad Pro" w:eastAsia="Calibri" w:hAnsi="Myriad Pro"/>
          <w:b/>
          <w:bCs/>
          <w:i/>
          <w:snapToGrid/>
          <w:color w:val="709047"/>
          <w:szCs w:val="24"/>
          <w:lang w:val="en-GB"/>
        </w:rPr>
      </w:pPr>
      <w:r w:rsidRPr="004F68F2">
        <w:rPr>
          <w:rFonts w:ascii="Myriad Pro" w:hAnsi="Myriad Pro"/>
          <w:b/>
          <w:bCs/>
          <w:i/>
          <w:snapToGrid/>
          <w:color w:val="709047"/>
          <w:szCs w:val="24"/>
          <w:lang w:val="en-GB"/>
        </w:rPr>
        <w:t>16:50 - 18:15</w:t>
      </w:r>
    </w:p>
    <w:p w:rsidR="00777D87" w:rsidRPr="004F68F2" w:rsidRDefault="00777D87" w:rsidP="00726BB4">
      <w:pPr>
        <w:widowControl/>
        <w:spacing w:before="240" w:after="160" w:line="259" w:lineRule="auto"/>
        <w:ind w:left="-567" w:firstLine="283"/>
        <w:rPr>
          <w:rFonts w:ascii="Myriad Pro" w:eastAsia="Calibri" w:hAnsi="Myriad Pro"/>
          <w:b/>
          <w:bCs/>
          <w:i/>
          <w:smallCaps/>
          <w:snapToGrid/>
          <w:color w:val="538135"/>
          <w:sz w:val="28"/>
          <w:szCs w:val="28"/>
          <w:lang w:val="en-GB"/>
        </w:rPr>
      </w:pPr>
      <w:r w:rsidRPr="004F68F2">
        <w:rPr>
          <w:rFonts w:ascii="Myriad Pro" w:hAnsi="Myriad Pro"/>
          <w:b/>
          <w:bCs/>
          <w:i/>
          <w:smallCaps/>
          <w:snapToGrid/>
          <w:color w:val="385623"/>
          <w:sz w:val="36"/>
          <w:szCs w:val="28"/>
          <w:lang w:val="en-GB"/>
        </w:rPr>
        <w:t>Joint item</w:t>
      </w:r>
      <w:r w:rsidRPr="004F68F2">
        <w:rPr>
          <w:rFonts w:ascii="Myriad Pro" w:hAnsi="Myriad Pro"/>
          <w:b/>
          <w:bCs/>
          <w:i/>
          <w:smallCaps/>
          <w:snapToGrid/>
          <w:color w:val="538135"/>
          <w:sz w:val="28"/>
          <w:szCs w:val="28"/>
          <w:lang w:val="en-GB"/>
        </w:rPr>
        <w:t xml:space="preserve"> with the Committee on Environment, Public Health and Food Safety (</w:t>
      </w:r>
      <w:r w:rsidRPr="004F68F2">
        <w:rPr>
          <w:rFonts w:ascii="Myriad Pro" w:hAnsi="Myriad Pro"/>
          <w:b/>
          <w:bCs/>
          <w:i/>
          <w:smallCaps/>
          <w:snapToGrid/>
          <w:color w:val="385623"/>
          <w:sz w:val="28"/>
          <w:szCs w:val="28"/>
          <w:lang w:val="en-GB"/>
        </w:rPr>
        <w:t>ENVI</w:t>
      </w:r>
      <w:r w:rsidRPr="004F68F2">
        <w:rPr>
          <w:rFonts w:ascii="Myriad Pro" w:hAnsi="Myriad Pro"/>
          <w:b/>
          <w:bCs/>
          <w:i/>
          <w:smallCaps/>
          <w:snapToGrid/>
          <w:color w:val="538135"/>
          <w:sz w:val="28"/>
          <w:szCs w:val="28"/>
          <w:lang w:val="en-GB"/>
        </w:rPr>
        <w:t>) and the Committee on Agriculture and Rural Development (</w:t>
      </w:r>
      <w:r w:rsidRPr="004F68F2">
        <w:rPr>
          <w:rFonts w:ascii="Myriad Pro" w:hAnsi="Myriad Pro"/>
          <w:b/>
          <w:bCs/>
          <w:i/>
          <w:smallCaps/>
          <w:snapToGrid/>
          <w:color w:val="385623"/>
          <w:sz w:val="28"/>
          <w:szCs w:val="28"/>
          <w:lang w:val="en-GB"/>
        </w:rPr>
        <w:t>AGRI</w:t>
      </w:r>
      <w:r w:rsidRPr="004F68F2">
        <w:rPr>
          <w:rFonts w:ascii="Myriad Pro" w:hAnsi="Myriad Pro"/>
          <w:b/>
          <w:bCs/>
          <w:i/>
          <w:smallCaps/>
          <w:snapToGrid/>
          <w:color w:val="538135"/>
          <w:sz w:val="28"/>
          <w:szCs w:val="28"/>
          <w:lang w:val="en-GB"/>
        </w:rPr>
        <w:t>)</w:t>
      </w:r>
    </w:p>
    <w:p w:rsidR="00777D87" w:rsidRPr="004F68F2" w:rsidRDefault="00777D87" w:rsidP="00726BB4">
      <w:pPr>
        <w:widowControl/>
        <w:spacing w:before="240" w:after="160" w:line="259" w:lineRule="auto"/>
        <w:ind w:left="-142" w:firstLine="283"/>
        <w:rPr>
          <w:rFonts w:ascii="Myriad Pro" w:eastAsia="Calibri" w:hAnsi="Myriad Pro"/>
          <w:b/>
          <w:bCs/>
          <w:i/>
          <w:smallCaps/>
          <w:snapToGrid/>
          <w:color w:val="70AD47"/>
          <w:sz w:val="28"/>
          <w:szCs w:val="28"/>
          <w:lang w:val="en-GB"/>
        </w:rPr>
      </w:pPr>
      <w:r w:rsidRPr="004F68F2">
        <w:rPr>
          <w:rFonts w:ascii="Myriad Pro" w:hAnsi="Myriad Pro"/>
          <w:b/>
          <w:bCs/>
          <w:i/>
          <w:smallCaps/>
          <w:snapToGrid/>
          <w:color w:val="70AD47"/>
          <w:sz w:val="28"/>
          <w:szCs w:val="28"/>
          <w:lang w:val="en-GB"/>
        </w:rPr>
        <w:t>Implementation of Common Agricultural Policy</w:t>
      </w: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9.</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ECA Special Report 04/2020 (Discharge 2019): Using new imaging technologies to monitor the Common Agricultural Policy: steady progress overall, but slower for climate and environment monitoring</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snapToGrid/>
          <w:color w:val="0000FF"/>
          <w:sz w:val="22"/>
          <w:szCs w:val="22"/>
          <w:u w:val="single"/>
          <w:lang w:val="en-GB"/>
        </w:rPr>
      </w:pPr>
      <w:r w:rsidRPr="004F68F2">
        <w:rPr>
          <w:rFonts w:ascii="Myriad Pro" w:hAnsi="Myriad Pro"/>
          <w:snapToGrid/>
          <w:color w:val="595959"/>
          <w:sz w:val="20"/>
          <w:szCs w:val="28"/>
          <w:lang w:val="en-GB"/>
        </w:rPr>
        <w:t>CONT/9/02678</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lang w:val="en-GB"/>
        </w:rPr>
      </w:pPr>
      <w:r w:rsidRPr="004F68F2">
        <w:rPr>
          <w:rFonts w:ascii="Myriad Pro" w:hAnsi="Myriad Pro"/>
          <w:noProof/>
          <w:snapToGrid/>
          <w:sz w:val="20"/>
          <w:lang w:val="en-GB" w:eastAsia="en-GB"/>
        </w:rPr>
        <w:lastRenderedPageBreak/>
        <w:drawing>
          <wp:anchor distT="0" distB="0" distL="114300" distR="114300" simplePos="0" relativeHeight="251669504" behindDoc="0" locked="0" layoutInCell="1" allowOverlap="1" wp14:anchorId="6425019B" wp14:editId="7ABB92B6">
            <wp:simplePos x="0" y="0"/>
            <wp:positionH relativeFrom="column">
              <wp:posOffset>-132715</wp:posOffset>
            </wp:positionH>
            <wp:positionV relativeFrom="paragraph">
              <wp:posOffset>147320</wp:posOffset>
            </wp:positionV>
            <wp:extent cx="1450800" cy="1836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pic:spPr>
                </pic:pic>
              </a:graphicData>
            </a:graphic>
            <wp14:sizeRelH relativeFrom="margin">
              <wp14:pctWidth>0</wp14:pctWidth>
            </wp14:sizeRelH>
            <wp14:sizeRelV relativeFrom="margin">
              <wp14:pctHeight>0</wp14:pctHeight>
            </wp14:sizeRelV>
          </wp:anchor>
        </w:drawing>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2"/>
          <w:szCs w:val="22"/>
          <w:lang w:val="en-GB"/>
        </w:rPr>
      </w:pPr>
      <w:r w:rsidRPr="004F68F2">
        <w:rPr>
          <w:rFonts w:ascii="Myriad Pro" w:hAnsi="Myriad Pro"/>
          <w:b/>
          <w:bCs/>
          <w:snapToGrid/>
          <w:color w:val="709047"/>
          <w:sz w:val="22"/>
          <w:szCs w:val="22"/>
          <w:lang w:val="en-GB"/>
        </w:rPr>
        <w:t xml:space="preserve">Presentation of the special report by reporting ECA Member, </w:t>
      </w:r>
      <w:r w:rsidRPr="004F68F2">
        <w:rPr>
          <w:rFonts w:ascii="Myriad Pro" w:hAnsi="Myriad Pro"/>
          <w:b/>
          <w:bCs/>
          <w:i/>
          <w:snapToGrid/>
          <w:color w:val="709047"/>
          <w:sz w:val="22"/>
          <w:szCs w:val="22"/>
          <w:lang w:val="en-GB"/>
        </w:rPr>
        <w:t>Nikolaos Milionis</w:t>
      </w:r>
    </w:p>
    <w:p w:rsidR="00777D87" w:rsidRPr="004F68F2" w:rsidRDefault="00777D87" w:rsidP="00726BB4">
      <w:pPr>
        <w:widowControl/>
        <w:ind w:left="-126" w:firstLine="283"/>
        <w:rPr>
          <w:rFonts w:ascii="Myriad Pro" w:eastAsia="Calibri" w:hAnsi="Myriad Pro"/>
          <w:snapToGrid/>
          <w:color w:val="000000"/>
          <w:sz w:val="20"/>
          <w:lang w:val="en-GB"/>
        </w:rPr>
      </w:pP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Rapporteur:</w:t>
      </w:r>
      <w:r w:rsidRPr="004F68F2">
        <w:rPr>
          <w:rFonts w:ascii="Myriad Pro" w:hAnsi="Myriad Pro"/>
          <w:snapToGrid/>
          <w:color w:val="000000"/>
          <w:sz w:val="20"/>
          <w:lang w:val="en-GB"/>
        </w:rPr>
        <w:tab/>
      </w:r>
      <w:hyperlink r:id="rId43" w:history="1">
        <w:r w:rsidRPr="004F68F2">
          <w:rPr>
            <w:rFonts w:ascii="Myriad Pro" w:hAnsi="Myriad Pro"/>
            <w:snapToGrid/>
            <w:color w:val="0000FF"/>
            <w:sz w:val="20"/>
            <w:u w:val="single"/>
            <w:lang w:val="en-GB"/>
          </w:rPr>
          <w:t>Luke Ming Flanagan</w:t>
        </w:r>
      </w:hyperlink>
      <w:r w:rsidRPr="004F68F2">
        <w:rPr>
          <w:rFonts w:ascii="Myriad Pro" w:hAnsi="Myriad Pro"/>
          <w:snapToGrid/>
          <w:sz w:val="20"/>
          <w:lang w:val="en-GB"/>
        </w:rPr>
        <w:t xml:space="preserve"> (GUE/NGL)</w:t>
      </w: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 xml:space="preserve">Administrator: </w:t>
      </w:r>
      <w:r w:rsidRPr="004F68F2">
        <w:rPr>
          <w:rFonts w:ascii="Myriad Pro" w:hAnsi="Myriad Pro"/>
          <w:snapToGrid/>
          <w:color w:val="000000"/>
          <w:sz w:val="20"/>
          <w:lang w:val="en-GB"/>
        </w:rPr>
        <w:tab/>
        <w:t>Benoît Lefort</w:t>
      </w:r>
    </w:p>
    <w:p w:rsidR="00777D87" w:rsidRPr="004F68F2" w:rsidRDefault="00777D87" w:rsidP="00726BB4">
      <w:pPr>
        <w:widowControl/>
        <w:ind w:left="-224" w:firstLine="283"/>
        <w:jc w:val="both"/>
        <w:rPr>
          <w:rFonts w:ascii="Myriad Pro" w:eastAsia="Calibri" w:hAnsi="Myriad Pro"/>
          <w:snapToGrid/>
          <w:color w:val="000000"/>
          <w:sz w:val="20"/>
          <w:lang w:val="en-GB"/>
        </w:rPr>
      </w:pP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Shadow Rapporteurs: Lefteris Christoforou (EPP), Isabel G</w:t>
      </w:r>
      <w:r w:rsidRPr="004F68F2">
        <w:rPr>
          <w:rFonts w:ascii="Myriad Pro" w:hAnsi="Myriad Pro"/>
          <w:snapToGrid/>
          <w:color w:val="000000"/>
          <w:sz w:val="18"/>
          <w:lang w:val="en-GB"/>
        </w:rPr>
        <w:t>arcía</w:t>
      </w:r>
      <w:r w:rsidRPr="004F68F2">
        <w:rPr>
          <w:rFonts w:ascii="Myriad Pro" w:hAnsi="Myriad Pro"/>
          <w:snapToGrid/>
          <w:color w:val="000000"/>
          <w:sz w:val="20"/>
          <w:lang w:val="en-GB"/>
        </w:rPr>
        <w:t xml:space="preserve"> Muñoz (S&amp;D), Martina Dlabajová (RE)</w:t>
      </w:r>
    </w:p>
    <w:p w:rsidR="00777D87" w:rsidRPr="004F68F2" w:rsidRDefault="00777D87" w:rsidP="00726BB4">
      <w:pPr>
        <w:widowControl/>
        <w:ind w:left="-224" w:firstLine="283"/>
        <w:rPr>
          <w:rFonts w:ascii="Myriad Pro" w:eastAsia="Calibri" w:hAnsi="Myriad Pro"/>
          <w:snapToGrid/>
          <w:color w:val="000000"/>
          <w:sz w:val="20"/>
          <w:lang w:val="en-GB"/>
        </w:rPr>
      </w:pP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On 28 January 2020 the ECA published its Special Report n° 4/2020 “Using new imaging technologies to monitor the Common Agricultural Policy: steady progress overall, but slower for climate and environment monitoring". The European Commission has promoted the uptake of new imaging technologies in agri-monitoring, but a number of obstacles to their more widespread use remain, according to the ECA special report. Technologies such as the EU’s Copernicus Sentinel satellites are a potential game-changer for managing and monitoring the common agricultural policy (CAP). However, while the EU has in recent years encouraged their use to assess area-based direct aid to farmers, progress has been slower on using them to monitor environmental and climate requirements, say the auditors.</w:t>
      </w:r>
      <w:r w:rsidRPr="004F68F2">
        <w:rPr>
          <w:noProof/>
          <w:lang w:val="en-GB" w:eastAsia="en-GB"/>
        </w:rPr>
        <w:drawing>
          <wp:anchor distT="0" distB="0" distL="114300" distR="114300" simplePos="0" relativeHeight="251673600" behindDoc="1" locked="0" layoutInCell="1" allowOverlap="1" wp14:anchorId="08F8568B" wp14:editId="3A1CC0E1">
            <wp:simplePos x="0" y="0"/>
            <wp:positionH relativeFrom="margin">
              <wp:posOffset>2844800</wp:posOffset>
            </wp:positionH>
            <wp:positionV relativeFrom="paragraph">
              <wp:posOffset>36830</wp:posOffset>
            </wp:positionV>
            <wp:extent cx="3248660" cy="1533525"/>
            <wp:effectExtent l="76200" t="76200" r="85090" b="85725"/>
            <wp:wrapTight wrapText="bothSides">
              <wp:wrapPolygon edited="0">
                <wp:start x="-507" y="-1073"/>
                <wp:lineTo x="-507" y="22539"/>
                <wp:lineTo x="22039" y="22539"/>
                <wp:lineTo x="22039" y="-1073"/>
                <wp:lineTo x="-507" y="-1073"/>
              </wp:wrapPolygon>
            </wp:wrapTight>
            <wp:docPr id="18" name="Picture 18" descr="F:\FILING PLAN_New arborescence\5 COMMUNICATION\Editorial Unit, webpage_Not to archive\Pictures and logos\Adobe Stock Images\imaging technologies to monitor C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LING PLAN_New arborescence\5 COMMUNICATION\Editorial Unit, webpage_Not to archive\Pictures and logos\Adobe Stock Images\imaging technologies to monitor CAP.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8660" cy="1533525"/>
                    </a:xfrm>
                    <a:prstGeom prst="rect">
                      <a:avLst/>
                    </a:prstGeom>
                    <a:noFill/>
                    <a:ln>
                      <a:noFill/>
                    </a:ln>
                    <a:effectLst>
                      <a:glow rad="63500">
                        <a:srgbClr val="4472C4">
                          <a:satMod val="175000"/>
                          <a:alpha val="40000"/>
                        </a:srgbClr>
                      </a:glow>
                    </a:effectLst>
                  </pic:spPr>
                </pic:pic>
              </a:graphicData>
            </a:graphic>
            <wp14:sizeRelH relativeFrom="margin">
              <wp14:pctWidth>0</wp14:pctWidth>
            </wp14:sizeRelH>
            <wp14:sizeRelV relativeFrom="margin">
              <wp14:pctHeight>0</wp14:pctHeight>
            </wp14:sizeRelV>
          </wp:anchor>
        </w:drawing>
      </w:r>
    </w:p>
    <w:p w:rsidR="00777D87" w:rsidRPr="004F68F2" w:rsidRDefault="00777D87" w:rsidP="00726BB4">
      <w:pPr>
        <w:widowControl/>
        <w:ind w:left="-224" w:firstLine="283"/>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FF"/>
          <w:sz w:val="20"/>
          <w:lang w:val="en-GB"/>
        </w:rPr>
      </w:pPr>
      <w:r w:rsidRPr="004F68F2">
        <w:rPr>
          <w:rFonts w:ascii="Myriad Pro" w:hAnsi="Myriad Pro"/>
          <w:bCs/>
          <w:snapToGrid/>
          <w:sz w:val="20"/>
          <w:lang w:val="en-GB"/>
        </w:rPr>
        <w:t xml:space="preserve">The ECA special report is available on the </w:t>
      </w:r>
      <w:hyperlink r:id="rId45" w:history="1">
        <w:r w:rsidRPr="004F68F2">
          <w:rPr>
            <w:rFonts w:ascii="Myriad Pro" w:hAnsi="Myriad Pro"/>
            <w:bCs/>
            <w:snapToGrid/>
            <w:color w:val="0000FF"/>
            <w:sz w:val="20"/>
            <w:u w:val="single"/>
            <w:lang w:val="en-GB"/>
          </w:rPr>
          <w:t>ECA website</w:t>
        </w:r>
      </w:hyperlink>
      <w:r w:rsidRPr="004F68F2">
        <w:rPr>
          <w:rFonts w:ascii="Myriad Pro" w:hAnsi="Myriad Pro"/>
          <w:bCs/>
          <w:snapToGrid/>
          <w:sz w:val="20"/>
          <w:lang w:val="en-GB"/>
        </w:rPr>
        <w:t xml:space="preserve">. A succinct working document was circulated to Members. The </w:t>
      </w:r>
      <w:r w:rsidRPr="004F68F2">
        <w:rPr>
          <w:rFonts w:ascii="Myriad Pro" w:hAnsi="Myriad Pro"/>
          <w:b/>
          <w:bCs/>
          <w:snapToGrid/>
          <w:sz w:val="20"/>
          <w:lang w:val="en-GB"/>
        </w:rPr>
        <w:t>recommendations by the Rapporteur</w:t>
      </w:r>
      <w:r w:rsidRPr="004F68F2">
        <w:rPr>
          <w:rFonts w:ascii="Myriad Pro" w:hAnsi="Myriad Pro"/>
          <w:bCs/>
          <w:snapToGrid/>
          <w:sz w:val="20"/>
          <w:lang w:val="en-GB"/>
        </w:rPr>
        <w:t xml:space="preserve"> of this special report </w:t>
      </w:r>
      <w:r w:rsidRPr="004F68F2">
        <w:rPr>
          <w:rFonts w:ascii="Myriad Pro" w:hAnsi="Myriad Pro"/>
          <w:b/>
          <w:bCs/>
          <w:snapToGrid/>
          <w:sz w:val="20"/>
          <w:lang w:val="en-GB"/>
        </w:rPr>
        <w:t>will be finalised after the presentation in CONT Committee</w:t>
      </w:r>
      <w:r w:rsidRPr="004F68F2">
        <w:rPr>
          <w:rFonts w:ascii="Myriad Pro" w:hAnsi="Myriad Pro"/>
          <w:bCs/>
          <w:snapToGrid/>
          <w:sz w:val="20"/>
          <w:lang w:val="en-GB"/>
        </w:rPr>
        <w:t xml:space="preserve"> and will be circulated to CONT Members afterwards.</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10.</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ECA Special Report 13/2020 (Discharge 2019): Biodiversity on farmland: CAP contribution has not halted the decline</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snapToGrid/>
          <w:color w:val="0000FF"/>
          <w:sz w:val="22"/>
          <w:szCs w:val="22"/>
          <w:u w:val="single"/>
          <w:lang w:val="en-GB"/>
        </w:rPr>
      </w:pPr>
      <w:r w:rsidRPr="004F68F2">
        <w:rPr>
          <w:rFonts w:ascii="Myriad Pro" w:hAnsi="Myriad Pro"/>
          <w:snapToGrid/>
          <w:color w:val="595959"/>
          <w:sz w:val="20"/>
          <w:szCs w:val="28"/>
          <w:lang w:val="en-GB"/>
        </w:rPr>
        <w:t>CONT/9/03493</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lang w:val="en-GB"/>
        </w:rPr>
      </w:pPr>
      <w:r w:rsidRPr="004F68F2">
        <w:rPr>
          <w:rFonts w:ascii="Myriad Pro" w:hAnsi="Myriad Pro"/>
          <w:noProof/>
          <w:snapToGrid/>
          <w:sz w:val="20"/>
          <w:lang w:val="en-GB" w:eastAsia="en-GB"/>
        </w:rPr>
        <w:drawing>
          <wp:anchor distT="0" distB="0" distL="114300" distR="114300" simplePos="0" relativeHeight="251666432" behindDoc="0" locked="0" layoutInCell="1" allowOverlap="1" wp14:anchorId="7C203BEB" wp14:editId="7BA7B1CF">
            <wp:simplePos x="0" y="0"/>
            <wp:positionH relativeFrom="column">
              <wp:posOffset>-132715</wp:posOffset>
            </wp:positionH>
            <wp:positionV relativeFrom="paragraph">
              <wp:posOffset>147320</wp:posOffset>
            </wp:positionV>
            <wp:extent cx="1450800" cy="1836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pic:spPr>
                </pic:pic>
              </a:graphicData>
            </a:graphic>
            <wp14:sizeRelH relativeFrom="margin">
              <wp14:pctWidth>0</wp14:pctWidth>
            </wp14:sizeRelH>
            <wp14:sizeRelV relativeFrom="margin">
              <wp14:pctHeight>0</wp14:pctHeight>
            </wp14:sizeRelV>
          </wp:anchor>
        </w:drawing>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2"/>
          <w:szCs w:val="22"/>
          <w:lang w:val="en-GB"/>
        </w:rPr>
      </w:pPr>
      <w:r w:rsidRPr="004F68F2">
        <w:rPr>
          <w:rFonts w:ascii="Myriad Pro" w:hAnsi="Myriad Pro"/>
          <w:b/>
          <w:bCs/>
          <w:snapToGrid/>
          <w:color w:val="709047"/>
          <w:sz w:val="22"/>
          <w:szCs w:val="22"/>
          <w:lang w:val="en-GB"/>
        </w:rPr>
        <w:t xml:space="preserve">Presentation of the special report by reporting ECA Member, </w:t>
      </w:r>
      <w:r w:rsidRPr="004F68F2">
        <w:rPr>
          <w:rFonts w:ascii="Myriad Pro" w:hAnsi="Myriad Pro"/>
          <w:b/>
          <w:bCs/>
          <w:i/>
          <w:snapToGrid/>
          <w:color w:val="709047"/>
          <w:sz w:val="22"/>
          <w:szCs w:val="22"/>
          <w:lang w:val="en-GB"/>
        </w:rPr>
        <w:t>Viorel Ștefan</w:t>
      </w:r>
    </w:p>
    <w:p w:rsidR="00777D87" w:rsidRPr="004F68F2" w:rsidRDefault="00777D87" w:rsidP="00726BB4">
      <w:pPr>
        <w:widowControl/>
        <w:ind w:left="-126" w:firstLine="283"/>
        <w:rPr>
          <w:rFonts w:ascii="Myriad Pro" w:eastAsia="Calibri" w:hAnsi="Myriad Pro"/>
          <w:snapToGrid/>
          <w:color w:val="000000"/>
          <w:sz w:val="20"/>
          <w:lang w:val="en-GB"/>
        </w:rPr>
      </w:pP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Rapporteur:</w:t>
      </w:r>
      <w:r w:rsidRPr="004F68F2">
        <w:rPr>
          <w:rFonts w:ascii="Myriad Pro" w:hAnsi="Myriad Pro"/>
          <w:snapToGrid/>
          <w:color w:val="000000"/>
          <w:sz w:val="20"/>
          <w:lang w:val="en-GB"/>
        </w:rPr>
        <w:tab/>
      </w:r>
      <w:hyperlink r:id="rId47" w:history="1">
        <w:r w:rsidRPr="004F68F2">
          <w:rPr>
            <w:rFonts w:ascii="Myriad Pro" w:hAnsi="Myriad Pro"/>
            <w:snapToGrid/>
            <w:color w:val="0000FF"/>
            <w:sz w:val="20"/>
            <w:u w:val="single"/>
            <w:lang w:val="en-GB"/>
          </w:rPr>
          <w:t>Viola Von Cramon-Taubadel</w:t>
        </w:r>
      </w:hyperlink>
      <w:r w:rsidRPr="004F68F2">
        <w:rPr>
          <w:rFonts w:ascii="Myriad Pro" w:hAnsi="Myriad Pro"/>
          <w:snapToGrid/>
          <w:sz w:val="20"/>
          <w:lang w:val="en-GB"/>
        </w:rPr>
        <w:t xml:space="preserve"> (Greens)</w:t>
      </w: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 xml:space="preserve">Administrator: </w:t>
      </w:r>
      <w:r w:rsidRPr="004F68F2">
        <w:rPr>
          <w:rFonts w:ascii="Myriad Pro" w:hAnsi="Myriad Pro"/>
          <w:snapToGrid/>
          <w:color w:val="000000"/>
          <w:sz w:val="20"/>
          <w:lang w:val="en-GB"/>
        </w:rPr>
        <w:tab/>
        <w:t>Hans Stander</w:t>
      </w:r>
    </w:p>
    <w:p w:rsidR="00777D87" w:rsidRPr="004F68F2" w:rsidRDefault="00777D87" w:rsidP="00726BB4">
      <w:pPr>
        <w:widowControl/>
        <w:ind w:left="-224" w:firstLine="283"/>
        <w:jc w:val="both"/>
        <w:rPr>
          <w:rFonts w:ascii="Myriad Pro" w:eastAsia="Calibri" w:hAnsi="Myriad Pro"/>
          <w:snapToGrid/>
          <w:color w:val="000000"/>
          <w:sz w:val="20"/>
          <w:lang w:val="en-GB"/>
        </w:rPr>
      </w:pP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Shadow Rapporteurs: Maria Grapini (S&amp;D)</w:t>
      </w:r>
    </w:p>
    <w:p w:rsidR="00777D87" w:rsidRPr="004F68F2" w:rsidRDefault="00777D87" w:rsidP="00726BB4">
      <w:pPr>
        <w:widowControl/>
        <w:ind w:left="-224" w:firstLine="283"/>
        <w:rPr>
          <w:rFonts w:ascii="Myriad Pro" w:eastAsia="Calibri" w:hAnsi="Myriad Pro"/>
          <w:snapToGrid/>
          <w:color w:val="000000"/>
          <w:sz w:val="20"/>
          <w:lang w:val="en-GB"/>
        </w:rPr>
      </w:pP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On 5 June 2020 the ECA published its Special Report n° 13/2020 “Biodiversity on farmland: CAP contribution has not halted the decline”. In its conclusions, the Court of auditors was relatively critical about the contribution of the CAP (financial) instruments towards the biodiversity targets. In particular as regards cross compliance and greening.</w:t>
      </w: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noProof/>
          <w:snapToGrid/>
          <w:color w:val="000000"/>
          <w:sz w:val="20"/>
          <w:lang w:val="en-GB" w:eastAsia="en-GB"/>
        </w:rPr>
        <w:lastRenderedPageBreak/>
        <w:drawing>
          <wp:anchor distT="0" distB="0" distL="114300" distR="114300" simplePos="0" relativeHeight="251674624" behindDoc="1" locked="0" layoutInCell="1" allowOverlap="1" wp14:anchorId="6B5D53BF" wp14:editId="7662C8D5">
            <wp:simplePos x="0" y="0"/>
            <wp:positionH relativeFrom="column">
              <wp:posOffset>3411220</wp:posOffset>
            </wp:positionH>
            <wp:positionV relativeFrom="paragraph">
              <wp:posOffset>81915</wp:posOffset>
            </wp:positionV>
            <wp:extent cx="2822575" cy="1764665"/>
            <wp:effectExtent l="76200" t="76200" r="73025" b="83185"/>
            <wp:wrapTight wrapText="bothSides">
              <wp:wrapPolygon edited="0">
                <wp:start x="-583" y="-933"/>
                <wp:lineTo x="-583" y="22385"/>
                <wp:lineTo x="22013" y="22385"/>
                <wp:lineTo x="22013" y="-933"/>
                <wp:lineTo x="-583" y="-933"/>
              </wp:wrapPolygon>
            </wp:wrapTight>
            <wp:docPr id="22" name="Picture 22" descr="F:\FILING PLAN_New arborescence\5 COMMUNICATION\Editorial Unit, webpage_Not to archive\Pictures and logos\Adobe Stock Images\biodiversity on farml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ILING PLAN_New arborescence\5 COMMUNICATION\Editorial Unit, webpage_Not to archive\Pictures and logos\Adobe Stock Images\biodiversity on farmland.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2575" cy="1764665"/>
                    </a:xfrm>
                    <a:prstGeom prst="rect">
                      <a:avLst/>
                    </a:prstGeom>
                    <a:noFill/>
                    <a:ln>
                      <a:noFill/>
                    </a:ln>
                    <a:effectLst>
                      <a:glow rad="63500">
                        <a:srgbClr val="4472C4">
                          <a:satMod val="175000"/>
                          <a:alpha val="40000"/>
                        </a:srgbClr>
                      </a:glow>
                    </a:effectLst>
                  </pic:spPr>
                </pic:pic>
              </a:graphicData>
            </a:graphic>
            <wp14:sizeRelH relativeFrom="margin">
              <wp14:pctWidth>0</wp14:pctWidth>
            </wp14:sizeRelH>
            <wp14:sizeRelV relativeFrom="margin">
              <wp14:pctHeight>0</wp14:pctHeight>
            </wp14:sizeRelV>
          </wp:anchor>
        </w:drawing>
      </w: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The Rapporteur invited Professor Dr. Sebastian Lakner, head of the chair of agriculture economics at Rostock University, to present his views on the findings of the Court and on opportunities for improvement of the CAP.</w:t>
      </w:r>
    </w:p>
    <w:p w:rsidR="00777D87" w:rsidRPr="004F68F2" w:rsidRDefault="00777D87" w:rsidP="00726BB4">
      <w:pPr>
        <w:widowControl/>
        <w:ind w:left="-224" w:firstLine="283"/>
        <w:jc w:val="both"/>
        <w:rPr>
          <w:rFonts w:ascii="Myriad Pro" w:eastAsia="Calibri" w:hAnsi="Myriad Pro"/>
          <w:snapToGrid/>
          <w:color w:val="000000"/>
          <w:sz w:val="20"/>
          <w:lang w:val="en-GB"/>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FF"/>
          <w:sz w:val="20"/>
          <w:lang w:val="en-GB"/>
        </w:rPr>
      </w:pPr>
      <w:r w:rsidRPr="004F68F2">
        <w:rPr>
          <w:rFonts w:ascii="Myriad Pro" w:hAnsi="Myriad Pro"/>
          <w:bCs/>
          <w:snapToGrid/>
          <w:sz w:val="20"/>
          <w:lang w:val="en-GB"/>
        </w:rPr>
        <w:t xml:space="preserve">The ECA special report is available on the </w:t>
      </w:r>
      <w:hyperlink r:id="rId49" w:history="1">
        <w:r w:rsidRPr="004F68F2">
          <w:rPr>
            <w:rFonts w:ascii="Myriad Pro" w:hAnsi="Myriad Pro"/>
            <w:bCs/>
            <w:snapToGrid/>
            <w:color w:val="0000FF"/>
            <w:sz w:val="20"/>
            <w:u w:val="single"/>
            <w:lang w:val="en-GB"/>
          </w:rPr>
          <w:t>ECA website</w:t>
        </w:r>
      </w:hyperlink>
      <w:r w:rsidRPr="004F68F2">
        <w:rPr>
          <w:rFonts w:ascii="Myriad Pro" w:hAnsi="Myriad Pro"/>
          <w:bCs/>
          <w:snapToGrid/>
          <w:sz w:val="20"/>
          <w:lang w:val="en-GB"/>
        </w:rPr>
        <w:t xml:space="preserve">. A succinct working document was circulated to Members. The </w:t>
      </w:r>
      <w:r w:rsidRPr="004F68F2">
        <w:rPr>
          <w:rFonts w:ascii="Myriad Pro" w:hAnsi="Myriad Pro"/>
          <w:b/>
          <w:bCs/>
          <w:snapToGrid/>
          <w:sz w:val="20"/>
          <w:lang w:val="en-GB"/>
        </w:rPr>
        <w:t>recommendations by the Rapporteur</w:t>
      </w:r>
      <w:r w:rsidRPr="004F68F2">
        <w:rPr>
          <w:rFonts w:ascii="Myriad Pro" w:hAnsi="Myriad Pro"/>
          <w:bCs/>
          <w:snapToGrid/>
          <w:sz w:val="20"/>
          <w:lang w:val="en-GB"/>
        </w:rPr>
        <w:t xml:space="preserve"> of this Special Report </w:t>
      </w:r>
      <w:r w:rsidRPr="004F68F2">
        <w:rPr>
          <w:rFonts w:ascii="Myriad Pro" w:hAnsi="Myriad Pro"/>
          <w:b/>
          <w:bCs/>
          <w:snapToGrid/>
          <w:sz w:val="20"/>
          <w:lang w:val="en-GB"/>
        </w:rPr>
        <w:t>will be finalised after the presentation in CONT Committee</w:t>
      </w:r>
      <w:r w:rsidRPr="004F68F2">
        <w:rPr>
          <w:rFonts w:ascii="Myriad Pro" w:hAnsi="Myriad Pro"/>
          <w:bCs/>
          <w:snapToGrid/>
          <w:sz w:val="20"/>
          <w:lang w:val="en-GB"/>
        </w:rPr>
        <w:t xml:space="preserve"> and will be circulated to CONT Members afterwards.</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spacing w:before="240" w:after="160" w:line="259" w:lineRule="auto"/>
        <w:ind w:firstLine="283"/>
        <w:jc w:val="center"/>
        <w:rPr>
          <w:rFonts w:ascii="Calibri" w:eastAsia="Calibri" w:hAnsi="Calibri"/>
          <w:snapToGrid/>
          <w:sz w:val="22"/>
          <w:szCs w:val="22"/>
          <w:lang w:val="en-GB"/>
        </w:rPr>
      </w:pPr>
      <w:r w:rsidRPr="004F68F2">
        <w:rPr>
          <w:rFonts w:ascii="Calibri" w:hAnsi="Calibri"/>
          <w:snapToGrid/>
          <w:sz w:val="22"/>
          <w:szCs w:val="22"/>
          <w:lang w:val="en-GB"/>
        </w:rPr>
        <w:t>* *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line="259" w:lineRule="auto"/>
        <w:ind w:left="-125" w:right="57" w:firstLine="283"/>
        <w:rPr>
          <w:rFonts w:ascii="Myriad Pro" w:eastAsia="Calibri" w:hAnsi="Myriad Pro"/>
          <w:b/>
          <w:bCs/>
          <w:i/>
          <w:snapToGrid/>
          <w:color w:val="709047"/>
          <w:szCs w:val="24"/>
          <w:lang w:val="en-GB"/>
        </w:rPr>
      </w:pPr>
      <w:r w:rsidRPr="004F68F2">
        <w:rPr>
          <w:rFonts w:ascii="Myriad Pro" w:hAnsi="Myriad Pro"/>
          <w:b/>
          <w:bCs/>
          <w:i/>
          <w:snapToGrid/>
          <w:color w:val="709047"/>
          <w:szCs w:val="24"/>
          <w:lang w:val="en-GB"/>
        </w:rPr>
        <w:t>18:15 - 18:45</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spacing w:before="240" w:after="160" w:line="259" w:lineRule="auto"/>
        <w:ind w:left="-142" w:firstLine="283"/>
        <w:rPr>
          <w:rFonts w:ascii="Myriad Pro" w:eastAsia="Calibri" w:hAnsi="Myriad Pro"/>
          <w:b/>
          <w:bCs/>
          <w:i/>
          <w:smallCaps/>
          <w:snapToGrid/>
          <w:color w:val="70AD47"/>
          <w:sz w:val="28"/>
          <w:szCs w:val="28"/>
          <w:lang w:val="en-GB"/>
        </w:rPr>
      </w:pPr>
      <w:r w:rsidRPr="004F68F2">
        <w:rPr>
          <w:rFonts w:ascii="Myriad Pro" w:hAnsi="Myriad Pro"/>
          <w:b/>
          <w:bCs/>
          <w:i/>
          <w:smallCaps/>
          <w:snapToGrid/>
          <w:color w:val="70AD47"/>
          <w:sz w:val="28"/>
          <w:szCs w:val="28"/>
          <w:lang w:val="en-GB"/>
        </w:rPr>
        <w:t>Implementation of Cohesion Policy</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11.</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ECA Special Report 7/2020 (Discharge 2019): Implementing Cohesion policy: comparatively low costs, but insufficient information to assess simplification savings</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snapToGrid/>
          <w:color w:val="0000FF"/>
          <w:sz w:val="22"/>
          <w:szCs w:val="22"/>
          <w:u w:val="single"/>
          <w:lang w:val="en-GB"/>
        </w:rPr>
      </w:pPr>
      <w:r w:rsidRPr="004F68F2">
        <w:rPr>
          <w:rFonts w:ascii="Myriad Pro" w:hAnsi="Myriad Pro"/>
          <w:snapToGrid/>
          <w:color w:val="595959"/>
          <w:sz w:val="20"/>
          <w:szCs w:val="28"/>
          <w:lang w:val="en-GB"/>
        </w:rPr>
        <w:t>CONT/9/03246</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lang w:val="en-GB"/>
        </w:rPr>
      </w:pPr>
      <w:r w:rsidRPr="004F68F2">
        <w:rPr>
          <w:rFonts w:ascii="Myriad Pro" w:hAnsi="Myriad Pro"/>
          <w:noProof/>
          <w:snapToGrid/>
          <w:sz w:val="20"/>
          <w:lang w:val="en-GB" w:eastAsia="en-GB"/>
        </w:rPr>
        <w:drawing>
          <wp:anchor distT="0" distB="0" distL="114300" distR="114300" simplePos="0" relativeHeight="251667456" behindDoc="0" locked="0" layoutInCell="1" allowOverlap="1" wp14:anchorId="46BF9CB9" wp14:editId="3FEC3D19">
            <wp:simplePos x="0" y="0"/>
            <wp:positionH relativeFrom="column">
              <wp:posOffset>-168910</wp:posOffset>
            </wp:positionH>
            <wp:positionV relativeFrom="paragraph">
              <wp:posOffset>148590</wp:posOffset>
            </wp:positionV>
            <wp:extent cx="1450800" cy="1836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pic:spPr>
                </pic:pic>
              </a:graphicData>
            </a:graphic>
            <wp14:sizeRelH relativeFrom="margin">
              <wp14:pctWidth>0</wp14:pctWidth>
            </wp14:sizeRelH>
            <wp14:sizeRelV relativeFrom="margin">
              <wp14:pctHeight>0</wp14:pctHeight>
            </wp14:sizeRelV>
          </wp:anchor>
        </w:drawing>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2"/>
          <w:szCs w:val="22"/>
          <w:lang w:val="en-GB"/>
        </w:rPr>
      </w:pPr>
      <w:r w:rsidRPr="004F68F2">
        <w:rPr>
          <w:rFonts w:ascii="Myriad Pro" w:hAnsi="Myriad Pro"/>
          <w:b/>
          <w:bCs/>
          <w:snapToGrid/>
          <w:color w:val="709047"/>
          <w:sz w:val="22"/>
          <w:szCs w:val="22"/>
          <w:lang w:val="en-GB"/>
        </w:rPr>
        <w:t xml:space="preserve">Presentation of the special report by reporting ECA Member, </w:t>
      </w:r>
      <w:r w:rsidRPr="004F68F2">
        <w:rPr>
          <w:rFonts w:ascii="Myriad Pro" w:hAnsi="Myriad Pro"/>
          <w:b/>
          <w:bCs/>
          <w:i/>
          <w:snapToGrid/>
          <w:color w:val="709047"/>
          <w:sz w:val="22"/>
          <w:szCs w:val="22"/>
          <w:lang w:val="en-GB"/>
        </w:rPr>
        <w:t>Pietro Russo</w:t>
      </w:r>
    </w:p>
    <w:p w:rsidR="00777D87" w:rsidRPr="004F68F2" w:rsidRDefault="00777D87" w:rsidP="00726BB4">
      <w:pPr>
        <w:widowControl/>
        <w:ind w:left="-126" w:firstLine="283"/>
        <w:rPr>
          <w:rFonts w:ascii="Myriad Pro" w:eastAsia="Calibri" w:hAnsi="Myriad Pro"/>
          <w:snapToGrid/>
          <w:color w:val="000000"/>
          <w:sz w:val="20"/>
          <w:lang w:val="en-GB"/>
        </w:rPr>
      </w:pP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Rapporteur:</w:t>
      </w:r>
      <w:r w:rsidRPr="004F68F2">
        <w:rPr>
          <w:rFonts w:ascii="Myriad Pro" w:hAnsi="Myriad Pro"/>
          <w:snapToGrid/>
          <w:color w:val="000000"/>
          <w:sz w:val="20"/>
          <w:lang w:val="en-GB"/>
        </w:rPr>
        <w:tab/>
      </w:r>
      <w:hyperlink r:id="rId50" w:history="1">
        <w:r w:rsidRPr="004F68F2">
          <w:rPr>
            <w:rFonts w:ascii="Myriad Pro" w:hAnsi="Myriad Pro"/>
            <w:snapToGrid/>
            <w:color w:val="0000FF"/>
            <w:sz w:val="20"/>
            <w:u w:val="single"/>
            <w:lang w:val="en-GB"/>
          </w:rPr>
          <w:t>Viola Von Cramon-Taubadel</w:t>
        </w:r>
      </w:hyperlink>
      <w:r w:rsidRPr="004F68F2">
        <w:rPr>
          <w:rFonts w:ascii="Myriad Pro" w:hAnsi="Myriad Pro"/>
          <w:snapToGrid/>
          <w:sz w:val="20"/>
          <w:lang w:val="en-GB"/>
        </w:rPr>
        <w:t xml:space="preserve"> (Greens)</w:t>
      </w:r>
    </w:p>
    <w:p w:rsidR="00777D87" w:rsidRPr="004F68F2" w:rsidRDefault="00777D87" w:rsidP="00726BB4">
      <w:pPr>
        <w:widowControl/>
        <w:tabs>
          <w:tab w:val="left" w:pos="4253"/>
        </w:tabs>
        <w:ind w:left="-126" w:firstLine="283"/>
        <w:rPr>
          <w:rFonts w:ascii="Myriad Pro" w:eastAsia="Calibri" w:hAnsi="Myriad Pro"/>
          <w:snapToGrid/>
          <w:color w:val="000000"/>
          <w:sz w:val="20"/>
          <w:lang w:val="en-GB"/>
        </w:rPr>
      </w:pPr>
      <w:r w:rsidRPr="004F68F2">
        <w:rPr>
          <w:rFonts w:ascii="Myriad Pro" w:hAnsi="Myriad Pro"/>
          <w:snapToGrid/>
          <w:color w:val="000000"/>
          <w:sz w:val="20"/>
          <w:lang w:val="en-GB"/>
        </w:rPr>
        <w:t xml:space="preserve">Administrator: </w:t>
      </w:r>
      <w:r w:rsidRPr="004F68F2">
        <w:rPr>
          <w:rFonts w:ascii="Myriad Pro" w:hAnsi="Myriad Pro"/>
          <w:snapToGrid/>
          <w:color w:val="000000"/>
          <w:sz w:val="20"/>
          <w:lang w:val="en-GB"/>
        </w:rPr>
        <w:tab/>
        <w:t>Hans Stander</w:t>
      </w:r>
    </w:p>
    <w:p w:rsidR="00777D87" w:rsidRPr="004F68F2" w:rsidRDefault="00777D87" w:rsidP="00726BB4">
      <w:pPr>
        <w:widowControl/>
        <w:ind w:left="-224" w:firstLine="283"/>
        <w:jc w:val="both"/>
        <w:rPr>
          <w:rFonts w:ascii="Myriad Pro" w:eastAsia="Calibri" w:hAnsi="Myriad Pro"/>
          <w:snapToGrid/>
          <w:color w:val="000000"/>
          <w:sz w:val="20"/>
          <w:lang w:val="en-GB"/>
        </w:rPr>
      </w:pP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Shadow Rapporteurs: José Manuel Fernandes (EPP), Sándor Rónai (S&amp;D), Pierre Karleskind (RE)</w:t>
      </w:r>
    </w:p>
    <w:p w:rsidR="00777D87" w:rsidRPr="004F68F2" w:rsidRDefault="00777D87" w:rsidP="00726BB4">
      <w:pPr>
        <w:widowControl/>
        <w:ind w:left="-224" w:firstLine="283"/>
        <w:rPr>
          <w:rFonts w:ascii="Myriad Pro" w:eastAsia="Calibri" w:hAnsi="Myriad Pro"/>
          <w:snapToGrid/>
          <w:color w:val="000000"/>
          <w:sz w:val="20"/>
          <w:lang w:val="en-GB"/>
        </w:rPr>
      </w:pP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noProof/>
          <w:snapToGrid/>
          <w:color w:val="000000"/>
          <w:sz w:val="20"/>
          <w:lang w:val="en-GB" w:eastAsia="en-GB"/>
        </w:rPr>
        <w:drawing>
          <wp:anchor distT="0" distB="0" distL="114300" distR="114300" simplePos="0" relativeHeight="251675648" behindDoc="1" locked="0" layoutInCell="1" allowOverlap="1" wp14:anchorId="64F0C464" wp14:editId="03AB2824">
            <wp:simplePos x="0" y="0"/>
            <wp:positionH relativeFrom="column">
              <wp:posOffset>3274843</wp:posOffset>
            </wp:positionH>
            <wp:positionV relativeFrom="paragraph">
              <wp:posOffset>65388</wp:posOffset>
            </wp:positionV>
            <wp:extent cx="2952255" cy="1968170"/>
            <wp:effectExtent l="133350" t="133350" r="133985" b="127635"/>
            <wp:wrapTight wrapText="bothSides">
              <wp:wrapPolygon edited="0">
                <wp:start x="-558" y="-1464"/>
                <wp:lineTo x="-976" y="-1255"/>
                <wp:lineTo x="-976" y="22165"/>
                <wp:lineTo x="-558" y="22792"/>
                <wp:lineTo x="22023" y="22792"/>
                <wp:lineTo x="22441" y="22165"/>
                <wp:lineTo x="22441" y="2091"/>
                <wp:lineTo x="22023" y="-1045"/>
                <wp:lineTo x="22023" y="-1464"/>
                <wp:lineTo x="-558" y="-1464"/>
              </wp:wrapPolygon>
            </wp:wrapTight>
            <wp:docPr id="23" name="Picture 23" descr="F:\FILING PLAN_New arborescence\5 COMMUNICATION\Editorial Unit, webpage_Not to archive\Pictures and logos\Adobe Stock Images\cohe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ILING PLAN_New arborescence\5 COMMUNICATION\Editorial Unit, webpage_Not to archive\Pictures and logos\Adobe Stock Images\cohesion.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7747" cy="1971832"/>
                    </a:xfrm>
                    <a:prstGeom prst="rect">
                      <a:avLst/>
                    </a:prstGeom>
                    <a:noFill/>
                    <a:ln>
                      <a:noFill/>
                    </a:ln>
                    <a:effectLst>
                      <a:glow rad="127000">
                        <a:sysClr val="window" lastClr="FFFFFF">
                          <a:lumMod val="75000"/>
                        </a:sysClr>
                      </a:glow>
                    </a:effectLst>
                  </pic:spPr>
                </pic:pic>
              </a:graphicData>
            </a:graphic>
            <wp14:sizeRelH relativeFrom="margin">
              <wp14:pctWidth>0</wp14:pctWidth>
            </wp14:sizeRelH>
            <wp14:sizeRelV relativeFrom="margin">
              <wp14:pctHeight>0</wp14:pctHeight>
            </wp14:sizeRelV>
          </wp:anchor>
        </w:drawing>
      </w:r>
      <w:r w:rsidRPr="004F68F2">
        <w:rPr>
          <w:rFonts w:ascii="Myriad Pro" w:hAnsi="Myriad Pro"/>
          <w:snapToGrid/>
          <w:color w:val="000000"/>
          <w:sz w:val="20"/>
          <w:lang w:val="en-GB"/>
        </w:rPr>
        <w:t xml:space="preserve">On 16 April 2020 the Court of auditors published its Special Report 07/2020 </w:t>
      </w:r>
      <w:r w:rsidRPr="004F68F2">
        <w:rPr>
          <w:rFonts w:ascii="Myriad Pro" w:hAnsi="Myriad Pro"/>
          <w:i/>
          <w:snapToGrid/>
          <w:color w:val="000000"/>
          <w:sz w:val="20"/>
          <w:lang w:val="en-GB"/>
        </w:rPr>
        <w:t>“Implementing Cohesion policy: comparatively low costs, but insufficient information to assess simplification savings”.</w:t>
      </w:r>
      <w:r w:rsidRPr="004F68F2">
        <w:rPr>
          <w:rFonts w:ascii="Myriad Pro" w:hAnsi="Myriad Pro"/>
          <w:snapToGrid/>
          <w:color w:val="000000"/>
          <w:sz w:val="20"/>
          <w:lang w:val="en-GB"/>
        </w:rPr>
        <w:t xml:space="preserve"> The Court found that the implementing costs of the Cohesion policy were relatively low, in comparison with other EU funds and other internationally funded programmes. However, the Court also found that the possible savings mentioned by the Commission as a result of simplification of rules, could not be quantified due to a lack of information.</w:t>
      </w:r>
    </w:p>
    <w:p w:rsidR="00777D87" w:rsidRPr="004F68F2" w:rsidRDefault="00777D87" w:rsidP="00726BB4">
      <w:pPr>
        <w:widowControl/>
        <w:ind w:left="-224" w:firstLine="283"/>
        <w:jc w:val="both"/>
        <w:rPr>
          <w:rFonts w:ascii="Myriad Pro" w:eastAsia="Calibri" w:hAnsi="Myriad Pro"/>
          <w:snapToGrid/>
          <w:color w:val="000000"/>
          <w:sz w:val="20"/>
          <w:lang w:val="en-GB"/>
        </w:rPr>
      </w:pPr>
      <w:r w:rsidRPr="004F68F2">
        <w:rPr>
          <w:rFonts w:ascii="Myriad Pro" w:hAnsi="Myriad Pro"/>
          <w:snapToGrid/>
          <w:color w:val="000000"/>
          <w:sz w:val="20"/>
          <w:lang w:val="en-GB"/>
        </w:rPr>
        <w:t xml:space="preserve"> </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FF"/>
          <w:sz w:val="20"/>
          <w:lang w:val="en-GB"/>
        </w:rPr>
      </w:pPr>
      <w:r w:rsidRPr="004F68F2">
        <w:rPr>
          <w:rFonts w:ascii="Myriad Pro" w:hAnsi="Myriad Pro"/>
          <w:bCs/>
          <w:snapToGrid/>
          <w:sz w:val="20"/>
          <w:lang w:val="en-GB"/>
        </w:rPr>
        <w:t xml:space="preserve">The ECA special report is available on the </w:t>
      </w:r>
      <w:hyperlink r:id="rId52" w:history="1">
        <w:r w:rsidRPr="004F68F2">
          <w:rPr>
            <w:rFonts w:ascii="Myriad Pro" w:hAnsi="Myriad Pro"/>
            <w:bCs/>
            <w:snapToGrid/>
            <w:color w:val="0000FF"/>
            <w:sz w:val="20"/>
            <w:u w:val="single"/>
            <w:lang w:val="en-GB"/>
          </w:rPr>
          <w:t>ECA website</w:t>
        </w:r>
      </w:hyperlink>
      <w:r w:rsidRPr="004F68F2">
        <w:rPr>
          <w:rFonts w:ascii="Myriad Pro" w:hAnsi="Myriad Pro"/>
          <w:bCs/>
          <w:snapToGrid/>
          <w:sz w:val="20"/>
          <w:lang w:val="en-GB"/>
        </w:rPr>
        <w:t xml:space="preserve">. A succinct working document was circulated to Members. The </w:t>
      </w:r>
      <w:r w:rsidRPr="004F68F2">
        <w:rPr>
          <w:rFonts w:ascii="Myriad Pro" w:hAnsi="Myriad Pro"/>
          <w:b/>
          <w:bCs/>
          <w:snapToGrid/>
          <w:sz w:val="20"/>
          <w:lang w:val="en-GB"/>
        </w:rPr>
        <w:t>recommendations by the Rapporteur</w:t>
      </w:r>
      <w:r w:rsidRPr="004F68F2">
        <w:rPr>
          <w:rFonts w:ascii="Myriad Pro" w:hAnsi="Myriad Pro"/>
          <w:bCs/>
          <w:snapToGrid/>
          <w:sz w:val="20"/>
          <w:lang w:val="en-GB"/>
        </w:rPr>
        <w:t xml:space="preserve"> of this Special Report </w:t>
      </w:r>
      <w:r w:rsidRPr="004F68F2">
        <w:rPr>
          <w:rFonts w:ascii="Myriad Pro" w:hAnsi="Myriad Pro"/>
          <w:b/>
          <w:bCs/>
          <w:snapToGrid/>
          <w:sz w:val="20"/>
          <w:lang w:val="en-GB"/>
        </w:rPr>
        <w:t>will be finalised after the presentation in CONT Committee</w:t>
      </w:r>
      <w:r w:rsidRPr="004F68F2">
        <w:rPr>
          <w:rFonts w:ascii="Myriad Pro" w:hAnsi="Myriad Pro"/>
          <w:bCs/>
          <w:snapToGrid/>
          <w:sz w:val="20"/>
          <w:lang w:val="en-GB"/>
        </w:rPr>
        <w:t xml:space="preserve"> and will be circulated to CONT Members afterwards.</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ind w:left="-224" w:firstLine="283"/>
        <w:rPr>
          <w:rFonts w:ascii="Myriad Pro" w:eastAsia="Calibri" w:hAnsi="Myriad Pro"/>
          <w:b/>
          <w:smallCaps/>
          <w:snapToGrid/>
          <w:color w:val="595959"/>
          <w:sz w:val="28"/>
          <w:szCs w:val="28"/>
          <w:lang w:val="en-GB"/>
        </w:rPr>
      </w:pPr>
      <w:r w:rsidRPr="004F68F2">
        <w:rPr>
          <w:rFonts w:ascii="Myriad Pro" w:hAnsi="Myriad Pro"/>
          <w:b/>
          <w:smallCaps/>
          <w:snapToGrid/>
          <w:color w:val="595959"/>
          <w:sz w:val="28"/>
          <w:szCs w:val="28"/>
          <w:lang w:val="en-GB"/>
        </w:rPr>
        <w:t>12.</w:t>
      </w:r>
      <w:r w:rsidRPr="004F68F2">
        <w:rPr>
          <w:rFonts w:ascii="Myriad Pro" w:hAnsi="Myriad Pro"/>
          <w:b/>
          <w:smallCaps/>
          <w:snapToGrid/>
          <w:color w:val="595959"/>
          <w:sz w:val="28"/>
          <w:szCs w:val="28"/>
          <w:lang w:val="en-GB"/>
        </w:rPr>
        <w:tab/>
      </w:r>
      <w:r w:rsidRPr="004F68F2">
        <w:rPr>
          <w:rFonts w:ascii="Myriad Pro" w:hAnsi="Myriad Pro"/>
          <w:b/>
          <w:bCs/>
          <w:smallCaps/>
          <w:snapToGrid/>
          <w:color w:val="595959"/>
          <w:sz w:val="28"/>
          <w:szCs w:val="28"/>
          <w:lang w:val="en-GB"/>
        </w:rPr>
        <w:t>Chair’s announcements on the results of the second voting session</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val="en-GB" w:eastAsia="fr-FR"/>
        </w:rPr>
      </w:pPr>
    </w:p>
    <w:p w:rsidR="00777D87" w:rsidRPr="004F68F2" w:rsidRDefault="00777D87" w:rsidP="00726BB4">
      <w:pPr>
        <w:widowControl/>
        <w:ind w:left="-224" w:firstLine="283"/>
        <w:rPr>
          <w:rFonts w:ascii="Myriad Pro" w:eastAsia="Calibri" w:hAnsi="Myriad Pro"/>
          <w:b/>
          <w:smallCaps/>
          <w:snapToGrid/>
          <w:color w:val="595959"/>
          <w:sz w:val="28"/>
          <w:szCs w:val="28"/>
        </w:rPr>
      </w:pPr>
      <w:r w:rsidRPr="004F68F2">
        <w:rPr>
          <w:rFonts w:ascii="Myriad Pro" w:hAnsi="Myriad Pro"/>
          <w:b/>
          <w:smallCaps/>
          <w:snapToGrid/>
          <w:color w:val="595959"/>
          <w:sz w:val="28"/>
          <w:szCs w:val="28"/>
        </w:rPr>
        <w:t>13.</w:t>
      </w:r>
      <w:r w:rsidRPr="004F68F2">
        <w:rPr>
          <w:rFonts w:ascii="Myriad Pro" w:hAnsi="Myriad Pro"/>
          <w:b/>
          <w:smallCaps/>
          <w:snapToGrid/>
          <w:color w:val="595959"/>
          <w:sz w:val="28"/>
          <w:szCs w:val="28"/>
        </w:rPr>
        <w:tab/>
        <w:t>Any other business</w:t>
      </w:r>
    </w:p>
    <w:p w:rsidR="00777D87" w:rsidRPr="004F68F2" w:rsidRDefault="00777D87" w:rsidP="00726BB4">
      <w:pPr>
        <w:widowControl/>
        <w:ind w:left="-224" w:firstLine="283"/>
        <w:rPr>
          <w:rFonts w:ascii="Myriad Pro" w:eastAsia="Calibri" w:hAnsi="Myriad Pro"/>
          <w:snapToGrid/>
          <w:color w:val="595959"/>
          <w:sz w:val="20"/>
          <w:szCs w:val="28"/>
        </w:rPr>
      </w:pPr>
    </w:p>
    <w:p w:rsidR="00777D87" w:rsidRPr="004F68F2" w:rsidRDefault="00777D87" w:rsidP="00726BB4">
      <w:pPr>
        <w:widowControl/>
        <w:ind w:left="-210" w:firstLine="283"/>
        <w:rPr>
          <w:rFonts w:ascii="Myriad Pro" w:eastAsia="Calibri" w:hAnsi="Myriad Pro"/>
          <w:snapToGrid/>
          <w:color w:val="000000"/>
          <w:sz w:val="20"/>
        </w:rPr>
      </w:pPr>
    </w:p>
    <w:p w:rsidR="00777D87" w:rsidRPr="004F68F2" w:rsidRDefault="00777D87" w:rsidP="00726BB4">
      <w:pPr>
        <w:widowControl/>
        <w:ind w:left="-224" w:firstLine="283"/>
        <w:rPr>
          <w:rFonts w:ascii="Myriad Pro" w:eastAsia="Calibri" w:hAnsi="Myriad Pro"/>
          <w:b/>
          <w:smallCaps/>
          <w:snapToGrid/>
          <w:color w:val="595959"/>
          <w:sz w:val="28"/>
          <w:szCs w:val="28"/>
        </w:rPr>
      </w:pPr>
      <w:r w:rsidRPr="004F68F2">
        <w:rPr>
          <w:rFonts w:ascii="Myriad Pro" w:hAnsi="Myriad Pro"/>
          <w:b/>
          <w:smallCaps/>
          <w:snapToGrid/>
          <w:color w:val="595959"/>
          <w:sz w:val="28"/>
          <w:szCs w:val="28"/>
        </w:rPr>
        <w:t>14.</w:t>
      </w:r>
      <w:r w:rsidRPr="004F68F2">
        <w:rPr>
          <w:rFonts w:ascii="Myriad Pro" w:hAnsi="Myriad Pro"/>
          <w:b/>
          <w:smallCaps/>
          <w:snapToGrid/>
          <w:color w:val="595959"/>
          <w:sz w:val="28"/>
          <w:szCs w:val="28"/>
        </w:rPr>
        <w:tab/>
        <w:t>Next meetings</w:t>
      </w:r>
    </w:p>
    <w:p w:rsidR="00777D87" w:rsidRPr="004F68F2" w:rsidRDefault="00777D87" w:rsidP="00726BB4">
      <w:pPr>
        <w:widowControl/>
        <w:ind w:left="-224" w:firstLine="283"/>
        <w:rPr>
          <w:rFonts w:ascii="Myriad Pro" w:eastAsia="Calibri" w:hAnsi="Myriad Pro"/>
          <w:snapToGrid/>
          <w:color w:val="595959"/>
          <w:sz w:val="20"/>
          <w:szCs w:val="28"/>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firstLine="283"/>
        <w:jc w:val="both"/>
        <w:rPr>
          <w:rFonts w:ascii="Myriad Pro" w:hAnsi="Myriad Pro" w:cs="Arial"/>
          <w:snapToGrid/>
          <w:sz w:val="20"/>
        </w:rPr>
      </w:pPr>
      <w:r w:rsidRPr="004F68F2">
        <w:rPr>
          <w:rFonts w:ascii="Myriad Pro" w:hAnsi="Myriad Pro"/>
          <w:noProof/>
          <w:snapToGrid/>
          <w:sz w:val="20"/>
          <w:lang w:val="en-GB" w:eastAsia="en-GB"/>
        </w:rPr>
        <mc:AlternateContent>
          <mc:Choice Requires="wps">
            <w:drawing>
              <wp:inline distT="0" distB="0" distL="0" distR="0" wp14:anchorId="582FB190" wp14:editId="38BBBBE7">
                <wp:extent cx="5762625" cy="609600"/>
                <wp:effectExtent l="0" t="0" r="9525"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09600"/>
                        </a:xfrm>
                        <a:prstGeom prst="rect">
                          <a:avLst/>
                        </a:prstGeom>
                        <a:solidFill>
                          <a:srgbClr val="709047">
                            <a:alpha val="20000"/>
                          </a:srgbClr>
                        </a:solidFill>
                        <a:ln>
                          <a:noFill/>
                        </a:ln>
                      </wps:spPr>
                      <wps:txbx>
                        <w:txbxContent>
                          <w:p w:rsidR="00A901EA" w:rsidRPr="004F68F2"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rFonts w:ascii="Myriad Pro" w:eastAsia="ヒラギノ角ゴ Pro W3" w:hAnsi="Myriad Pro"/>
                                <w:color w:val="000000"/>
                                <w:sz w:val="20"/>
                                <w:lang w:val="en-GB"/>
                              </w:rPr>
                            </w:pPr>
                            <w:r>
                              <w:rPr>
                                <w:rFonts w:ascii="Symbol" w:hAnsi="Symbol"/>
                                <w:snapToGrid/>
                                <w:color w:val="000000"/>
                                <w:sz w:val="20"/>
                              </w:rPr>
                              <w:t></w:t>
                            </w:r>
                            <w:r w:rsidRPr="004F68F2">
                              <w:rPr>
                                <w:rFonts w:ascii="Symbol" w:hAnsi="Symbol"/>
                                <w:snapToGrid/>
                                <w:color w:val="000000"/>
                                <w:sz w:val="20"/>
                                <w:lang w:val="en-GB"/>
                              </w:rPr>
                              <w:tab/>
                            </w:r>
                            <w:r w:rsidRPr="004F68F2">
                              <w:rPr>
                                <w:rFonts w:ascii="Myriad Pro" w:hAnsi="Myriad Pro"/>
                                <w:color w:val="000000"/>
                                <w:sz w:val="20"/>
                                <w:lang w:val="en-GB"/>
                              </w:rPr>
                              <w:t>28 October 2020 (Brussels) 13.45 to 15.45 and 16.45 to 18.45</w:t>
                            </w:r>
                          </w:p>
                          <w:p w:rsidR="00A901EA" w:rsidRPr="004F68F2"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rFonts w:ascii="Myriad Pro" w:eastAsia="ヒラギノ角ゴ Pro W3" w:hAnsi="Myriad Pro"/>
                                <w:color w:val="000000"/>
                                <w:sz w:val="20"/>
                                <w:lang w:val="en-GB"/>
                              </w:rPr>
                            </w:pPr>
                            <w:r>
                              <w:rPr>
                                <w:rFonts w:ascii="Symbol" w:hAnsi="Symbol"/>
                                <w:snapToGrid/>
                                <w:color w:val="000000"/>
                                <w:sz w:val="20"/>
                              </w:rPr>
                              <w:t></w:t>
                            </w:r>
                            <w:r w:rsidRPr="004F68F2">
                              <w:rPr>
                                <w:rFonts w:ascii="Symbol" w:hAnsi="Symbol"/>
                                <w:snapToGrid/>
                                <w:color w:val="000000"/>
                                <w:sz w:val="20"/>
                                <w:lang w:val="en-GB"/>
                              </w:rPr>
                              <w:tab/>
                            </w:r>
                            <w:r w:rsidRPr="004F68F2">
                              <w:rPr>
                                <w:rFonts w:ascii="Myriad Pro" w:hAnsi="Myriad Pro"/>
                                <w:color w:val="000000"/>
                                <w:sz w:val="20"/>
                                <w:lang w:val="en-GB"/>
                              </w:rPr>
                              <w:t>29 October 2020 (Brussels) 09.00 to 11.00 and 11.30 to 12.30</w:t>
                            </w:r>
                          </w:p>
                          <w:p w:rsidR="00A901EA" w:rsidRPr="004F68F2"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rFonts w:ascii="Myriad Pro" w:eastAsia="ヒラギノ角ゴ Pro W3" w:hAnsi="Myriad Pro"/>
                                <w:color w:val="000000"/>
                                <w:sz w:val="20"/>
                                <w:lang w:val="en-GB"/>
                              </w:rPr>
                            </w:pPr>
                            <w:r>
                              <w:rPr>
                                <w:rFonts w:ascii="Symbol" w:hAnsi="Symbol"/>
                                <w:snapToGrid/>
                                <w:color w:val="000000"/>
                                <w:sz w:val="20"/>
                              </w:rPr>
                              <w:t></w:t>
                            </w:r>
                            <w:r w:rsidRPr="004F68F2">
                              <w:rPr>
                                <w:rFonts w:ascii="Symbol" w:hAnsi="Symbol"/>
                                <w:snapToGrid/>
                                <w:color w:val="000000"/>
                                <w:sz w:val="20"/>
                                <w:lang w:val="en-GB"/>
                              </w:rPr>
                              <w:tab/>
                            </w:r>
                            <w:r w:rsidRPr="004F68F2">
                              <w:rPr>
                                <w:rFonts w:ascii="Myriad Pro" w:hAnsi="Myriad Pro"/>
                                <w:color w:val="000000"/>
                                <w:sz w:val="20"/>
                                <w:lang w:val="en-GB"/>
                              </w:rPr>
                              <w:t>10 November 2020, 9.00 – 11.00 and 11.30 – 12.30 and 13.45 – 15.45 and 16.45 – 18.45 (Brussels)</w:t>
                            </w:r>
                          </w:p>
                        </w:txbxContent>
                      </wps:txbx>
                      <wps:bodyPr rot="0" vert="horz" wrap="square" lIns="91440" tIns="45720" rIns="91440" bIns="45720" anchor="t" anchorCtr="0" upright="1">
                        <a:noAutofit/>
                      </wps:bodyPr>
                    </wps:wsp>
                  </a:graphicData>
                </a:graphic>
              </wp:inline>
            </w:drawing>
          </mc:Choice>
          <mc:Fallback>
            <w:pict>
              <v:shape w14:anchorId="582FB190" id="Text Box 6" o:spid="_x0000_s1027" type="#_x0000_t202" style="width:453.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" fillcolor="#709047" stroked="f">
                <v:fill opacity="13107f"/>
                <v:textbox>
                  <w:txbxContent>
                    <w:p w:rsidR="00A901EA" w:rsidRPr="003277EE"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color w:val="000000"/>
                          <w:sz w:val="20"/>
                          <w:rFonts w:ascii="Myriad Pro" w:eastAsia="ヒラギノ角ゴ Pro W3" w:hAnsi="Myriad Pro"/>
                        </w:rPr>
                      </w:pPr>
                      <w:r>
                        <w:rPr>
                          <w:snapToGrid/>
                          <w:color w:val="000000"/>
                          <w:sz w:val="20"/>
                          <w:rFonts w:ascii="Symbol" w:hAnsi="Symbol"/>
                        </w:rPr>
                        <w:t xml:space="preserve"></w:t>
                      </w:r>
                      <w:r>
                        <w:rPr>
                          <w:color w:val="000000"/>
                          <w:sz w:val="20"/>
                          <w:snapToGrid/>
                          <w:rFonts w:ascii="Symbol" w:hAnsi="Symbol"/>
                        </w:rPr>
                        <w:tab/>
                      </w:r>
                      <w:r>
                        <w:rPr>
                          <w:color w:val="000000"/>
                          <w:sz w:val="20"/>
                          <w:rFonts w:ascii="Myriad Pro" w:hAnsi="Myriad Pro"/>
                        </w:rPr>
                        <w:t xml:space="preserve">28 October 2020 (Brussels) 13.45 to 15.45 and 16.45 to 18.45</w:t>
                      </w:r>
                    </w:p>
                    <w:p w:rsidR="00A901EA" w:rsidRPr="003277EE"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color w:val="000000"/>
                          <w:sz w:val="20"/>
                          <w:rFonts w:ascii="Myriad Pro" w:eastAsia="ヒラギノ角ゴ Pro W3" w:hAnsi="Myriad Pro"/>
                        </w:rPr>
                      </w:pPr>
                      <w:r>
                        <w:rPr>
                          <w:snapToGrid/>
                          <w:color w:val="000000"/>
                          <w:sz w:val="20"/>
                          <w:rFonts w:ascii="Symbol" w:hAnsi="Symbol"/>
                        </w:rPr>
                        <w:t xml:space="preserve"></w:t>
                      </w:r>
                      <w:r>
                        <w:rPr>
                          <w:color w:val="000000"/>
                          <w:sz w:val="20"/>
                          <w:snapToGrid/>
                          <w:rFonts w:ascii="Symbol" w:hAnsi="Symbol"/>
                        </w:rPr>
                        <w:tab/>
                      </w:r>
                      <w:r>
                        <w:rPr>
                          <w:color w:val="000000"/>
                          <w:sz w:val="20"/>
                          <w:rFonts w:ascii="Myriad Pro" w:hAnsi="Myriad Pro"/>
                        </w:rPr>
                        <w:t xml:space="preserve">29 October 2020 (Brussels) 09.00 to 11.00 and 11.30 to 12.30</w:t>
                      </w:r>
                    </w:p>
                    <w:p w:rsidR="00A901EA" w:rsidRPr="003277EE"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color w:val="000000"/>
                          <w:sz w:val="20"/>
                          <w:rFonts w:ascii="Myriad Pro" w:eastAsia="ヒラギノ角ゴ Pro W3" w:hAnsi="Myriad Pro"/>
                        </w:rPr>
                      </w:pPr>
                      <w:r>
                        <w:rPr>
                          <w:snapToGrid/>
                          <w:color w:val="000000"/>
                          <w:sz w:val="20"/>
                          <w:rFonts w:ascii="Symbol" w:hAnsi="Symbol"/>
                        </w:rPr>
                        <w:t xml:space="preserve"></w:t>
                      </w:r>
                      <w:r>
                        <w:rPr>
                          <w:color w:val="000000"/>
                          <w:sz w:val="20"/>
                          <w:snapToGrid/>
                          <w:rFonts w:ascii="Symbol" w:hAnsi="Symbol"/>
                        </w:rPr>
                        <w:tab/>
                      </w:r>
                      <w:r>
                        <w:rPr>
                          <w:color w:val="000000"/>
                          <w:sz w:val="20"/>
                          <w:rFonts w:ascii="Myriad Pro" w:hAnsi="Myriad Pro"/>
                        </w:rPr>
                        <w:t xml:space="preserve">10 November 2020, 9.00 – 11.00 and 11.30 – 12.30 and 13.45 – 15.45 and 16.45 – 18.45 (Brussels)</w:t>
                      </w:r>
                    </w:p>
                  </w:txbxContent>
                </v:textbox>
                <w10:anchorlock/>
              </v:shape>
            </w:pict>
          </mc:Fallback>
        </mc:AlternateConten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firstLine="283"/>
        <w:jc w:val="both"/>
        <w:rPr>
          <w:rFonts w:ascii="Myriad Pro" w:hAnsi="Myriad Pro" w:cs="Arial"/>
          <w:snapToGrid/>
          <w:sz w:val="20"/>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firstLine="283"/>
        <w:jc w:val="both"/>
        <w:rPr>
          <w:rFonts w:ascii="Myriad Pro" w:hAnsi="Myriad Pro" w:cs="Arial"/>
          <w:snapToGrid/>
          <w:sz w:val="20"/>
        </w:rPr>
      </w:pP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firstLine="283"/>
        <w:jc w:val="both"/>
        <w:rPr>
          <w:rFonts w:ascii="Arial" w:eastAsia="Calibri" w:hAnsi="Arial" w:cs="Arial"/>
          <w:b/>
          <w:snapToGrid/>
          <w:sz w:val="22"/>
          <w:szCs w:val="22"/>
        </w:rPr>
      </w:pPr>
      <w:r w:rsidRPr="004F68F2">
        <w:rPr>
          <w:rFonts w:ascii="Calibri" w:hAnsi="Calibri"/>
          <w:noProof/>
          <w:snapToGrid/>
          <w:sz w:val="22"/>
          <w:szCs w:val="22"/>
          <w:lang w:val="en-GB" w:eastAsia="en-GB"/>
        </w:rPr>
        <mc:AlternateContent>
          <mc:Choice Requires="wps">
            <w:drawing>
              <wp:anchor distT="0" distB="0" distL="114300" distR="114300" simplePos="0" relativeHeight="251659264" behindDoc="1" locked="0" layoutInCell="1" allowOverlap="1" wp14:anchorId="1524578D" wp14:editId="2E3F6C67">
                <wp:simplePos x="0" y="0"/>
                <wp:positionH relativeFrom="column">
                  <wp:posOffset>-365760</wp:posOffset>
                </wp:positionH>
                <wp:positionV relativeFrom="paragraph">
                  <wp:posOffset>38481</wp:posOffset>
                </wp:positionV>
                <wp:extent cx="6407150" cy="935990"/>
                <wp:effectExtent l="0" t="0" r="12700" b="3556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935990"/>
                        </a:xfrm>
                        <a:prstGeom prst="rect">
                          <a:avLst/>
                        </a:prstGeom>
                        <a:solidFill>
                          <a:srgbClr val="709047"/>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rsidR="00A901EA" w:rsidRPr="004F68F2" w:rsidRDefault="00A901EA" w:rsidP="00777D87">
                            <w:pPr>
                              <w:ind w:right="196"/>
                              <w:jc w:val="both"/>
                              <w:rPr>
                                <w:rFonts w:ascii="Myriad Pro" w:hAnsi="Myriad Pro"/>
                                <w:b/>
                                <w:smallCaps/>
                                <w:color w:val="FFFFFF"/>
                                <w:spacing w:val="-10"/>
                                <w:sz w:val="26"/>
                                <w:lang w:val="en-GB"/>
                              </w:rPr>
                            </w:pPr>
                            <w:r w:rsidRPr="004F68F2">
                              <w:rPr>
                                <w:rFonts w:ascii="Myriad Pro" w:hAnsi="Myriad Pro"/>
                                <w:b/>
                                <w:smallCaps/>
                                <w:color w:val="FFFFFF"/>
                                <w:sz w:val="26"/>
                                <w:lang w:val="en-GB"/>
                              </w:rPr>
                              <w:t xml:space="preserve">Paperless Programme </w:t>
                            </w:r>
                            <w:r w:rsidRPr="004F68F2">
                              <w:rPr>
                                <w:rFonts w:ascii="Myriad Pro" w:hAnsi="Myriad Pro"/>
                                <w:b/>
                                <w:smallCaps/>
                                <w:color w:val="FFFFFF"/>
                                <w:szCs w:val="24"/>
                                <w:lang w:val="en-GB"/>
                              </w:rPr>
                              <w:t>(internal users only)</w:t>
                            </w:r>
                          </w:p>
                          <w:p w:rsidR="00A901EA" w:rsidRPr="004F68F2" w:rsidRDefault="00A901EA" w:rsidP="00777D87">
                            <w:pPr>
                              <w:ind w:left="490" w:right="196" w:hanging="490"/>
                              <w:jc w:val="both"/>
                              <w:rPr>
                                <w:rFonts w:ascii="Myriad Pro" w:hAnsi="Myriad Pro" w:cs="Arial"/>
                                <w:color w:val="FFFFFF"/>
                                <w:sz w:val="20"/>
                                <w:lang w:val="en-GB"/>
                              </w:rPr>
                            </w:pPr>
                            <w:r w:rsidRPr="004F68F2">
                              <w:rPr>
                                <w:rFonts w:ascii="Myriad Pro" w:hAnsi="Myriad Pro"/>
                                <w:color w:val="FFFFFF"/>
                                <w:sz w:val="20"/>
                                <w:lang w:val="en-GB"/>
                              </w:rPr>
                              <w:t xml:space="preserve">Access CONT committee meeting documents on </w:t>
                            </w:r>
                            <w:hyperlink r:id="rId53" w:history="1">
                              <w:r w:rsidRPr="004F68F2">
                                <w:rPr>
                                  <w:rStyle w:val="Hyperlink"/>
                                  <w:rFonts w:ascii="Myriad Pro" w:hAnsi="Myriad Pro"/>
                                  <w:color w:val="FFFFFF"/>
                                  <w:sz w:val="20"/>
                                  <w:lang w:val="en-GB"/>
                                </w:rPr>
                                <w:t>eMeeting</w:t>
                              </w:r>
                            </w:hyperlink>
                            <w:r w:rsidRPr="004F68F2">
                              <w:rPr>
                                <w:rFonts w:ascii="Myriad Pro" w:hAnsi="Myriad Pro"/>
                                <w:color w:val="FFFFFF"/>
                                <w:sz w:val="20"/>
                                <w:lang w:val="en-GB"/>
                              </w:rPr>
                              <w:t xml:space="preserve"> or any CONT committee information on </w:t>
                            </w:r>
                            <w:hyperlink r:id="rId54" w:history="1">
                              <w:r w:rsidRPr="004F68F2">
                                <w:rPr>
                                  <w:rStyle w:val="Hyperlink"/>
                                  <w:rFonts w:ascii="Myriad Pro" w:hAnsi="Myriad Pro"/>
                                  <w:color w:val="FFFFFF"/>
                                  <w:sz w:val="20"/>
                                  <w:lang w:val="en-GB"/>
                                </w:rPr>
                                <w:t>eCommittee</w:t>
                              </w:r>
                            </w:hyperlink>
                          </w:p>
                          <w:p w:rsidR="00A901EA" w:rsidRPr="004F68F2" w:rsidRDefault="00A901EA" w:rsidP="00777D87">
                            <w:pPr>
                              <w:ind w:left="490" w:right="196" w:hanging="490"/>
                              <w:jc w:val="both"/>
                              <w:rPr>
                                <w:rFonts w:ascii="Myriad Pro" w:hAnsi="Myriad Pro"/>
                                <w:b/>
                                <w:smallCaps/>
                                <w:color w:val="FFFFFF"/>
                                <w:spacing w:val="-10"/>
                                <w:sz w:val="16"/>
                                <w:szCs w:val="16"/>
                                <w:lang w:val="en-GB"/>
                              </w:rPr>
                            </w:pPr>
                          </w:p>
                          <w:p w:rsidR="00A901EA" w:rsidRPr="004F68F2" w:rsidRDefault="00A901EA" w:rsidP="00777D87">
                            <w:pPr>
                              <w:ind w:left="490" w:right="196" w:hanging="490"/>
                              <w:jc w:val="both"/>
                              <w:rPr>
                                <w:rFonts w:ascii="Myriad Pro" w:hAnsi="Myriad Pro"/>
                                <w:b/>
                                <w:smallCaps/>
                                <w:color w:val="FFFFFF"/>
                                <w:spacing w:val="-10"/>
                                <w:sz w:val="26"/>
                                <w:lang w:val="en-GB"/>
                              </w:rPr>
                            </w:pPr>
                            <w:r w:rsidRPr="004F68F2">
                              <w:rPr>
                                <w:rFonts w:ascii="Myriad Pro" w:hAnsi="Myriad Pro"/>
                                <w:b/>
                                <w:smallCaps/>
                                <w:color w:val="FFFFFF"/>
                                <w:sz w:val="26"/>
                                <w:lang w:val="en-GB"/>
                              </w:rPr>
                              <w:t>For further information</w:t>
                            </w:r>
                          </w:p>
                          <w:p w:rsidR="00A901EA" w:rsidRPr="004F68F2" w:rsidRDefault="00A901EA" w:rsidP="00777D87">
                            <w:pPr>
                              <w:ind w:left="488" w:right="198" w:hanging="488"/>
                              <w:jc w:val="both"/>
                              <w:rPr>
                                <w:rFonts w:ascii="Myriad Pro" w:hAnsi="Myriad Pro" w:cs="Arial"/>
                                <w:color w:val="FFFFFF"/>
                                <w:sz w:val="20"/>
                                <w:lang w:val="en-GB"/>
                              </w:rPr>
                            </w:pPr>
                            <w:r w:rsidRPr="004F68F2">
                              <w:rPr>
                                <w:rFonts w:ascii="Myriad Pro" w:hAnsi="Myriad Pro"/>
                                <w:color w:val="FFFFFF"/>
                                <w:sz w:val="20"/>
                                <w:lang w:val="en-GB"/>
                              </w:rPr>
                              <w:t xml:space="preserve">Contact the </w:t>
                            </w:r>
                            <w:hyperlink r:id="rId55" w:history="1">
                              <w:r w:rsidRPr="004F68F2">
                                <w:rPr>
                                  <w:rStyle w:val="Hyperlink"/>
                                  <w:rFonts w:ascii="Myriad Pro" w:hAnsi="Myriad Pro"/>
                                  <w:color w:val="FFFFFF"/>
                                  <w:sz w:val="20"/>
                                  <w:lang w:val="en-GB"/>
                                </w:rPr>
                                <w:t>CONT Secretariat</w:t>
                              </w:r>
                            </w:hyperlink>
                            <w:r w:rsidRPr="004F68F2">
                              <w:rPr>
                                <w:rFonts w:ascii="Myriad Pro" w:hAnsi="Myriad Pro"/>
                                <w:color w:val="FFFFFF"/>
                                <w:sz w:val="20"/>
                                <w:lang w:val="en-GB"/>
                              </w:rPr>
                              <w:t xml:space="preserve"> or visit the </w:t>
                            </w:r>
                            <w:hyperlink r:id="rId56" w:history="1">
                              <w:r w:rsidRPr="004F68F2">
                                <w:rPr>
                                  <w:rStyle w:val="Hyperlink"/>
                                  <w:rFonts w:ascii="Myriad Pro" w:hAnsi="Myriad Pro"/>
                                  <w:color w:val="FFFFFF"/>
                                  <w:sz w:val="20"/>
                                  <w:lang w:val="en-GB"/>
                                </w:rPr>
                                <w:t>website</w:t>
                              </w:r>
                            </w:hyperlink>
                            <w:r w:rsidRPr="004F68F2">
                              <w:rPr>
                                <w:rFonts w:ascii="Myriad Pro" w:hAnsi="Myriad Pro"/>
                                <w:color w:val="FFFFFF"/>
                                <w:sz w:val="20"/>
                                <w:lang w:val="en-GB"/>
                              </w:rPr>
                              <w:t xml:space="preserve"> of the CONT committee</w:t>
                            </w:r>
                          </w:p>
                        </w:txbxContent>
                      </wps:txbx>
                      <wps:bodyPr rot="0" vert="horz" wrap="square" lIns="91440" tIns="45720" rIns="91440" bIns="45720" anchor="t" anchorCtr="0" upright="1">
                        <a:noAutofit/>
                      </wps:bodyPr>
                    </wps:wsp>
                  </a:graphicData>
                </a:graphic>
              </wp:anchor>
            </w:drawing>
          </mc:Choice>
          <mc:Fallback>
            <w:pict>
              <v:shapetype w14:anchorId="1524578D" id="_x0000_t202" coordsize="21600,21600" o:spt="202" path="m,l,21600r21600,l21600,xe">
                <v:stroke joinstyle="miter"/>
                <v:path gradientshapeok="t" o:connecttype="rect"/>
              </v:shapetype>
              <v:shape id="Text Box 10" o:spid="_x0000_s1028" type="#_x0000_t202" style="position:absolute;left:0;text-align:left;margin-left:-28.8pt;margin-top:3.05pt;width:504.5pt;height:73.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" fillcolor="#709047" stroked="f" strokecolor="#f2f2f2 [3041]" strokeweight="3pt">
                <v:shadow on="t" color="#385723" opacity=".5" offset="1pt"/>
                <v:textbox>
                  <w:txbxContent>
                    <w:p w:rsidR="00A901EA" w:rsidRPr="003277EE" w:rsidRDefault="00A901EA" w:rsidP="00777D87">
                      <w:pPr>
                        <w:ind w:right="196"/>
                        <w:jc w:val="both"/>
                        <w:rPr>
                          <w:rFonts w:ascii="Myriad Pro" w:hAnsi="Myriad Pro"/>
                          <w:b/>
                          <w:smallCaps/>
                          <w:color w:val="FFFFFF"/>
                          <w:spacing w:val="-10"/>
                          <w:sz w:val="26"/>
                        </w:rPr>
                      </w:pPr>
                      <w:r>
                        <w:rPr>
                          <w:rFonts w:ascii="Myriad Pro" w:hAnsi="Myriad Pro"/>
                          <w:b/>
                          <w:smallCaps/>
                          <w:color w:val="FFFFFF"/>
                          <w:sz w:val="26"/>
                        </w:rPr>
                        <w:t xml:space="preserve">Paperless Programme </w:t>
                      </w:r>
                      <w:r>
                        <w:rPr>
                          <w:rFonts w:ascii="Myriad Pro" w:hAnsi="Myriad Pro"/>
                          <w:b/>
                          <w:smallCaps/>
                          <w:color w:val="FFFFFF"/>
                          <w:szCs w:val="24"/>
                        </w:rPr>
                        <w:t>(internal users only)</w:t>
                      </w:r>
                    </w:p>
                    <w:p w:rsidR="00A901EA" w:rsidRPr="003277EE" w:rsidRDefault="00A901EA" w:rsidP="00777D87">
                      <w:pPr>
                        <w:ind w:left="490" w:right="196" w:hanging="490"/>
                        <w:jc w:val="both"/>
                        <w:rPr>
                          <w:rFonts w:ascii="Myriad Pro" w:hAnsi="Myriad Pro" w:cs="Arial"/>
                          <w:color w:val="FFFFFF"/>
                          <w:sz w:val="20"/>
                        </w:rPr>
                      </w:pPr>
                      <w:r>
                        <w:rPr>
                          <w:rFonts w:ascii="Myriad Pro" w:hAnsi="Myriad Pro"/>
                          <w:color w:val="FFFFFF"/>
                          <w:sz w:val="20"/>
                        </w:rPr>
                        <w:t xml:space="preserve">Access CONT committee meeting documents on </w:t>
                      </w:r>
                      <w:hyperlink r:id="rId57" w:history="1">
                        <w:r>
                          <w:rPr>
                            <w:rStyle w:val="Hyperlink"/>
                            <w:rFonts w:ascii="Myriad Pro" w:hAnsi="Myriad Pro"/>
                            <w:color w:val="FFFFFF"/>
                            <w:sz w:val="20"/>
                          </w:rPr>
                          <w:t>eMeeting</w:t>
                        </w:r>
                      </w:hyperlink>
                      <w:r>
                        <w:rPr>
                          <w:rFonts w:ascii="Myriad Pro" w:hAnsi="Myriad Pro"/>
                          <w:color w:val="FFFFFF"/>
                          <w:sz w:val="20"/>
                        </w:rPr>
                        <w:t xml:space="preserve"> or any CONT committee information on </w:t>
                      </w:r>
                      <w:hyperlink r:id="rId58" w:history="1">
                        <w:r>
                          <w:rPr>
                            <w:rStyle w:val="Hyperlink"/>
                            <w:rFonts w:ascii="Myriad Pro" w:hAnsi="Myriad Pro"/>
                            <w:color w:val="FFFFFF"/>
                            <w:sz w:val="20"/>
                          </w:rPr>
                          <w:t>eCommittee</w:t>
                        </w:r>
                      </w:hyperlink>
                    </w:p>
                    <w:p w:rsidR="00A901EA" w:rsidRPr="003277EE" w:rsidRDefault="00A901EA" w:rsidP="00777D87">
                      <w:pPr>
                        <w:ind w:left="490" w:right="196" w:hanging="490"/>
                        <w:jc w:val="both"/>
                        <w:rPr>
                          <w:rFonts w:ascii="Myriad Pro" w:hAnsi="Myriad Pro"/>
                          <w:b/>
                          <w:smallCaps/>
                          <w:color w:val="FFFFFF"/>
                          <w:spacing w:val="-10"/>
                          <w:sz w:val="16"/>
                          <w:szCs w:val="16"/>
                        </w:rPr>
                      </w:pPr>
                    </w:p>
                    <w:p w:rsidR="00A901EA" w:rsidRPr="003277EE" w:rsidRDefault="00A901EA" w:rsidP="00777D87">
                      <w:pPr>
                        <w:ind w:left="490" w:right="196" w:hanging="490"/>
                        <w:jc w:val="both"/>
                        <w:rPr>
                          <w:rFonts w:ascii="Myriad Pro" w:hAnsi="Myriad Pro"/>
                          <w:b/>
                          <w:smallCaps/>
                          <w:color w:val="FFFFFF"/>
                          <w:spacing w:val="-10"/>
                          <w:sz w:val="26"/>
                        </w:rPr>
                      </w:pPr>
                      <w:r>
                        <w:rPr>
                          <w:rFonts w:ascii="Myriad Pro" w:hAnsi="Myriad Pro"/>
                          <w:b/>
                          <w:smallCaps/>
                          <w:color w:val="FFFFFF"/>
                          <w:sz w:val="26"/>
                        </w:rPr>
                        <w:t>For further information</w:t>
                      </w:r>
                    </w:p>
                    <w:p w:rsidR="00A901EA" w:rsidRPr="003277EE" w:rsidRDefault="00A901EA" w:rsidP="00777D87">
                      <w:pPr>
                        <w:ind w:left="488" w:right="198" w:hanging="488"/>
                        <w:jc w:val="both"/>
                        <w:rPr>
                          <w:rFonts w:ascii="Myriad Pro" w:hAnsi="Myriad Pro" w:cs="Arial"/>
                          <w:color w:val="FFFFFF"/>
                          <w:sz w:val="20"/>
                        </w:rPr>
                      </w:pPr>
                      <w:r>
                        <w:rPr>
                          <w:rFonts w:ascii="Myriad Pro" w:hAnsi="Myriad Pro"/>
                          <w:color w:val="FFFFFF"/>
                          <w:sz w:val="20"/>
                        </w:rPr>
                        <w:t xml:space="preserve">Contact the </w:t>
                      </w:r>
                      <w:hyperlink r:id="rId59" w:history="1">
                        <w:r>
                          <w:rPr>
                            <w:rStyle w:val="Hyperlink"/>
                            <w:rFonts w:ascii="Myriad Pro" w:hAnsi="Myriad Pro"/>
                            <w:color w:val="FFFFFF"/>
                            <w:sz w:val="20"/>
                          </w:rPr>
                          <w:t>CONT Secretariat</w:t>
                        </w:r>
                      </w:hyperlink>
                      <w:r>
                        <w:rPr>
                          <w:rFonts w:ascii="Myriad Pro" w:hAnsi="Myriad Pro"/>
                          <w:color w:val="FFFFFF"/>
                          <w:sz w:val="20"/>
                        </w:rPr>
                        <w:t xml:space="preserve"> or visit the </w:t>
                      </w:r>
                      <w:hyperlink r:id="rId60" w:history="1">
                        <w:r>
                          <w:rPr>
                            <w:rStyle w:val="Hyperlink"/>
                            <w:rFonts w:ascii="Myriad Pro" w:hAnsi="Myriad Pro"/>
                            <w:color w:val="FFFFFF"/>
                            <w:sz w:val="20"/>
                          </w:rPr>
                          <w:t>website</w:t>
                        </w:r>
                      </w:hyperlink>
                      <w:r>
                        <w:rPr>
                          <w:rFonts w:ascii="Myriad Pro" w:hAnsi="Myriad Pro"/>
                          <w:color w:val="FFFFFF"/>
                          <w:sz w:val="20"/>
                        </w:rPr>
                        <w:t xml:space="preserve"> of the CONT committee</w:t>
                      </w:r>
                    </w:p>
                  </w:txbxContent>
                </v:textbox>
                <w10:wrap type="square"/>
              </v:shape>
            </w:pict>
          </mc:Fallback>
        </mc:AlternateContent>
      </w:r>
    </w:p>
    <w:p w:rsidR="00777D87" w:rsidRPr="004F68F2" w:rsidRDefault="00777D87" w:rsidP="00726BB4">
      <w:pPr>
        <w:widowControl/>
        <w:tabs>
          <w:tab w:val="left" w:pos="3510"/>
        </w:tabs>
        <w:spacing w:after="160" w:line="259" w:lineRule="auto"/>
        <w:ind w:firstLine="283"/>
        <w:rPr>
          <w:rFonts w:ascii="Arial" w:eastAsia="Calibri" w:hAnsi="Arial" w:cs="Arial"/>
          <w:snapToGrid/>
          <w:sz w:val="22"/>
          <w:szCs w:val="22"/>
        </w:rPr>
        <w:sectPr w:rsidR="00777D87" w:rsidRPr="004F68F2" w:rsidSect="00A901EA">
          <w:headerReference w:type="default" r:id="rId61"/>
          <w:pgSz w:w="11906" w:h="16838"/>
          <w:pgMar w:top="426" w:right="991" w:bottom="1276" w:left="1440" w:header="708" w:footer="708" w:gutter="0"/>
          <w:cols w:space="708"/>
          <w:docGrid w:linePitch="360"/>
        </w:sectPr>
      </w:pPr>
    </w:p>
    <w:p w:rsidR="00777D87" w:rsidRPr="004F68F2" w:rsidRDefault="00777D87" w:rsidP="00726BB4">
      <w:pPr>
        <w:widowControl/>
        <w:ind w:firstLine="283"/>
        <w:rPr>
          <w:rFonts w:ascii="Myriad Pro" w:hAnsi="Myriad Pro" w:cs="Arial"/>
          <w:snapToGrid/>
          <w:sz w:val="20"/>
        </w:rPr>
      </w:pPr>
      <w:r w:rsidRPr="004F68F2">
        <w:rPr>
          <w:rFonts w:ascii="Myriad Pro" w:hAnsi="Myriad Pro"/>
          <w:noProof/>
          <w:snapToGrid/>
          <w:sz w:val="20"/>
          <w:lang w:val="en-GB" w:eastAsia="en-GB"/>
        </w:rPr>
        <w:lastRenderedPageBreak/>
        <mc:AlternateContent>
          <mc:Choice Requires="wps">
            <w:drawing>
              <wp:inline distT="0" distB="0" distL="0" distR="0" wp14:anchorId="522E7D64" wp14:editId="5C8D343A">
                <wp:extent cx="5926455" cy="434990"/>
                <wp:effectExtent l="0" t="0" r="0" b="317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434990"/>
                        </a:xfrm>
                        <a:prstGeom prst="rect">
                          <a:avLst/>
                        </a:prstGeom>
                        <a:solidFill>
                          <a:srgbClr val="709047">
                            <a:alpha val="20000"/>
                          </a:srgbClr>
                        </a:solidFill>
                        <a:ln>
                          <a:noFill/>
                        </a:ln>
                      </wps:spPr>
                      <wps:txbx>
                        <w:txbxContent>
                          <w:p w:rsidR="00A901EA" w:rsidRPr="004F68F2"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lang w:val="en-GB"/>
                              </w:rPr>
                            </w:pPr>
                            <w:r w:rsidRPr="004F68F2">
                              <w:rPr>
                                <w:rFonts w:ascii="Myriad Pro" w:hAnsi="Myriad Pro"/>
                                <w:b/>
                                <w:smallCaps/>
                                <w:color w:val="709047"/>
                                <w:sz w:val="32"/>
                                <w:szCs w:val="32"/>
                                <w:lang w:val="en-GB"/>
                              </w:rPr>
                              <w:t>NEWS FROM POLICY DEPARTMENT - BUDGETARY AFFAIRS</w:t>
                            </w:r>
                          </w:p>
                        </w:txbxContent>
                      </wps:txbx>
                      <wps:bodyPr rot="0" vert="horz" wrap="square" lIns="91440" tIns="45720" rIns="91440" bIns="45720" anchor="t" anchorCtr="0" upright="1">
                        <a:noAutofit/>
                      </wps:bodyPr>
                    </wps:wsp>
                  </a:graphicData>
                </a:graphic>
              </wp:inline>
            </w:drawing>
          </mc:Choice>
          <mc:Fallback>
            <w:pict>
              <v:shape w14:anchorId="522E7D64" id="Text Box 16" o:spid="_x0000_s1029" type="#_x0000_t202" style="width:466.65pt;height: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" fillcolor="#709047" stroked="f">
                <v:fill opacity="13107f"/>
                <v:textbox>
                  <w:txbxContent>
                    <w:p w:rsidR="00A901EA" w:rsidRPr="003277EE"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b/>
                          <w:smallCaps/>
                          <w:color w:val="709047"/>
                          <w:sz w:val="32"/>
                          <w:szCs w:val="32"/>
                          <w:rFonts w:ascii="Myriad Pro" w:hAnsi="Myriad Pro"/>
                        </w:rPr>
                      </w:pPr>
                      <w:r>
                        <w:rPr>
                          <w:b/>
                          <w:smallCaps/>
                          <w:color w:val="709047"/>
                          <w:sz w:val="32"/>
                          <w:szCs w:val="32"/>
                          <w:rFonts w:ascii="Myriad Pro" w:hAnsi="Myriad Pro"/>
                        </w:rPr>
                        <w:t xml:space="preserve">NEWS FROM POLICY DEPARTMENT - BUDGETARY AFFAIRS</w:t>
                      </w:r>
                    </w:p>
                  </w:txbxContent>
                </v:textbox>
                <w10:anchorlock/>
              </v:shape>
            </w:pict>
          </mc:Fallback>
        </mc:AlternateContent>
      </w:r>
    </w:p>
    <w:p w:rsidR="00777D87" w:rsidRPr="004F68F2" w:rsidRDefault="00777D87" w:rsidP="00726BB4">
      <w:pPr>
        <w:widowControl/>
        <w:spacing w:after="80" w:line="259" w:lineRule="auto"/>
        <w:ind w:left="-567" w:right="-306" w:firstLine="283"/>
        <w:rPr>
          <w:rFonts w:ascii="Myriad Pro" w:eastAsia="Calibri" w:hAnsi="Myriad Pro" w:cs="Arial"/>
          <w:b/>
          <w:snapToGrid/>
          <w:sz w:val="20"/>
        </w:rPr>
      </w:pPr>
    </w:p>
    <w:p w:rsidR="00777D87" w:rsidRPr="004F68F2" w:rsidRDefault="00777D87" w:rsidP="00726BB4">
      <w:pPr>
        <w:widowControl/>
        <w:spacing w:after="80" w:line="259" w:lineRule="auto"/>
        <w:ind w:left="-567" w:right="-306" w:firstLine="283"/>
        <w:rPr>
          <w:rFonts w:ascii="Myriad Pro" w:eastAsia="Calibri" w:hAnsi="Myriad Pro" w:cs="Arial"/>
          <w:b/>
          <w:snapToGrid/>
          <w:vanish/>
          <w:sz w:val="20"/>
          <w:lang w:val="en-GB"/>
        </w:rPr>
      </w:pPr>
      <w:r w:rsidRPr="004F68F2">
        <w:rPr>
          <w:rFonts w:ascii="Myriad Pro" w:hAnsi="Myriad Pro"/>
          <w:b/>
          <w:snapToGrid/>
          <w:sz w:val="20"/>
          <w:lang w:val="en-GB"/>
        </w:rPr>
        <w:t>Recent Publications</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 xml:space="preserve"> </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CONT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u w:val="single"/>
          <w:lang w:val="en-GB"/>
        </w:rPr>
      </w:pPr>
      <w:r w:rsidRPr="004F68F2">
        <w:rPr>
          <w:rFonts w:ascii="Myriad Pro" w:hAnsi="Myriad Pro"/>
          <w:b/>
          <w:snapToGrid/>
          <w:color w:val="538135"/>
          <w:sz w:val="20"/>
          <w:lang w:val="en-GB"/>
        </w:rPr>
        <w:t>At a Glance “</w:t>
      </w:r>
      <w:hyperlink r:id="rId62" w:history="1">
        <w:r w:rsidRPr="004F68F2">
          <w:rPr>
            <w:rFonts w:ascii="Myriad Pro" w:hAnsi="Myriad Pro"/>
            <w:b/>
            <w:snapToGrid/>
            <w:color w:val="0000FF"/>
            <w:sz w:val="20"/>
            <w:u w:val="single"/>
            <w:lang w:val="en-GB"/>
          </w:rPr>
          <w:t>Nominations for Members of the European Court of Auditors</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In-depth Analysis “</w:t>
      </w:r>
      <w:hyperlink r:id="rId63" w:history="1">
        <w:r w:rsidRPr="004F68F2">
          <w:rPr>
            <w:rFonts w:ascii="Myriad Pro" w:hAnsi="Myriad Pro"/>
            <w:b/>
            <w:snapToGrid/>
            <w:color w:val="0000FF"/>
            <w:sz w:val="20"/>
            <w:u w:val="single"/>
            <w:lang w:val="en-GB"/>
          </w:rPr>
          <w:t>Follow up to the 2009 and 2014 Studies on the Code of Conduct for Commissioners - Improving Effectiveness and Efficiency</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In-depth Analysis “</w:t>
      </w:r>
      <w:hyperlink r:id="rId64" w:history="1">
        <w:r w:rsidRPr="004F68F2">
          <w:rPr>
            <w:rFonts w:ascii="Myriad Pro" w:hAnsi="Myriad Pro"/>
            <w:b/>
            <w:snapToGrid/>
            <w:color w:val="0000FF"/>
            <w:sz w:val="20"/>
            <w:u w:val="single"/>
            <w:lang w:val="en-GB"/>
          </w:rPr>
          <w:t>Gaps and Errors in the TED database</w:t>
        </w:r>
      </w:hyperlink>
      <w:r w:rsidRPr="004F68F2">
        <w:rPr>
          <w:rFonts w:ascii="Myriad Pro" w:hAnsi="Myriad Pro"/>
          <w:b/>
          <w:snapToGrid/>
          <w:color w:val="538135"/>
          <w:sz w:val="20"/>
          <w:lang w:val="en-GB"/>
        </w:rPr>
        <w:t xml:space="preserve">” </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Study “</w:t>
      </w:r>
      <w:hyperlink r:id="rId65" w:history="1">
        <w:r w:rsidRPr="004F68F2">
          <w:rPr>
            <w:rFonts w:ascii="Myriad Pro" w:hAnsi="Myriad Pro"/>
            <w:b/>
            <w:snapToGrid/>
            <w:color w:val="0000FF"/>
            <w:sz w:val="20"/>
            <w:u w:val="single"/>
            <w:lang w:val="en-GB"/>
          </w:rPr>
          <w:t>The European Public Prosecutor’s Office:</w:t>
        </w:r>
      </w:hyperlink>
      <w:hyperlink r:id="rId66" w:history="1">
        <w:r w:rsidRPr="004F68F2">
          <w:rPr>
            <w:rFonts w:ascii="Myriad Pro" w:hAnsi="Myriad Pro"/>
            <w:b/>
            <w:snapToGrid/>
            <w:color w:val="0000FF"/>
            <w:sz w:val="20"/>
            <w:u w:val="single"/>
            <w:lang w:val="en-GB"/>
          </w:rPr>
          <w:t xml:space="preserve"> Strategies for coping with complexity</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Study “</w:t>
      </w:r>
      <w:hyperlink r:id="rId67" w:history="1">
        <w:r w:rsidRPr="004F68F2">
          <w:rPr>
            <w:rFonts w:ascii="Myriad Pro" w:hAnsi="Myriad Pro"/>
            <w:b/>
            <w:snapToGrid/>
            <w:color w:val="0000FF"/>
            <w:sz w:val="20"/>
            <w:u w:val="single"/>
            <w:lang w:val="en-GB"/>
          </w:rPr>
          <w:t>Effectiveness of cohesion policy:</w:t>
        </w:r>
      </w:hyperlink>
      <w:hyperlink r:id="rId68" w:history="1">
        <w:r w:rsidRPr="004F68F2">
          <w:rPr>
            <w:rFonts w:ascii="Myriad Pro" w:hAnsi="Myriad Pro"/>
            <w:b/>
            <w:snapToGrid/>
            <w:color w:val="0000FF"/>
            <w:sz w:val="20"/>
            <w:u w:val="single"/>
            <w:lang w:val="en-GB"/>
          </w:rPr>
          <w:t xml:space="preserve"> learning from the project characteristics that produce the best results</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BUDG</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Study “</w:t>
      </w:r>
      <w:hyperlink r:id="rId69" w:history="1">
        <w:r w:rsidRPr="004F68F2">
          <w:rPr>
            <w:rFonts w:ascii="Myriad Pro" w:hAnsi="Myriad Pro"/>
            <w:b/>
            <w:snapToGrid/>
            <w:color w:val="0000FF"/>
            <w:sz w:val="20"/>
            <w:u w:val="single"/>
            <w:lang w:val="en-GB"/>
          </w:rPr>
          <w:t>Pilot projects and preparatory actions (PP/PA) in the EU budget 2014-2019”</w:t>
        </w:r>
      </w:hyperlink>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Briefing “</w:t>
      </w:r>
      <w:hyperlink r:id="rId70" w:history="1">
        <w:r w:rsidRPr="004F68F2">
          <w:rPr>
            <w:rFonts w:ascii="Myriad Pro" w:hAnsi="Myriad Pro"/>
            <w:b/>
            <w:snapToGrid/>
            <w:color w:val="0000FF"/>
            <w:sz w:val="20"/>
            <w:u w:val="single"/>
            <w:lang w:val="en-GB"/>
          </w:rPr>
          <w:t>Next Generation EU - Where are assigned revenue?</w:t>
        </w:r>
      </w:hyperlink>
      <w:hyperlink r:id="rId71" w:history="1">
        <w:r w:rsidRPr="004F68F2">
          <w:rPr>
            <w:rFonts w:ascii="Myriad Pro" w:hAnsi="Myriad Pro"/>
            <w:b/>
            <w:snapToGrid/>
            <w:color w:val="0000FF"/>
            <w:sz w:val="20"/>
            <w:u w:val="single"/>
            <w:lang w:val="en-GB"/>
          </w:rPr>
          <w:t xml:space="preserve"> Which impact in 2021?</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Study “</w:t>
      </w:r>
      <w:hyperlink r:id="rId72" w:history="1">
        <w:r w:rsidRPr="004F68F2">
          <w:rPr>
            <w:rFonts w:ascii="Myriad Pro" w:hAnsi="Myriad Pro"/>
            <w:b/>
            <w:snapToGrid/>
            <w:color w:val="0000FF"/>
            <w:sz w:val="20"/>
            <w:u w:val="single"/>
            <w:lang w:val="en-GB"/>
          </w:rPr>
          <w:t>How EU funds tackle economic divide in the European Union</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Study “</w:t>
      </w:r>
      <w:hyperlink r:id="rId73" w:history="1">
        <w:r w:rsidRPr="004F68F2">
          <w:rPr>
            <w:rFonts w:ascii="Myriad Pro" w:hAnsi="Myriad Pro"/>
            <w:b/>
            <w:snapToGrid/>
            <w:color w:val="0000FF"/>
            <w:sz w:val="20"/>
            <w:u w:val="single"/>
            <w:lang w:val="en-GB"/>
          </w:rPr>
          <w:t>Documenting climate mainstreaming in the EU budget - making the system more transparent, stringent and comprehensive</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Briefing “</w:t>
      </w:r>
      <w:hyperlink r:id="rId74" w:history="1">
        <w:r w:rsidRPr="004F68F2">
          <w:rPr>
            <w:rFonts w:ascii="Myriad Pro" w:hAnsi="Myriad Pro"/>
            <w:b/>
            <w:snapToGrid/>
            <w:color w:val="0000FF"/>
            <w:sz w:val="20"/>
            <w:u w:val="single"/>
            <w:lang w:val="en-GB"/>
          </w:rPr>
          <w:t>Assigned revenue in the Recovery Plan - The frog that wishes to be as big as the ox?</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Study “</w:t>
      </w:r>
      <w:hyperlink r:id="rId75" w:history="1">
        <w:r w:rsidRPr="004F68F2">
          <w:rPr>
            <w:rFonts w:ascii="Myriad Pro" w:hAnsi="Myriad Pro"/>
            <w:b/>
            <w:snapToGrid/>
            <w:color w:val="0000FF"/>
            <w:sz w:val="20"/>
            <w:u w:val="single"/>
            <w:lang w:val="en-GB"/>
          </w:rPr>
          <w:t>A Just Transition Fund - How the EU budget can best assist in the necessary transition from fossil fuels to sustainable energy</w:t>
        </w:r>
      </w:hyperlink>
      <w:r w:rsidRPr="004F68F2">
        <w:rPr>
          <w:rFonts w:ascii="Myriad Pro" w:hAnsi="Myriad Pro"/>
          <w:b/>
          <w:snapToGrid/>
          <w:color w:val="538135"/>
          <w:sz w:val="20"/>
          <w:lang w:val="en-GB"/>
        </w:rPr>
        <w:t xml:space="preserve">" (Available in </w:t>
      </w:r>
      <w:hyperlink r:id="rId76" w:history="1">
        <w:r w:rsidRPr="004F68F2">
          <w:rPr>
            <w:rFonts w:ascii="Myriad Pro" w:hAnsi="Myriad Pro"/>
            <w:b/>
            <w:snapToGrid/>
            <w:color w:val="0000FF"/>
            <w:sz w:val="20"/>
            <w:u w:val="single"/>
            <w:lang w:val="en-GB"/>
          </w:rPr>
          <w:t>DE</w:t>
        </w:r>
      </w:hyperlink>
      <w:r w:rsidRPr="004F68F2">
        <w:rPr>
          <w:rFonts w:ascii="Myriad Pro" w:hAnsi="Myriad Pro"/>
          <w:b/>
          <w:snapToGrid/>
          <w:color w:val="538135"/>
          <w:sz w:val="20"/>
          <w:lang w:val="en-GB"/>
        </w:rPr>
        <w:t xml:space="preserve">, </w:t>
      </w:r>
      <w:hyperlink r:id="rId77" w:history="1">
        <w:r w:rsidRPr="004F68F2">
          <w:rPr>
            <w:rFonts w:ascii="Myriad Pro" w:hAnsi="Myriad Pro"/>
            <w:b/>
            <w:snapToGrid/>
            <w:color w:val="0000FF"/>
            <w:sz w:val="20"/>
            <w:u w:val="single"/>
            <w:lang w:val="en-GB"/>
          </w:rPr>
          <w:t>ES</w:t>
        </w:r>
      </w:hyperlink>
      <w:r w:rsidRPr="004F68F2">
        <w:rPr>
          <w:rFonts w:ascii="Myriad Pro" w:hAnsi="Myriad Pro"/>
          <w:b/>
          <w:snapToGrid/>
          <w:color w:val="538135"/>
          <w:sz w:val="20"/>
          <w:lang w:val="en-GB"/>
        </w:rPr>
        <w:t xml:space="preserve">, </w:t>
      </w:r>
      <w:hyperlink r:id="rId78" w:history="1">
        <w:r w:rsidRPr="004F68F2">
          <w:rPr>
            <w:rFonts w:ascii="Myriad Pro" w:hAnsi="Myriad Pro"/>
            <w:b/>
            <w:snapToGrid/>
            <w:color w:val="0000FF"/>
            <w:sz w:val="20"/>
            <w:u w:val="single"/>
            <w:lang w:val="en-GB"/>
          </w:rPr>
          <w:t>FR</w:t>
        </w:r>
      </w:hyperlink>
      <w:r w:rsidRPr="004F68F2">
        <w:rPr>
          <w:rFonts w:ascii="Myriad Pro" w:hAnsi="Myriad Pro"/>
          <w:b/>
          <w:snapToGrid/>
          <w:color w:val="538135"/>
          <w:sz w:val="20"/>
          <w:lang w:val="en-GB"/>
        </w:rPr>
        <w:t xml:space="preserve">, </w:t>
      </w:r>
      <w:hyperlink r:id="rId79" w:history="1">
        <w:r w:rsidRPr="004F68F2">
          <w:rPr>
            <w:rFonts w:ascii="Myriad Pro" w:hAnsi="Myriad Pro"/>
            <w:b/>
            <w:snapToGrid/>
            <w:color w:val="0000FF"/>
            <w:sz w:val="20"/>
            <w:u w:val="single"/>
            <w:lang w:val="en-GB"/>
          </w:rPr>
          <w:t>IT</w:t>
        </w:r>
      </w:hyperlink>
      <w:r w:rsidRPr="004F68F2">
        <w:rPr>
          <w:rFonts w:ascii="Myriad Pro" w:hAnsi="Myriad Pro"/>
          <w:b/>
          <w:snapToGrid/>
          <w:color w:val="538135"/>
          <w:sz w:val="20"/>
          <w:lang w:val="en-GB"/>
        </w:rPr>
        <w:t xml:space="preserve">, </w:t>
      </w:r>
      <w:hyperlink r:id="rId80" w:history="1">
        <w:r w:rsidRPr="004F68F2">
          <w:rPr>
            <w:rFonts w:ascii="Myriad Pro" w:hAnsi="Myriad Pro"/>
            <w:b/>
            <w:snapToGrid/>
            <w:color w:val="0000FF"/>
            <w:sz w:val="20"/>
            <w:u w:val="single"/>
            <w:lang w:val="en-GB"/>
          </w:rPr>
          <w:t>PL</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Briefing “</w:t>
      </w:r>
      <w:hyperlink r:id="rId81" w:history="1">
        <w:r w:rsidRPr="004F68F2">
          <w:rPr>
            <w:rFonts w:ascii="Myriad Pro" w:hAnsi="Myriad Pro"/>
            <w:b/>
            <w:snapToGrid/>
            <w:color w:val="0000FF"/>
            <w:sz w:val="20"/>
            <w:u w:val="single"/>
            <w:lang w:val="en-GB"/>
          </w:rPr>
          <w:t>The net operating balances:</w:t>
        </w:r>
      </w:hyperlink>
      <w:hyperlink r:id="rId82" w:history="1">
        <w:r w:rsidRPr="004F68F2">
          <w:rPr>
            <w:rFonts w:ascii="Myriad Pro" w:hAnsi="Myriad Pro"/>
            <w:b/>
            <w:snapToGrid/>
            <w:color w:val="0000FF"/>
            <w:sz w:val="20"/>
            <w:u w:val="single"/>
            <w:lang w:val="en-GB"/>
          </w:rPr>
          <w:t xml:space="preserve"> Variants, emerging numbers and history</w:t>
        </w:r>
      </w:hyperlink>
      <w:r w:rsidRPr="004F68F2">
        <w:rPr>
          <w:rFonts w:ascii="Myriad Pro" w:hAnsi="Myriad Pro"/>
          <w:b/>
          <w:snapToGrid/>
          <w:color w:val="538135"/>
          <w:sz w:val="20"/>
          <w:lang w:val="en-GB"/>
        </w:rPr>
        <w:t xml:space="preserve">” (Available in </w:t>
      </w:r>
      <w:hyperlink r:id="rId83" w:history="1">
        <w:r w:rsidRPr="004F68F2">
          <w:rPr>
            <w:rFonts w:ascii="Myriad Pro" w:hAnsi="Myriad Pro"/>
            <w:b/>
            <w:snapToGrid/>
            <w:color w:val="0000FF"/>
            <w:sz w:val="20"/>
            <w:u w:val="single"/>
            <w:lang w:val="en-GB"/>
          </w:rPr>
          <w:t>DA</w:t>
        </w:r>
      </w:hyperlink>
      <w:r w:rsidRPr="004F68F2">
        <w:rPr>
          <w:rFonts w:ascii="Myriad Pro" w:hAnsi="Myriad Pro"/>
          <w:b/>
          <w:snapToGrid/>
          <w:color w:val="538135"/>
          <w:sz w:val="20"/>
          <w:lang w:val="en-GB"/>
        </w:rPr>
        <w:t xml:space="preserve">, </w:t>
      </w:r>
      <w:hyperlink r:id="rId84" w:history="1">
        <w:r w:rsidRPr="004F68F2">
          <w:rPr>
            <w:rFonts w:ascii="Myriad Pro" w:hAnsi="Myriad Pro"/>
            <w:b/>
            <w:snapToGrid/>
            <w:color w:val="0000FF"/>
            <w:sz w:val="20"/>
            <w:u w:val="single"/>
            <w:lang w:val="en-GB"/>
          </w:rPr>
          <w:t>DE</w:t>
        </w:r>
      </w:hyperlink>
      <w:r w:rsidRPr="004F68F2">
        <w:rPr>
          <w:rFonts w:ascii="Myriad Pro" w:hAnsi="Myriad Pro"/>
          <w:b/>
          <w:snapToGrid/>
          <w:color w:val="538135"/>
          <w:sz w:val="20"/>
          <w:lang w:val="en-GB"/>
        </w:rPr>
        <w:t xml:space="preserve">, </w:t>
      </w:r>
      <w:hyperlink r:id="rId85" w:history="1">
        <w:r w:rsidRPr="004F68F2">
          <w:rPr>
            <w:rFonts w:ascii="Myriad Pro" w:hAnsi="Myriad Pro"/>
            <w:b/>
            <w:snapToGrid/>
            <w:color w:val="0000FF"/>
            <w:sz w:val="20"/>
            <w:u w:val="single"/>
            <w:lang w:val="en-GB"/>
          </w:rPr>
          <w:t>ES</w:t>
        </w:r>
      </w:hyperlink>
      <w:r w:rsidRPr="004F68F2">
        <w:rPr>
          <w:rFonts w:ascii="Myriad Pro" w:hAnsi="Myriad Pro"/>
          <w:b/>
          <w:snapToGrid/>
          <w:color w:val="538135"/>
          <w:sz w:val="20"/>
          <w:lang w:val="en-GB"/>
        </w:rPr>
        <w:t xml:space="preserve">, </w:t>
      </w:r>
      <w:hyperlink r:id="rId86" w:history="1">
        <w:r w:rsidRPr="004F68F2">
          <w:rPr>
            <w:rFonts w:ascii="Myriad Pro" w:hAnsi="Myriad Pro"/>
            <w:b/>
            <w:snapToGrid/>
            <w:color w:val="0000FF"/>
            <w:sz w:val="20"/>
            <w:u w:val="single"/>
            <w:lang w:val="en-GB"/>
          </w:rPr>
          <w:t>FR</w:t>
        </w:r>
      </w:hyperlink>
      <w:r w:rsidRPr="004F68F2">
        <w:rPr>
          <w:rFonts w:ascii="Myriad Pro" w:hAnsi="Myriad Pro"/>
          <w:b/>
          <w:snapToGrid/>
          <w:color w:val="538135"/>
          <w:sz w:val="20"/>
          <w:lang w:val="en-GB"/>
        </w:rPr>
        <w:t xml:space="preserve">, </w:t>
      </w:r>
      <w:hyperlink r:id="rId87" w:history="1">
        <w:r w:rsidRPr="004F68F2">
          <w:rPr>
            <w:rFonts w:ascii="Myriad Pro" w:hAnsi="Myriad Pro"/>
            <w:b/>
            <w:snapToGrid/>
            <w:color w:val="0000FF"/>
            <w:sz w:val="20"/>
            <w:u w:val="single"/>
            <w:lang w:val="en-GB"/>
          </w:rPr>
          <w:t>IT</w:t>
        </w:r>
      </w:hyperlink>
      <w:r w:rsidRPr="004F68F2">
        <w:rPr>
          <w:rFonts w:ascii="Myriad Pro" w:hAnsi="Myriad Pro"/>
          <w:b/>
          <w:snapToGrid/>
          <w:color w:val="538135"/>
          <w:sz w:val="20"/>
          <w:lang w:val="en-GB"/>
        </w:rPr>
        <w:t xml:space="preserve">, </w:t>
      </w:r>
      <w:hyperlink r:id="rId88" w:history="1">
        <w:r w:rsidRPr="004F68F2">
          <w:rPr>
            <w:rFonts w:ascii="Myriad Pro" w:hAnsi="Myriad Pro"/>
            <w:b/>
            <w:snapToGrid/>
            <w:color w:val="0000FF"/>
            <w:sz w:val="20"/>
            <w:u w:val="single"/>
            <w:lang w:val="en-GB"/>
          </w:rPr>
          <w:t>NL</w:t>
        </w:r>
      </w:hyperlink>
      <w:r w:rsidRPr="004F68F2">
        <w:rPr>
          <w:rFonts w:ascii="Myriad Pro" w:hAnsi="Myriad Pro"/>
          <w:b/>
          <w:snapToGrid/>
          <w:color w:val="538135"/>
          <w:sz w:val="20"/>
          <w:lang w:val="en-GB"/>
        </w:rPr>
        <w:t xml:space="preserve">, </w:t>
      </w:r>
      <w:hyperlink r:id="rId89" w:history="1">
        <w:r w:rsidRPr="004F68F2">
          <w:rPr>
            <w:rFonts w:ascii="Myriad Pro" w:hAnsi="Myriad Pro"/>
            <w:b/>
            <w:snapToGrid/>
            <w:color w:val="0000FF"/>
            <w:sz w:val="20"/>
            <w:u w:val="single"/>
            <w:lang w:val="en-GB"/>
          </w:rPr>
          <w:t>PL</w:t>
        </w:r>
      </w:hyperlink>
      <w:r w:rsidRPr="004F68F2">
        <w:rPr>
          <w:rFonts w:ascii="Myriad Pro" w:hAnsi="Myriad Pro"/>
          <w:b/>
          <w:snapToGrid/>
          <w:color w:val="538135"/>
          <w:sz w:val="20"/>
          <w:lang w:val="en-GB"/>
        </w:rPr>
        <w:t xml:space="preserve">, </w:t>
      </w:r>
      <w:hyperlink r:id="rId90" w:history="1">
        <w:r w:rsidRPr="004F68F2">
          <w:rPr>
            <w:rFonts w:ascii="Myriad Pro" w:hAnsi="Myriad Pro"/>
            <w:b/>
            <w:snapToGrid/>
            <w:color w:val="0000FF"/>
            <w:sz w:val="20"/>
            <w:u w:val="single"/>
            <w:lang w:val="en-GB"/>
          </w:rPr>
          <w:t>SV</w:t>
        </w:r>
      </w:hyperlink>
      <w:r w:rsidRPr="004F68F2">
        <w:rPr>
          <w:rFonts w:ascii="Myriad Pro" w:hAnsi="Myriad Pro"/>
          <w:b/>
          <w:snapToGrid/>
          <w:color w:val="538135"/>
          <w:sz w:val="20"/>
          <w:lang w:val="en-GB"/>
        </w:rPr>
        <w:t xml:space="preserve">) </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Briefing “</w:t>
      </w:r>
      <w:hyperlink r:id="rId91" w:history="1">
        <w:r w:rsidRPr="004F68F2">
          <w:rPr>
            <w:rFonts w:ascii="Myriad Pro" w:hAnsi="Myriad Pro"/>
            <w:b/>
            <w:snapToGrid/>
            <w:color w:val="0000FF"/>
            <w:sz w:val="20"/>
            <w:u w:val="single"/>
            <w:lang w:val="en-GB"/>
          </w:rPr>
          <w:t>Why net operating balances are a distorted indicator of a Member State’s benefit from the EU budget</w:t>
        </w:r>
      </w:hyperlink>
      <w:r w:rsidRPr="004F68F2">
        <w:rPr>
          <w:rFonts w:ascii="Myriad Pro" w:hAnsi="Myriad Pro"/>
          <w:b/>
          <w:snapToGrid/>
          <w:color w:val="538135"/>
          <w:sz w:val="20"/>
          <w:lang w:val="en-GB"/>
        </w:rPr>
        <w:t xml:space="preserve">” (Available in </w:t>
      </w:r>
      <w:hyperlink r:id="rId92" w:history="1">
        <w:r w:rsidRPr="004F68F2">
          <w:rPr>
            <w:rFonts w:ascii="Myriad Pro" w:hAnsi="Myriad Pro"/>
            <w:b/>
            <w:snapToGrid/>
            <w:color w:val="0000FF"/>
            <w:sz w:val="20"/>
            <w:u w:val="single"/>
            <w:lang w:val="en-GB"/>
          </w:rPr>
          <w:t>DA</w:t>
        </w:r>
      </w:hyperlink>
      <w:r w:rsidRPr="004F68F2">
        <w:rPr>
          <w:rFonts w:ascii="Myriad Pro" w:hAnsi="Myriad Pro"/>
          <w:b/>
          <w:snapToGrid/>
          <w:color w:val="538135"/>
          <w:sz w:val="20"/>
          <w:lang w:val="en-GB"/>
        </w:rPr>
        <w:t xml:space="preserve">, </w:t>
      </w:r>
      <w:hyperlink r:id="rId93" w:history="1">
        <w:r w:rsidRPr="004F68F2">
          <w:rPr>
            <w:rFonts w:ascii="Myriad Pro" w:hAnsi="Myriad Pro"/>
            <w:b/>
            <w:snapToGrid/>
            <w:color w:val="0000FF"/>
            <w:sz w:val="20"/>
            <w:u w:val="single"/>
            <w:lang w:val="en-GB"/>
          </w:rPr>
          <w:t>DE</w:t>
        </w:r>
      </w:hyperlink>
      <w:r w:rsidRPr="004F68F2">
        <w:rPr>
          <w:rFonts w:ascii="Myriad Pro" w:hAnsi="Myriad Pro"/>
          <w:b/>
          <w:snapToGrid/>
          <w:color w:val="538135"/>
          <w:sz w:val="20"/>
          <w:lang w:val="en-GB"/>
        </w:rPr>
        <w:t xml:space="preserve">, </w:t>
      </w:r>
      <w:hyperlink r:id="rId94" w:history="1">
        <w:r w:rsidRPr="004F68F2">
          <w:rPr>
            <w:rFonts w:ascii="Myriad Pro" w:hAnsi="Myriad Pro"/>
            <w:b/>
            <w:snapToGrid/>
            <w:color w:val="0000FF"/>
            <w:sz w:val="20"/>
            <w:u w:val="single"/>
            <w:lang w:val="en-GB"/>
          </w:rPr>
          <w:t>ES</w:t>
        </w:r>
      </w:hyperlink>
      <w:r w:rsidRPr="004F68F2">
        <w:rPr>
          <w:rFonts w:ascii="Myriad Pro" w:hAnsi="Myriad Pro"/>
          <w:b/>
          <w:snapToGrid/>
          <w:color w:val="538135"/>
          <w:sz w:val="20"/>
          <w:lang w:val="en-GB"/>
        </w:rPr>
        <w:t xml:space="preserve">, </w:t>
      </w:r>
      <w:hyperlink r:id="rId95" w:history="1">
        <w:r w:rsidRPr="004F68F2">
          <w:rPr>
            <w:rFonts w:ascii="Myriad Pro" w:hAnsi="Myriad Pro"/>
            <w:b/>
            <w:snapToGrid/>
            <w:color w:val="0000FF"/>
            <w:sz w:val="20"/>
            <w:u w:val="single"/>
            <w:lang w:val="en-GB"/>
          </w:rPr>
          <w:t>FR</w:t>
        </w:r>
      </w:hyperlink>
      <w:r w:rsidRPr="004F68F2">
        <w:rPr>
          <w:rFonts w:ascii="Myriad Pro" w:hAnsi="Myriad Pro"/>
          <w:b/>
          <w:snapToGrid/>
          <w:color w:val="538135"/>
          <w:sz w:val="20"/>
          <w:lang w:val="en-GB"/>
        </w:rPr>
        <w:t xml:space="preserve">, </w:t>
      </w:r>
      <w:hyperlink r:id="rId96" w:history="1">
        <w:r w:rsidRPr="004F68F2">
          <w:rPr>
            <w:rFonts w:ascii="Myriad Pro" w:hAnsi="Myriad Pro"/>
            <w:b/>
            <w:snapToGrid/>
            <w:color w:val="0000FF"/>
            <w:sz w:val="20"/>
            <w:u w:val="single"/>
            <w:lang w:val="en-GB"/>
          </w:rPr>
          <w:t>IT</w:t>
        </w:r>
      </w:hyperlink>
      <w:r w:rsidRPr="004F68F2">
        <w:rPr>
          <w:rFonts w:ascii="Myriad Pro" w:hAnsi="Myriad Pro"/>
          <w:b/>
          <w:snapToGrid/>
          <w:color w:val="538135"/>
          <w:sz w:val="20"/>
          <w:lang w:val="en-GB"/>
        </w:rPr>
        <w:t xml:space="preserve">, </w:t>
      </w:r>
      <w:hyperlink r:id="rId97" w:history="1">
        <w:r w:rsidRPr="004F68F2">
          <w:rPr>
            <w:rFonts w:ascii="Myriad Pro" w:hAnsi="Myriad Pro"/>
            <w:b/>
            <w:snapToGrid/>
            <w:color w:val="0000FF"/>
            <w:sz w:val="20"/>
            <w:u w:val="single"/>
            <w:lang w:val="en-GB"/>
          </w:rPr>
          <w:t>NL</w:t>
        </w:r>
      </w:hyperlink>
      <w:r w:rsidRPr="004F68F2">
        <w:rPr>
          <w:rFonts w:ascii="Myriad Pro" w:hAnsi="Myriad Pro"/>
          <w:b/>
          <w:snapToGrid/>
          <w:color w:val="538135"/>
          <w:sz w:val="20"/>
          <w:lang w:val="en-GB"/>
        </w:rPr>
        <w:t xml:space="preserve">, </w:t>
      </w:r>
      <w:hyperlink r:id="rId98" w:history="1">
        <w:r w:rsidRPr="004F68F2">
          <w:rPr>
            <w:rFonts w:ascii="Myriad Pro" w:hAnsi="Myriad Pro"/>
            <w:b/>
            <w:snapToGrid/>
            <w:color w:val="0000FF"/>
            <w:sz w:val="20"/>
            <w:u w:val="single"/>
            <w:lang w:val="en-GB"/>
          </w:rPr>
          <w:t>PL</w:t>
        </w:r>
      </w:hyperlink>
      <w:r w:rsidRPr="004F68F2">
        <w:rPr>
          <w:rFonts w:ascii="Myriad Pro" w:hAnsi="Myriad Pro"/>
          <w:b/>
          <w:snapToGrid/>
          <w:color w:val="538135"/>
          <w:sz w:val="20"/>
          <w:lang w:val="en-GB"/>
        </w:rPr>
        <w:t xml:space="preserve">, </w:t>
      </w:r>
      <w:hyperlink r:id="rId99" w:history="1">
        <w:r w:rsidRPr="004F68F2">
          <w:rPr>
            <w:rFonts w:ascii="Myriad Pro" w:hAnsi="Myriad Pro"/>
            <w:b/>
            <w:snapToGrid/>
            <w:color w:val="0000FF"/>
            <w:sz w:val="20"/>
            <w:u w:val="single"/>
            <w:lang w:val="en-GB"/>
          </w:rPr>
          <w:t>SV</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Briefing “</w:t>
      </w:r>
      <w:hyperlink r:id="rId100" w:history="1">
        <w:r w:rsidRPr="004F68F2">
          <w:rPr>
            <w:rFonts w:ascii="Myriad Pro" w:hAnsi="Myriad Pro"/>
            <w:b/>
            <w:snapToGrid/>
            <w:color w:val="0000FF"/>
            <w:sz w:val="20"/>
            <w:u w:val="single"/>
            <w:lang w:val="en-GB"/>
          </w:rPr>
          <w:t>The benefits of EU membership are not measured by net operating balances</w:t>
        </w:r>
      </w:hyperlink>
      <w:r w:rsidRPr="004F68F2">
        <w:rPr>
          <w:rFonts w:ascii="Myriad Pro" w:hAnsi="Myriad Pro"/>
          <w:b/>
          <w:snapToGrid/>
          <w:color w:val="538135"/>
          <w:sz w:val="20"/>
          <w:lang w:val="en-GB"/>
        </w:rPr>
        <w:t xml:space="preserve">” (Available in </w:t>
      </w:r>
      <w:hyperlink r:id="rId101" w:history="1">
        <w:r w:rsidRPr="004F68F2">
          <w:rPr>
            <w:rFonts w:ascii="Myriad Pro" w:hAnsi="Myriad Pro"/>
            <w:b/>
            <w:snapToGrid/>
            <w:color w:val="0000FF"/>
            <w:sz w:val="20"/>
            <w:u w:val="single"/>
            <w:lang w:val="en-GB"/>
          </w:rPr>
          <w:t>DA</w:t>
        </w:r>
      </w:hyperlink>
      <w:r w:rsidRPr="004F68F2">
        <w:rPr>
          <w:rFonts w:ascii="Myriad Pro" w:hAnsi="Myriad Pro"/>
          <w:b/>
          <w:snapToGrid/>
          <w:color w:val="538135"/>
          <w:sz w:val="20"/>
          <w:lang w:val="en-GB"/>
        </w:rPr>
        <w:t xml:space="preserve">, </w:t>
      </w:r>
      <w:hyperlink r:id="rId102" w:history="1">
        <w:r w:rsidRPr="004F68F2">
          <w:rPr>
            <w:rFonts w:ascii="Myriad Pro" w:hAnsi="Myriad Pro"/>
            <w:b/>
            <w:snapToGrid/>
            <w:color w:val="0000FF"/>
            <w:sz w:val="20"/>
            <w:u w:val="single"/>
            <w:lang w:val="en-GB"/>
          </w:rPr>
          <w:t>DE</w:t>
        </w:r>
      </w:hyperlink>
      <w:r w:rsidRPr="004F68F2">
        <w:rPr>
          <w:rFonts w:ascii="Myriad Pro" w:hAnsi="Myriad Pro"/>
          <w:b/>
          <w:snapToGrid/>
          <w:color w:val="538135"/>
          <w:sz w:val="20"/>
          <w:lang w:val="en-GB"/>
        </w:rPr>
        <w:t xml:space="preserve">, </w:t>
      </w:r>
      <w:hyperlink r:id="rId103" w:history="1">
        <w:r w:rsidRPr="004F68F2">
          <w:rPr>
            <w:rFonts w:ascii="Myriad Pro" w:hAnsi="Myriad Pro"/>
            <w:b/>
            <w:snapToGrid/>
            <w:color w:val="0000FF"/>
            <w:sz w:val="20"/>
            <w:u w:val="single"/>
            <w:lang w:val="en-GB"/>
          </w:rPr>
          <w:t>ES</w:t>
        </w:r>
      </w:hyperlink>
      <w:r w:rsidRPr="004F68F2">
        <w:rPr>
          <w:rFonts w:ascii="Myriad Pro" w:hAnsi="Myriad Pro"/>
          <w:b/>
          <w:snapToGrid/>
          <w:color w:val="538135"/>
          <w:sz w:val="20"/>
          <w:lang w:val="en-GB"/>
        </w:rPr>
        <w:t xml:space="preserve">, </w:t>
      </w:r>
      <w:hyperlink r:id="rId104" w:history="1">
        <w:r w:rsidRPr="004F68F2">
          <w:rPr>
            <w:rFonts w:ascii="Myriad Pro" w:hAnsi="Myriad Pro"/>
            <w:b/>
            <w:snapToGrid/>
            <w:color w:val="0000FF"/>
            <w:sz w:val="20"/>
            <w:u w:val="single"/>
            <w:lang w:val="en-GB"/>
          </w:rPr>
          <w:t>FR</w:t>
        </w:r>
      </w:hyperlink>
      <w:r w:rsidRPr="004F68F2">
        <w:rPr>
          <w:rFonts w:ascii="Myriad Pro" w:hAnsi="Myriad Pro"/>
          <w:b/>
          <w:snapToGrid/>
          <w:color w:val="538135"/>
          <w:sz w:val="20"/>
          <w:lang w:val="en-GB"/>
        </w:rPr>
        <w:t xml:space="preserve">, </w:t>
      </w:r>
      <w:hyperlink r:id="rId105" w:history="1">
        <w:r w:rsidRPr="004F68F2">
          <w:rPr>
            <w:rFonts w:ascii="Myriad Pro" w:hAnsi="Myriad Pro"/>
            <w:b/>
            <w:snapToGrid/>
            <w:color w:val="0000FF"/>
            <w:sz w:val="20"/>
            <w:u w:val="single"/>
            <w:lang w:val="en-GB"/>
          </w:rPr>
          <w:t>IT</w:t>
        </w:r>
      </w:hyperlink>
      <w:r w:rsidRPr="004F68F2">
        <w:rPr>
          <w:rFonts w:ascii="Myriad Pro" w:hAnsi="Myriad Pro"/>
          <w:b/>
          <w:snapToGrid/>
          <w:color w:val="538135"/>
          <w:sz w:val="20"/>
          <w:lang w:val="en-GB"/>
        </w:rPr>
        <w:t xml:space="preserve">, </w:t>
      </w:r>
      <w:hyperlink r:id="rId106" w:history="1">
        <w:r w:rsidRPr="004F68F2">
          <w:rPr>
            <w:rFonts w:ascii="Myriad Pro" w:hAnsi="Myriad Pro"/>
            <w:b/>
            <w:snapToGrid/>
            <w:color w:val="0000FF"/>
            <w:sz w:val="20"/>
            <w:u w:val="single"/>
            <w:lang w:val="en-GB"/>
          </w:rPr>
          <w:t>NL</w:t>
        </w:r>
      </w:hyperlink>
      <w:r w:rsidRPr="004F68F2">
        <w:rPr>
          <w:rFonts w:ascii="Myriad Pro" w:hAnsi="Myriad Pro"/>
          <w:b/>
          <w:snapToGrid/>
          <w:color w:val="538135"/>
          <w:sz w:val="20"/>
          <w:lang w:val="en-GB"/>
        </w:rPr>
        <w:t xml:space="preserve">, </w:t>
      </w:r>
      <w:hyperlink r:id="rId107" w:history="1">
        <w:r w:rsidRPr="004F68F2">
          <w:rPr>
            <w:rFonts w:ascii="Myriad Pro" w:hAnsi="Myriad Pro"/>
            <w:b/>
            <w:snapToGrid/>
            <w:color w:val="0000FF"/>
            <w:sz w:val="20"/>
            <w:u w:val="single"/>
            <w:lang w:val="en-GB"/>
          </w:rPr>
          <w:t>PL</w:t>
        </w:r>
      </w:hyperlink>
      <w:r w:rsidRPr="004F68F2">
        <w:rPr>
          <w:rFonts w:ascii="Myriad Pro" w:hAnsi="Myriad Pro"/>
          <w:b/>
          <w:snapToGrid/>
          <w:color w:val="538135"/>
          <w:sz w:val="20"/>
          <w:lang w:val="en-GB"/>
        </w:rPr>
        <w:t xml:space="preserve">, </w:t>
      </w:r>
      <w:hyperlink r:id="rId108" w:history="1">
        <w:r w:rsidRPr="004F68F2">
          <w:rPr>
            <w:rFonts w:ascii="Myriad Pro" w:hAnsi="Myriad Pro"/>
            <w:b/>
            <w:snapToGrid/>
            <w:color w:val="0000FF"/>
            <w:sz w:val="20"/>
            <w:u w:val="single"/>
            <w:lang w:val="en-GB"/>
          </w:rPr>
          <w:t>SV</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Briefing “</w:t>
      </w:r>
      <w:hyperlink r:id="rId109" w:history="1">
        <w:r w:rsidRPr="004F68F2">
          <w:rPr>
            <w:rFonts w:ascii="Myriad Pro" w:hAnsi="Myriad Pro"/>
            <w:b/>
            <w:snapToGrid/>
            <w:color w:val="0000FF"/>
            <w:sz w:val="20"/>
            <w:u w:val="single"/>
            <w:lang w:val="en-GB"/>
          </w:rPr>
          <w:t xml:space="preserve">Strategies to overcome the </w:t>
        </w:r>
        <w:r w:rsidRPr="004F68F2">
          <w:rPr>
            <w:rFonts w:ascii="Myriad Pro" w:hAnsi="Myriad Pro"/>
            <w:b/>
            <w:i/>
            <w:snapToGrid/>
            <w:color w:val="0000FF"/>
            <w:sz w:val="20"/>
            <w:u w:val="single"/>
            <w:lang w:val="en-GB"/>
          </w:rPr>
          <w:t xml:space="preserve">‘juste retour’ </w:t>
        </w:r>
        <w:r w:rsidRPr="004F68F2">
          <w:rPr>
            <w:rFonts w:ascii="Myriad Pro" w:hAnsi="Myriad Pro"/>
            <w:b/>
            <w:snapToGrid/>
            <w:color w:val="0000FF"/>
            <w:sz w:val="20"/>
            <w:u w:val="single"/>
            <w:lang w:val="en-GB"/>
          </w:rPr>
          <w:t>perspective on the EU budget”</w:t>
        </w:r>
      </w:hyperlink>
      <w:r w:rsidRPr="004F68F2">
        <w:rPr>
          <w:rFonts w:ascii="Myriad Pro" w:hAnsi="Myriad Pro"/>
          <w:b/>
          <w:snapToGrid/>
          <w:color w:val="538135"/>
          <w:sz w:val="20"/>
          <w:u w:val="single"/>
          <w:lang w:val="en-GB"/>
        </w:rPr>
        <w:t xml:space="preserve"> </w:t>
      </w:r>
      <w:r w:rsidRPr="004F68F2">
        <w:rPr>
          <w:rFonts w:ascii="Myriad Pro" w:hAnsi="Myriad Pro"/>
          <w:b/>
          <w:snapToGrid/>
          <w:color w:val="538135"/>
          <w:sz w:val="20"/>
          <w:lang w:val="en-GB"/>
        </w:rPr>
        <w:t xml:space="preserve">(Available in </w:t>
      </w:r>
      <w:hyperlink r:id="rId110" w:history="1">
        <w:r w:rsidRPr="004F68F2">
          <w:rPr>
            <w:rFonts w:ascii="Myriad Pro" w:hAnsi="Myriad Pro"/>
            <w:b/>
            <w:snapToGrid/>
            <w:color w:val="0000FF"/>
            <w:sz w:val="20"/>
            <w:u w:val="single"/>
            <w:lang w:val="en-GB"/>
          </w:rPr>
          <w:t>DA</w:t>
        </w:r>
      </w:hyperlink>
      <w:r w:rsidRPr="004F68F2">
        <w:rPr>
          <w:rFonts w:ascii="Myriad Pro" w:hAnsi="Myriad Pro"/>
          <w:b/>
          <w:snapToGrid/>
          <w:color w:val="538135"/>
          <w:sz w:val="20"/>
          <w:lang w:val="en-GB"/>
        </w:rPr>
        <w:t xml:space="preserve">, </w:t>
      </w:r>
      <w:hyperlink r:id="rId111" w:history="1">
        <w:r w:rsidRPr="004F68F2">
          <w:rPr>
            <w:rFonts w:ascii="Myriad Pro" w:hAnsi="Myriad Pro"/>
            <w:b/>
            <w:snapToGrid/>
            <w:color w:val="0000FF"/>
            <w:sz w:val="20"/>
            <w:u w:val="single"/>
            <w:lang w:val="en-GB"/>
          </w:rPr>
          <w:t>DE</w:t>
        </w:r>
      </w:hyperlink>
      <w:r w:rsidRPr="004F68F2">
        <w:rPr>
          <w:rFonts w:ascii="Myriad Pro" w:hAnsi="Myriad Pro"/>
          <w:b/>
          <w:snapToGrid/>
          <w:color w:val="538135"/>
          <w:sz w:val="20"/>
          <w:lang w:val="en-GB"/>
        </w:rPr>
        <w:t xml:space="preserve">, </w:t>
      </w:r>
      <w:hyperlink r:id="rId112" w:history="1">
        <w:r w:rsidRPr="004F68F2">
          <w:rPr>
            <w:rFonts w:ascii="Myriad Pro" w:hAnsi="Myriad Pro"/>
            <w:b/>
            <w:snapToGrid/>
            <w:color w:val="0000FF"/>
            <w:sz w:val="20"/>
            <w:u w:val="single"/>
            <w:lang w:val="en-GB"/>
          </w:rPr>
          <w:t>ES</w:t>
        </w:r>
      </w:hyperlink>
      <w:r w:rsidRPr="004F68F2">
        <w:rPr>
          <w:rFonts w:ascii="Myriad Pro" w:hAnsi="Myriad Pro"/>
          <w:b/>
          <w:snapToGrid/>
          <w:color w:val="538135"/>
          <w:sz w:val="20"/>
          <w:lang w:val="en-GB"/>
        </w:rPr>
        <w:t xml:space="preserve">, </w:t>
      </w:r>
      <w:hyperlink r:id="rId113" w:history="1">
        <w:r w:rsidRPr="004F68F2">
          <w:rPr>
            <w:rFonts w:ascii="Myriad Pro" w:hAnsi="Myriad Pro"/>
            <w:b/>
            <w:snapToGrid/>
            <w:color w:val="0000FF"/>
            <w:sz w:val="20"/>
            <w:u w:val="single"/>
            <w:lang w:val="en-GB"/>
          </w:rPr>
          <w:t>FR</w:t>
        </w:r>
      </w:hyperlink>
      <w:r w:rsidRPr="004F68F2">
        <w:rPr>
          <w:rFonts w:ascii="Myriad Pro" w:hAnsi="Myriad Pro"/>
          <w:b/>
          <w:snapToGrid/>
          <w:color w:val="538135"/>
          <w:sz w:val="20"/>
          <w:lang w:val="en-GB"/>
        </w:rPr>
        <w:t xml:space="preserve">, </w:t>
      </w:r>
      <w:hyperlink r:id="rId114" w:history="1">
        <w:r w:rsidRPr="004F68F2">
          <w:rPr>
            <w:rFonts w:ascii="Myriad Pro" w:hAnsi="Myriad Pro"/>
            <w:b/>
            <w:snapToGrid/>
            <w:color w:val="0000FF"/>
            <w:sz w:val="20"/>
            <w:u w:val="single"/>
            <w:lang w:val="en-GB"/>
          </w:rPr>
          <w:t>IT</w:t>
        </w:r>
      </w:hyperlink>
      <w:r w:rsidRPr="004F68F2">
        <w:rPr>
          <w:rFonts w:ascii="Myriad Pro" w:hAnsi="Myriad Pro"/>
          <w:b/>
          <w:snapToGrid/>
          <w:color w:val="538135"/>
          <w:sz w:val="20"/>
          <w:lang w:val="en-GB"/>
        </w:rPr>
        <w:t xml:space="preserve">, </w:t>
      </w:r>
      <w:hyperlink r:id="rId115" w:history="1">
        <w:r w:rsidRPr="004F68F2">
          <w:rPr>
            <w:rFonts w:ascii="Myriad Pro" w:hAnsi="Myriad Pro"/>
            <w:b/>
            <w:snapToGrid/>
            <w:color w:val="0000FF"/>
            <w:sz w:val="20"/>
            <w:u w:val="single"/>
            <w:lang w:val="en-GB"/>
          </w:rPr>
          <w:t>NL</w:t>
        </w:r>
      </w:hyperlink>
      <w:r w:rsidRPr="004F68F2">
        <w:rPr>
          <w:rFonts w:ascii="Myriad Pro" w:hAnsi="Myriad Pro"/>
          <w:b/>
          <w:snapToGrid/>
          <w:color w:val="538135"/>
          <w:sz w:val="20"/>
          <w:lang w:val="en-GB"/>
        </w:rPr>
        <w:t xml:space="preserve">, </w:t>
      </w:r>
      <w:hyperlink r:id="rId116" w:history="1">
        <w:r w:rsidRPr="004F68F2">
          <w:rPr>
            <w:rFonts w:ascii="Myriad Pro" w:hAnsi="Myriad Pro"/>
            <w:b/>
            <w:snapToGrid/>
            <w:color w:val="0000FF"/>
            <w:sz w:val="20"/>
            <w:u w:val="single"/>
            <w:lang w:val="en-GB"/>
          </w:rPr>
          <w:t>PL</w:t>
        </w:r>
      </w:hyperlink>
      <w:r w:rsidRPr="004F68F2">
        <w:rPr>
          <w:rFonts w:ascii="Myriad Pro" w:hAnsi="Myriad Pro"/>
          <w:b/>
          <w:snapToGrid/>
          <w:color w:val="538135"/>
          <w:sz w:val="20"/>
          <w:lang w:val="en-GB"/>
        </w:rPr>
        <w:t xml:space="preserve">, </w:t>
      </w:r>
      <w:hyperlink r:id="rId117" w:history="1">
        <w:r w:rsidRPr="004F68F2">
          <w:rPr>
            <w:rFonts w:ascii="Myriad Pro" w:hAnsi="Myriad Pro"/>
            <w:b/>
            <w:snapToGrid/>
            <w:color w:val="0000FF"/>
            <w:sz w:val="20"/>
            <w:u w:val="single"/>
            <w:lang w:val="en-GB"/>
          </w:rPr>
          <w:t>SV</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At A Glance “</w:t>
      </w:r>
      <w:hyperlink r:id="rId118" w:history="1">
        <w:r w:rsidRPr="004F68F2">
          <w:rPr>
            <w:rFonts w:ascii="Myriad Pro" w:hAnsi="Myriad Pro"/>
            <w:b/>
            <w:snapToGrid/>
            <w:color w:val="0000FF"/>
            <w:sz w:val="20"/>
            <w:u w:val="single"/>
            <w:lang w:val="en-GB"/>
          </w:rPr>
          <w:t>The net operating balances or the “juste retour” approach</w:t>
        </w:r>
      </w:hyperlink>
      <w:r w:rsidRPr="004F68F2">
        <w:rPr>
          <w:rFonts w:ascii="Myriad Pro" w:hAnsi="Myriad Pro"/>
          <w:b/>
          <w:snapToGrid/>
          <w:color w:val="538135"/>
          <w:sz w:val="20"/>
          <w:lang w:val="en-GB"/>
        </w:rPr>
        <w:t xml:space="preserve">” (Available in </w:t>
      </w:r>
      <w:hyperlink r:id="rId119" w:history="1">
        <w:r w:rsidRPr="004F68F2">
          <w:rPr>
            <w:rFonts w:ascii="Myriad Pro" w:hAnsi="Myriad Pro"/>
            <w:b/>
            <w:snapToGrid/>
            <w:color w:val="0000FF"/>
            <w:sz w:val="20"/>
            <w:u w:val="single"/>
            <w:lang w:val="en-GB"/>
          </w:rPr>
          <w:t>DA</w:t>
        </w:r>
      </w:hyperlink>
      <w:r w:rsidRPr="004F68F2">
        <w:rPr>
          <w:rFonts w:ascii="Myriad Pro" w:hAnsi="Myriad Pro"/>
          <w:b/>
          <w:snapToGrid/>
          <w:color w:val="538135"/>
          <w:sz w:val="20"/>
          <w:lang w:val="en-GB"/>
        </w:rPr>
        <w:t xml:space="preserve">, </w:t>
      </w:r>
      <w:hyperlink r:id="rId120" w:history="1">
        <w:r w:rsidRPr="004F68F2">
          <w:rPr>
            <w:rFonts w:ascii="Myriad Pro" w:hAnsi="Myriad Pro"/>
            <w:b/>
            <w:snapToGrid/>
            <w:color w:val="0000FF"/>
            <w:sz w:val="20"/>
            <w:u w:val="single"/>
            <w:lang w:val="en-GB"/>
          </w:rPr>
          <w:t>DE</w:t>
        </w:r>
      </w:hyperlink>
      <w:r w:rsidRPr="004F68F2">
        <w:rPr>
          <w:rFonts w:ascii="Myriad Pro" w:hAnsi="Myriad Pro"/>
          <w:b/>
          <w:snapToGrid/>
          <w:color w:val="538135"/>
          <w:sz w:val="20"/>
          <w:lang w:val="en-GB"/>
        </w:rPr>
        <w:t xml:space="preserve">, </w:t>
      </w:r>
      <w:hyperlink r:id="rId121" w:history="1">
        <w:r w:rsidRPr="004F68F2">
          <w:rPr>
            <w:rFonts w:ascii="Myriad Pro" w:hAnsi="Myriad Pro"/>
            <w:b/>
            <w:snapToGrid/>
            <w:color w:val="0000FF"/>
            <w:sz w:val="20"/>
            <w:u w:val="single"/>
            <w:lang w:val="en-GB"/>
          </w:rPr>
          <w:t>ES</w:t>
        </w:r>
      </w:hyperlink>
      <w:r w:rsidRPr="004F68F2">
        <w:rPr>
          <w:rFonts w:ascii="Myriad Pro" w:hAnsi="Myriad Pro"/>
          <w:b/>
          <w:snapToGrid/>
          <w:color w:val="538135"/>
          <w:sz w:val="20"/>
          <w:lang w:val="en-GB"/>
        </w:rPr>
        <w:t xml:space="preserve">, </w:t>
      </w:r>
      <w:hyperlink r:id="rId122" w:history="1">
        <w:r w:rsidRPr="004F68F2">
          <w:rPr>
            <w:rFonts w:ascii="Myriad Pro" w:hAnsi="Myriad Pro"/>
            <w:b/>
            <w:snapToGrid/>
            <w:color w:val="0000FF"/>
            <w:sz w:val="20"/>
            <w:u w:val="single"/>
            <w:lang w:val="en-GB"/>
          </w:rPr>
          <w:t>FR</w:t>
        </w:r>
      </w:hyperlink>
      <w:r w:rsidRPr="004F68F2">
        <w:rPr>
          <w:rFonts w:ascii="Myriad Pro" w:hAnsi="Myriad Pro"/>
          <w:b/>
          <w:snapToGrid/>
          <w:color w:val="538135"/>
          <w:sz w:val="20"/>
          <w:lang w:val="en-GB"/>
        </w:rPr>
        <w:t xml:space="preserve">, </w:t>
      </w:r>
      <w:hyperlink r:id="rId123" w:history="1">
        <w:r w:rsidRPr="004F68F2">
          <w:rPr>
            <w:rFonts w:ascii="Myriad Pro" w:hAnsi="Myriad Pro"/>
            <w:b/>
            <w:snapToGrid/>
            <w:color w:val="0000FF"/>
            <w:sz w:val="20"/>
            <w:u w:val="single"/>
            <w:lang w:val="en-GB"/>
          </w:rPr>
          <w:t>IT</w:t>
        </w:r>
      </w:hyperlink>
      <w:r w:rsidRPr="004F68F2">
        <w:rPr>
          <w:rFonts w:ascii="Myriad Pro" w:hAnsi="Myriad Pro"/>
          <w:b/>
          <w:snapToGrid/>
          <w:color w:val="538135"/>
          <w:sz w:val="20"/>
          <w:lang w:val="en-GB"/>
        </w:rPr>
        <w:t xml:space="preserve">, </w:t>
      </w:r>
      <w:hyperlink r:id="rId124" w:history="1">
        <w:r w:rsidRPr="004F68F2">
          <w:rPr>
            <w:rFonts w:ascii="Myriad Pro" w:hAnsi="Myriad Pro"/>
            <w:b/>
            <w:snapToGrid/>
            <w:color w:val="0000FF"/>
            <w:sz w:val="20"/>
            <w:u w:val="single"/>
            <w:lang w:val="en-GB"/>
          </w:rPr>
          <w:t>NL</w:t>
        </w:r>
      </w:hyperlink>
      <w:r w:rsidRPr="004F68F2">
        <w:rPr>
          <w:rFonts w:ascii="Myriad Pro" w:hAnsi="Myriad Pro"/>
          <w:b/>
          <w:snapToGrid/>
          <w:color w:val="538135"/>
          <w:sz w:val="20"/>
          <w:lang w:val="en-GB"/>
        </w:rPr>
        <w:t xml:space="preserve">, </w:t>
      </w:r>
      <w:hyperlink r:id="rId125" w:history="1">
        <w:r w:rsidRPr="004F68F2">
          <w:rPr>
            <w:rFonts w:ascii="Myriad Pro" w:hAnsi="Myriad Pro"/>
            <w:b/>
            <w:snapToGrid/>
            <w:color w:val="0000FF"/>
            <w:sz w:val="20"/>
            <w:u w:val="single"/>
            <w:lang w:val="en-GB"/>
          </w:rPr>
          <w:t>PL</w:t>
        </w:r>
      </w:hyperlink>
      <w:r w:rsidRPr="004F68F2">
        <w:rPr>
          <w:rFonts w:ascii="Myriad Pro" w:hAnsi="Myriad Pro"/>
          <w:b/>
          <w:snapToGrid/>
          <w:color w:val="538135"/>
          <w:sz w:val="20"/>
          <w:lang w:val="en-GB"/>
        </w:rPr>
        <w:t xml:space="preserve">, </w:t>
      </w:r>
      <w:hyperlink r:id="rId126" w:history="1">
        <w:r w:rsidRPr="004F68F2">
          <w:rPr>
            <w:rFonts w:ascii="Myriad Pro" w:hAnsi="Myriad Pro"/>
            <w:b/>
            <w:snapToGrid/>
            <w:color w:val="0000FF"/>
            <w:sz w:val="20"/>
            <w:u w:val="single"/>
            <w:lang w:val="en-GB"/>
          </w:rPr>
          <w:t>SV</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At A Glance “</w:t>
      </w:r>
      <w:hyperlink r:id="rId127" w:history="1">
        <w:r w:rsidRPr="004F68F2">
          <w:rPr>
            <w:rFonts w:ascii="Myriad Pro" w:hAnsi="Myriad Pro"/>
            <w:b/>
            <w:snapToGrid/>
            <w:color w:val="0000FF"/>
            <w:sz w:val="20"/>
            <w:u w:val="single"/>
            <w:lang w:val="en-GB"/>
          </w:rPr>
          <w:t>Net operating balances indicator:</w:t>
        </w:r>
      </w:hyperlink>
      <w:hyperlink r:id="rId128" w:history="1">
        <w:r w:rsidRPr="004F68F2">
          <w:rPr>
            <w:rFonts w:ascii="Myriad Pro" w:hAnsi="Myriad Pro"/>
            <w:b/>
            <w:snapToGrid/>
            <w:color w:val="0000FF"/>
            <w:sz w:val="20"/>
            <w:u w:val="single"/>
            <w:lang w:val="en-GB"/>
          </w:rPr>
          <w:t xml:space="preserve"> A distorted indicator of a Member State’s benefit from the EU budget</w:t>
        </w:r>
      </w:hyperlink>
      <w:r w:rsidRPr="004F68F2">
        <w:rPr>
          <w:rFonts w:ascii="Myriad Pro" w:hAnsi="Myriad Pro"/>
          <w:b/>
          <w:snapToGrid/>
          <w:color w:val="538135"/>
          <w:sz w:val="20"/>
          <w:lang w:val="en-GB"/>
        </w:rPr>
        <w:t xml:space="preserve">” (Available in </w:t>
      </w:r>
      <w:hyperlink r:id="rId129" w:history="1">
        <w:r w:rsidRPr="004F68F2">
          <w:rPr>
            <w:rFonts w:ascii="Myriad Pro" w:hAnsi="Myriad Pro"/>
            <w:b/>
            <w:snapToGrid/>
            <w:color w:val="0000FF"/>
            <w:sz w:val="20"/>
            <w:u w:val="single"/>
            <w:lang w:val="en-GB"/>
          </w:rPr>
          <w:t>DA</w:t>
        </w:r>
      </w:hyperlink>
      <w:r w:rsidRPr="004F68F2">
        <w:rPr>
          <w:rFonts w:ascii="Myriad Pro" w:hAnsi="Myriad Pro"/>
          <w:b/>
          <w:snapToGrid/>
          <w:color w:val="538135"/>
          <w:sz w:val="20"/>
          <w:lang w:val="en-GB"/>
        </w:rPr>
        <w:t xml:space="preserve">, </w:t>
      </w:r>
      <w:hyperlink r:id="rId130" w:history="1">
        <w:r w:rsidRPr="004F68F2">
          <w:rPr>
            <w:rFonts w:ascii="Myriad Pro" w:hAnsi="Myriad Pro"/>
            <w:b/>
            <w:snapToGrid/>
            <w:color w:val="0000FF"/>
            <w:sz w:val="20"/>
            <w:u w:val="single"/>
            <w:lang w:val="en-GB"/>
          </w:rPr>
          <w:t>DE</w:t>
        </w:r>
      </w:hyperlink>
      <w:r w:rsidRPr="004F68F2">
        <w:rPr>
          <w:rFonts w:ascii="Myriad Pro" w:hAnsi="Myriad Pro"/>
          <w:b/>
          <w:snapToGrid/>
          <w:color w:val="538135"/>
          <w:sz w:val="20"/>
          <w:lang w:val="en-GB"/>
        </w:rPr>
        <w:t xml:space="preserve">, </w:t>
      </w:r>
      <w:hyperlink r:id="rId131" w:history="1">
        <w:r w:rsidRPr="004F68F2">
          <w:rPr>
            <w:rFonts w:ascii="Myriad Pro" w:hAnsi="Myriad Pro"/>
            <w:b/>
            <w:snapToGrid/>
            <w:color w:val="0000FF"/>
            <w:sz w:val="20"/>
            <w:u w:val="single"/>
            <w:lang w:val="en-GB"/>
          </w:rPr>
          <w:t>ES</w:t>
        </w:r>
      </w:hyperlink>
      <w:r w:rsidRPr="004F68F2">
        <w:rPr>
          <w:rFonts w:ascii="Myriad Pro" w:hAnsi="Myriad Pro"/>
          <w:b/>
          <w:snapToGrid/>
          <w:color w:val="538135"/>
          <w:sz w:val="20"/>
          <w:lang w:val="en-GB"/>
        </w:rPr>
        <w:t xml:space="preserve">, </w:t>
      </w:r>
      <w:hyperlink r:id="rId132" w:history="1">
        <w:r w:rsidRPr="004F68F2">
          <w:rPr>
            <w:rFonts w:ascii="Myriad Pro" w:hAnsi="Myriad Pro"/>
            <w:b/>
            <w:snapToGrid/>
            <w:color w:val="0000FF"/>
            <w:sz w:val="20"/>
            <w:u w:val="single"/>
            <w:lang w:val="en-GB"/>
          </w:rPr>
          <w:t>FR</w:t>
        </w:r>
      </w:hyperlink>
      <w:r w:rsidRPr="004F68F2">
        <w:rPr>
          <w:rFonts w:ascii="Myriad Pro" w:hAnsi="Myriad Pro"/>
          <w:b/>
          <w:snapToGrid/>
          <w:color w:val="538135"/>
          <w:sz w:val="20"/>
          <w:lang w:val="en-GB"/>
        </w:rPr>
        <w:t xml:space="preserve">, </w:t>
      </w:r>
      <w:hyperlink r:id="rId133" w:history="1">
        <w:r w:rsidRPr="004F68F2">
          <w:rPr>
            <w:rFonts w:ascii="Myriad Pro" w:hAnsi="Myriad Pro"/>
            <w:b/>
            <w:snapToGrid/>
            <w:color w:val="0000FF"/>
            <w:sz w:val="20"/>
            <w:u w:val="single"/>
            <w:lang w:val="en-GB"/>
          </w:rPr>
          <w:t>IT</w:t>
        </w:r>
      </w:hyperlink>
      <w:r w:rsidRPr="004F68F2">
        <w:rPr>
          <w:rFonts w:ascii="Myriad Pro" w:hAnsi="Myriad Pro"/>
          <w:b/>
          <w:snapToGrid/>
          <w:color w:val="538135"/>
          <w:sz w:val="20"/>
          <w:lang w:val="en-GB"/>
        </w:rPr>
        <w:t xml:space="preserve">, </w:t>
      </w:r>
      <w:hyperlink r:id="rId134" w:history="1">
        <w:r w:rsidRPr="004F68F2">
          <w:rPr>
            <w:rFonts w:ascii="Myriad Pro" w:hAnsi="Myriad Pro"/>
            <w:b/>
            <w:snapToGrid/>
            <w:color w:val="0000FF"/>
            <w:sz w:val="20"/>
            <w:u w:val="single"/>
            <w:lang w:val="en-GB"/>
          </w:rPr>
          <w:t>NL</w:t>
        </w:r>
      </w:hyperlink>
      <w:r w:rsidRPr="004F68F2">
        <w:rPr>
          <w:rFonts w:ascii="Myriad Pro" w:hAnsi="Myriad Pro"/>
          <w:b/>
          <w:snapToGrid/>
          <w:color w:val="538135"/>
          <w:sz w:val="20"/>
          <w:lang w:val="en-GB"/>
        </w:rPr>
        <w:t xml:space="preserve">, </w:t>
      </w:r>
      <w:hyperlink r:id="rId135" w:history="1">
        <w:r w:rsidRPr="004F68F2">
          <w:rPr>
            <w:rFonts w:ascii="Myriad Pro" w:hAnsi="Myriad Pro"/>
            <w:b/>
            <w:snapToGrid/>
            <w:color w:val="0000FF"/>
            <w:sz w:val="20"/>
            <w:u w:val="single"/>
            <w:lang w:val="en-GB"/>
          </w:rPr>
          <w:t>PL</w:t>
        </w:r>
      </w:hyperlink>
      <w:r w:rsidRPr="004F68F2">
        <w:rPr>
          <w:rFonts w:ascii="Myriad Pro" w:hAnsi="Myriad Pro"/>
          <w:b/>
          <w:snapToGrid/>
          <w:color w:val="538135"/>
          <w:sz w:val="20"/>
          <w:lang w:val="en-GB"/>
        </w:rPr>
        <w:t xml:space="preserve">, </w:t>
      </w:r>
      <w:hyperlink r:id="rId136" w:history="1">
        <w:r w:rsidRPr="004F68F2">
          <w:rPr>
            <w:rFonts w:ascii="Myriad Pro" w:hAnsi="Myriad Pro"/>
            <w:b/>
            <w:snapToGrid/>
            <w:color w:val="0000FF"/>
            <w:sz w:val="20"/>
            <w:u w:val="single"/>
            <w:lang w:val="en-GB"/>
          </w:rPr>
          <w:t>SV</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At A Glance “</w:t>
      </w:r>
      <w:hyperlink r:id="rId137" w:history="1">
        <w:r w:rsidRPr="004F68F2">
          <w:rPr>
            <w:rFonts w:ascii="Myriad Pro" w:hAnsi="Myriad Pro"/>
            <w:b/>
            <w:snapToGrid/>
            <w:color w:val="0000FF"/>
            <w:sz w:val="20"/>
            <w:u w:val="single"/>
            <w:lang w:val="en-GB"/>
          </w:rPr>
          <w:t>EU membership benefits:</w:t>
        </w:r>
      </w:hyperlink>
      <w:hyperlink r:id="rId138" w:history="1">
        <w:r w:rsidRPr="004F68F2">
          <w:rPr>
            <w:rFonts w:ascii="Myriad Pro" w:hAnsi="Myriad Pro"/>
            <w:b/>
            <w:snapToGrid/>
            <w:color w:val="0000FF"/>
            <w:sz w:val="20"/>
            <w:u w:val="single"/>
            <w:lang w:val="en-GB"/>
          </w:rPr>
          <w:t xml:space="preserve"> Not measured by net operating balances</w:t>
        </w:r>
      </w:hyperlink>
      <w:r w:rsidRPr="004F68F2">
        <w:rPr>
          <w:rFonts w:ascii="Myriad Pro" w:hAnsi="Myriad Pro"/>
          <w:b/>
          <w:snapToGrid/>
          <w:color w:val="538135"/>
          <w:sz w:val="20"/>
          <w:lang w:val="en-GB"/>
        </w:rPr>
        <w:t xml:space="preserve">” (Available in </w:t>
      </w:r>
      <w:hyperlink r:id="rId139" w:history="1">
        <w:r w:rsidRPr="004F68F2">
          <w:rPr>
            <w:rFonts w:ascii="Myriad Pro" w:hAnsi="Myriad Pro"/>
            <w:b/>
            <w:snapToGrid/>
            <w:color w:val="0000FF"/>
            <w:sz w:val="20"/>
            <w:u w:val="single"/>
            <w:lang w:val="en-GB"/>
          </w:rPr>
          <w:t>DA</w:t>
        </w:r>
      </w:hyperlink>
      <w:r w:rsidRPr="004F68F2">
        <w:rPr>
          <w:rFonts w:ascii="Myriad Pro" w:hAnsi="Myriad Pro"/>
          <w:b/>
          <w:snapToGrid/>
          <w:color w:val="538135"/>
          <w:sz w:val="20"/>
          <w:lang w:val="en-GB"/>
        </w:rPr>
        <w:t xml:space="preserve">, </w:t>
      </w:r>
      <w:hyperlink r:id="rId140" w:history="1">
        <w:r w:rsidRPr="004F68F2">
          <w:rPr>
            <w:rFonts w:ascii="Myriad Pro" w:hAnsi="Myriad Pro"/>
            <w:b/>
            <w:snapToGrid/>
            <w:color w:val="0000FF"/>
            <w:sz w:val="20"/>
            <w:u w:val="single"/>
            <w:lang w:val="en-GB"/>
          </w:rPr>
          <w:t>DE</w:t>
        </w:r>
      </w:hyperlink>
      <w:r w:rsidRPr="004F68F2">
        <w:rPr>
          <w:rFonts w:ascii="Myriad Pro" w:hAnsi="Myriad Pro"/>
          <w:b/>
          <w:snapToGrid/>
          <w:color w:val="538135"/>
          <w:sz w:val="20"/>
          <w:lang w:val="en-GB"/>
        </w:rPr>
        <w:t xml:space="preserve">, </w:t>
      </w:r>
      <w:hyperlink r:id="rId141" w:history="1">
        <w:r w:rsidRPr="004F68F2">
          <w:rPr>
            <w:rFonts w:ascii="Myriad Pro" w:hAnsi="Myriad Pro"/>
            <w:b/>
            <w:snapToGrid/>
            <w:color w:val="0000FF"/>
            <w:sz w:val="20"/>
            <w:u w:val="single"/>
            <w:lang w:val="en-GB"/>
          </w:rPr>
          <w:t>ES</w:t>
        </w:r>
      </w:hyperlink>
      <w:r w:rsidRPr="004F68F2">
        <w:rPr>
          <w:rFonts w:ascii="Myriad Pro" w:hAnsi="Myriad Pro"/>
          <w:b/>
          <w:snapToGrid/>
          <w:color w:val="538135"/>
          <w:sz w:val="20"/>
          <w:lang w:val="en-GB"/>
        </w:rPr>
        <w:t xml:space="preserve">, </w:t>
      </w:r>
      <w:hyperlink r:id="rId142" w:history="1">
        <w:r w:rsidRPr="004F68F2">
          <w:rPr>
            <w:rFonts w:ascii="Myriad Pro" w:hAnsi="Myriad Pro"/>
            <w:b/>
            <w:snapToGrid/>
            <w:color w:val="0000FF"/>
            <w:sz w:val="20"/>
            <w:u w:val="single"/>
            <w:lang w:val="en-GB"/>
          </w:rPr>
          <w:t>FR</w:t>
        </w:r>
      </w:hyperlink>
      <w:r w:rsidRPr="004F68F2">
        <w:rPr>
          <w:rFonts w:ascii="Myriad Pro" w:hAnsi="Myriad Pro"/>
          <w:b/>
          <w:snapToGrid/>
          <w:color w:val="538135"/>
          <w:sz w:val="20"/>
          <w:lang w:val="en-GB"/>
        </w:rPr>
        <w:t xml:space="preserve">, </w:t>
      </w:r>
      <w:hyperlink r:id="rId143" w:history="1">
        <w:r w:rsidRPr="004F68F2">
          <w:rPr>
            <w:rFonts w:ascii="Myriad Pro" w:hAnsi="Myriad Pro"/>
            <w:b/>
            <w:snapToGrid/>
            <w:color w:val="0000FF"/>
            <w:sz w:val="20"/>
            <w:u w:val="single"/>
            <w:lang w:val="en-GB"/>
          </w:rPr>
          <w:t>IT</w:t>
        </w:r>
      </w:hyperlink>
      <w:r w:rsidRPr="004F68F2">
        <w:rPr>
          <w:rFonts w:ascii="Myriad Pro" w:hAnsi="Myriad Pro"/>
          <w:b/>
          <w:snapToGrid/>
          <w:color w:val="538135"/>
          <w:sz w:val="20"/>
          <w:lang w:val="en-GB"/>
        </w:rPr>
        <w:t xml:space="preserve">, </w:t>
      </w:r>
      <w:hyperlink r:id="rId144" w:history="1">
        <w:r w:rsidRPr="004F68F2">
          <w:rPr>
            <w:rFonts w:ascii="Myriad Pro" w:hAnsi="Myriad Pro"/>
            <w:b/>
            <w:snapToGrid/>
            <w:color w:val="0000FF"/>
            <w:sz w:val="20"/>
            <w:u w:val="single"/>
            <w:lang w:val="en-GB"/>
          </w:rPr>
          <w:t>NL</w:t>
        </w:r>
      </w:hyperlink>
      <w:r w:rsidRPr="004F68F2">
        <w:rPr>
          <w:rFonts w:ascii="Myriad Pro" w:hAnsi="Myriad Pro"/>
          <w:b/>
          <w:snapToGrid/>
          <w:color w:val="538135"/>
          <w:sz w:val="20"/>
          <w:lang w:val="en-GB"/>
        </w:rPr>
        <w:t xml:space="preserve">, </w:t>
      </w:r>
      <w:hyperlink r:id="rId145" w:history="1">
        <w:r w:rsidRPr="004F68F2">
          <w:rPr>
            <w:rFonts w:ascii="Myriad Pro" w:hAnsi="Myriad Pro"/>
            <w:b/>
            <w:snapToGrid/>
            <w:color w:val="0000FF"/>
            <w:sz w:val="20"/>
            <w:u w:val="single"/>
            <w:lang w:val="en-GB"/>
          </w:rPr>
          <w:t>PL</w:t>
        </w:r>
      </w:hyperlink>
      <w:r w:rsidRPr="004F68F2">
        <w:rPr>
          <w:rFonts w:ascii="Myriad Pro" w:hAnsi="Myriad Pro"/>
          <w:b/>
          <w:snapToGrid/>
          <w:color w:val="538135"/>
          <w:sz w:val="20"/>
          <w:lang w:val="en-GB"/>
        </w:rPr>
        <w:t xml:space="preserve">, </w:t>
      </w:r>
      <w:hyperlink r:id="rId146" w:history="1">
        <w:r w:rsidRPr="004F68F2">
          <w:rPr>
            <w:rFonts w:ascii="Myriad Pro" w:hAnsi="Myriad Pro"/>
            <w:b/>
            <w:snapToGrid/>
            <w:color w:val="0000FF"/>
            <w:sz w:val="20"/>
            <w:u w:val="single"/>
            <w:lang w:val="en-GB"/>
          </w:rPr>
          <w:t>SV</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At A Glance “</w:t>
      </w:r>
      <w:hyperlink r:id="rId147" w:history="1">
        <w:r w:rsidRPr="004F68F2">
          <w:rPr>
            <w:rFonts w:ascii="Myriad Pro" w:hAnsi="Myriad Pro"/>
            <w:b/>
            <w:snapToGrid/>
            <w:color w:val="0000FF"/>
            <w:sz w:val="20"/>
            <w:u w:val="single"/>
            <w:lang w:val="en-GB"/>
          </w:rPr>
          <w:t>How to overcome the “juste retour” obsession</w:t>
        </w:r>
      </w:hyperlink>
      <w:r w:rsidRPr="004F68F2">
        <w:rPr>
          <w:rFonts w:ascii="Myriad Pro" w:hAnsi="Myriad Pro"/>
          <w:b/>
          <w:snapToGrid/>
          <w:color w:val="538135"/>
          <w:sz w:val="20"/>
          <w:lang w:val="en-GB"/>
        </w:rPr>
        <w:t xml:space="preserve">” (Available in </w:t>
      </w:r>
      <w:hyperlink r:id="rId148" w:history="1">
        <w:r w:rsidRPr="004F68F2">
          <w:rPr>
            <w:rFonts w:ascii="Myriad Pro" w:hAnsi="Myriad Pro"/>
            <w:b/>
            <w:snapToGrid/>
            <w:color w:val="0000FF"/>
            <w:sz w:val="20"/>
            <w:u w:val="single"/>
            <w:lang w:val="en-GB"/>
          </w:rPr>
          <w:t>DA</w:t>
        </w:r>
      </w:hyperlink>
      <w:r w:rsidRPr="004F68F2">
        <w:rPr>
          <w:rFonts w:ascii="Myriad Pro" w:hAnsi="Myriad Pro"/>
          <w:b/>
          <w:snapToGrid/>
          <w:color w:val="538135"/>
          <w:sz w:val="20"/>
          <w:lang w:val="en-GB"/>
        </w:rPr>
        <w:t xml:space="preserve">, </w:t>
      </w:r>
      <w:hyperlink r:id="rId149" w:history="1">
        <w:r w:rsidRPr="004F68F2">
          <w:rPr>
            <w:rFonts w:ascii="Myriad Pro" w:hAnsi="Myriad Pro"/>
            <w:b/>
            <w:snapToGrid/>
            <w:color w:val="0000FF"/>
            <w:sz w:val="20"/>
            <w:u w:val="single"/>
            <w:lang w:val="en-GB"/>
          </w:rPr>
          <w:t>DE</w:t>
        </w:r>
      </w:hyperlink>
      <w:r w:rsidRPr="004F68F2">
        <w:rPr>
          <w:rFonts w:ascii="Myriad Pro" w:hAnsi="Myriad Pro"/>
          <w:b/>
          <w:snapToGrid/>
          <w:color w:val="538135"/>
          <w:sz w:val="20"/>
          <w:lang w:val="en-GB"/>
        </w:rPr>
        <w:t xml:space="preserve">, </w:t>
      </w:r>
      <w:hyperlink r:id="rId150" w:history="1">
        <w:r w:rsidRPr="004F68F2">
          <w:rPr>
            <w:rFonts w:ascii="Myriad Pro" w:hAnsi="Myriad Pro"/>
            <w:b/>
            <w:snapToGrid/>
            <w:color w:val="0000FF"/>
            <w:sz w:val="20"/>
            <w:u w:val="single"/>
            <w:lang w:val="en-GB"/>
          </w:rPr>
          <w:t>ES</w:t>
        </w:r>
      </w:hyperlink>
      <w:r w:rsidRPr="004F68F2">
        <w:rPr>
          <w:rFonts w:ascii="Myriad Pro" w:hAnsi="Myriad Pro"/>
          <w:b/>
          <w:snapToGrid/>
          <w:color w:val="538135"/>
          <w:sz w:val="20"/>
          <w:lang w:val="en-GB"/>
        </w:rPr>
        <w:t xml:space="preserve">, </w:t>
      </w:r>
      <w:hyperlink r:id="rId151" w:history="1">
        <w:r w:rsidRPr="004F68F2">
          <w:rPr>
            <w:rFonts w:ascii="Myriad Pro" w:hAnsi="Myriad Pro"/>
            <w:b/>
            <w:snapToGrid/>
            <w:color w:val="0000FF"/>
            <w:sz w:val="20"/>
            <w:u w:val="single"/>
            <w:lang w:val="en-GB"/>
          </w:rPr>
          <w:t>FR,</w:t>
        </w:r>
      </w:hyperlink>
      <w:r w:rsidRPr="004F68F2">
        <w:rPr>
          <w:rFonts w:ascii="Myriad Pro" w:hAnsi="Myriad Pro"/>
          <w:b/>
          <w:snapToGrid/>
          <w:color w:val="538135"/>
          <w:sz w:val="20"/>
          <w:lang w:val="en-GB"/>
        </w:rPr>
        <w:t xml:space="preserve"> </w:t>
      </w:r>
      <w:hyperlink r:id="rId152" w:history="1">
        <w:r w:rsidRPr="004F68F2">
          <w:rPr>
            <w:rFonts w:ascii="Myriad Pro" w:hAnsi="Myriad Pro"/>
            <w:b/>
            <w:snapToGrid/>
            <w:color w:val="0000FF"/>
            <w:sz w:val="20"/>
            <w:u w:val="single"/>
            <w:lang w:val="en-GB"/>
          </w:rPr>
          <w:t>IT</w:t>
        </w:r>
      </w:hyperlink>
      <w:r w:rsidRPr="004F68F2">
        <w:rPr>
          <w:rFonts w:ascii="Myriad Pro" w:hAnsi="Myriad Pro"/>
          <w:b/>
          <w:snapToGrid/>
          <w:color w:val="538135"/>
          <w:sz w:val="20"/>
          <w:lang w:val="en-GB"/>
        </w:rPr>
        <w:t xml:space="preserve">, </w:t>
      </w:r>
      <w:hyperlink r:id="rId153" w:history="1">
        <w:r w:rsidRPr="004F68F2">
          <w:rPr>
            <w:rFonts w:ascii="Myriad Pro" w:hAnsi="Myriad Pro"/>
            <w:b/>
            <w:snapToGrid/>
            <w:color w:val="0000FF"/>
            <w:sz w:val="20"/>
            <w:u w:val="single"/>
            <w:lang w:val="en-GB"/>
          </w:rPr>
          <w:t>NL</w:t>
        </w:r>
      </w:hyperlink>
      <w:r w:rsidRPr="004F68F2">
        <w:rPr>
          <w:rFonts w:ascii="Myriad Pro" w:hAnsi="Myriad Pro"/>
          <w:b/>
          <w:snapToGrid/>
          <w:color w:val="538135"/>
          <w:sz w:val="20"/>
          <w:lang w:val="en-GB"/>
        </w:rPr>
        <w:t xml:space="preserve">, </w:t>
      </w:r>
      <w:hyperlink r:id="rId154" w:history="1">
        <w:r w:rsidRPr="004F68F2">
          <w:rPr>
            <w:rFonts w:ascii="Myriad Pro" w:hAnsi="Myriad Pro"/>
            <w:b/>
            <w:snapToGrid/>
            <w:color w:val="0000FF"/>
            <w:sz w:val="20"/>
            <w:u w:val="single"/>
            <w:lang w:val="en-GB"/>
          </w:rPr>
          <w:t>PL</w:t>
        </w:r>
      </w:hyperlink>
      <w:r w:rsidRPr="004F68F2">
        <w:rPr>
          <w:rFonts w:ascii="Myriad Pro" w:hAnsi="Myriad Pro"/>
          <w:b/>
          <w:snapToGrid/>
          <w:color w:val="538135"/>
          <w:sz w:val="20"/>
          <w:lang w:val="en-GB"/>
        </w:rPr>
        <w:t xml:space="preserve">, </w:t>
      </w:r>
      <w:hyperlink r:id="rId155" w:history="1">
        <w:r w:rsidRPr="004F68F2">
          <w:rPr>
            <w:rFonts w:ascii="Myriad Pro" w:hAnsi="Myriad Pro"/>
            <w:b/>
            <w:snapToGrid/>
            <w:color w:val="0000FF"/>
            <w:sz w:val="20"/>
            <w:u w:val="single"/>
            <w:lang w:val="en-GB"/>
          </w:rPr>
          <w:t>SV</w:t>
        </w:r>
      </w:hyperlink>
      <w:r w:rsidRPr="004F68F2">
        <w:rPr>
          <w:rFonts w:ascii="Myriad Pro" w:hAnsi="Myriad Pro"/>
          <w:b/>
          <w:snapToGrid/>
          <w:color w:val="538135"/>
          <w:sz w:val="20"/>
          <w:lang w:val="en-GB"/>
        </w:rPr>
        <w:t>)</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p>
    <w:p w:rsidR="00777D87" w:rsidRPr="004F68F2" w:rsidRDefault="00777D87" w:rsidP="00726BB4">
      <w:pPr>
        <w:widowControl/>
        <w:spacing w:after="80" w:line="259" w:lineRule="auto"/>
        <w:ind w:left="-567" w:right="-306" w:firstLine="283"/>
        <w:rPr>
          <w:rFonts w:ascii="Myriad Pro" w:eastAsia="Calibri" w:hAnsi="Myriad Pro" w:cs="Arial"/>
          <w:b/>
          <w:snapToGrid/>
          <w:sz w:val="20"/>
          <w:lang w:val="en-GB"/>
        </w:rPr>
      </w:pPr>
    </w:p>
    <w:p w:rsidR="00777D87" w:rsidRPr="004F68F2" w:rsidRDefault="00777D87" w:rsidP="00726BB4">
      <w:pPr>
        <w:widowControl/>
        <w:spacing w:after="80" w:line="259" w:lineRule="auto"/>
        <w:ind w:left="-567" w:right="-306" w:firstLine="283"/>
        <w:rPr>
          <w:rFonts w:ascii="Myriad Pro" w:eastAsia="Calibri" w:hAnsi="Myriad Pro" w:cs="Arial"/>
          <w:b/>
          <w:snapToGrid/>
          <w:sz w:val="20"/>
          <w:lang w:val="en-GB"/>
        </w:rPr>
      </w:pPr>
      <w:r w:rsidRPr="004F68F2">
        <w:rPr>
          <w:rFonts w:ascii="Myriad Pro" w:hAnsi="Myriad Pro"/>
          <w:b/>
          <w:snapToGrid/>
          <w:sz w:val="20"/>
          <w:lang w:val="en-GB"/>
        </w:rPr>
        <w:t>Forthcoming Publications</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CONT</w:t>
      </w:r>
    </w:p>
    <w:p w:rsidR="00777D87" w:rsidRPr="004F68F2"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 Study ‘The largest 50 beneficiaries in each EU Member State of CAP and cohesion funds’</w:t>
      </w:r>
    </w:p>
    <w:p w:rsidR="00777D87" w:rsidRPr="004F68F2"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 Study ‘MEP’s pension rights before and after the Members Statute in 2009’</w:t>
      </w:r>
    </w:p>
    <w:p w:rsidR="00777D87" w:rsidRPr="004F68F2"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lang w:val="en-GB"/>
        </w:rPr>
      </w:pPr>
    </w:p>
    <w:p w:rsidR="00777D87" w:rsidRPr="004F68F2" w:rsidRDefault="00777D87" w:rsidP="00726BB4">
      <w:pPr>
        <w:widowControl/>
        <w:spacing w:after="160" w:line="259" w:lineRule="auto"/>
        <w:ind w:firstLine="283"/>
        <w:rPr>
          <w:rFonts w:ascii="Myriad Pro" w:eastAsia="Calibri" w:hAnsi="Myriad Pro" w:cs="Arial"/>
          <w:b/>
          <w:snapToGrid/>
          <w:sz w:val="20"/>
          <w:lang w:val="en-GB"/>
        </w:rPr>
      </w:pPr>
      <w:r w:rsidRPr="004F68F2">
        <w:rPr>
          <w:lang w:val="en-GB"/>
        </w:rPr>
        <w:br w:type="page"/>
      </w:r>
    </w:p>
    <w:p w:rsidR="00777D87" w:rsidRPr="004F68F2" w:rsidRDefault="00777D87" w:rsidP="00726BB4">
      <w:pPr>
        <w:widowControl/>
        <w:spacing w:after="80" w:line="259" w:lineRule="auto"/>
        <w:ind w:left="-567" w:right="-306" w:firstLine="283"/>
        <w:rPr>
          <w:rFonts w:ascii="Myriad Pro" w:eastAsia="Calibri" w:hAnsi="Myriad Pro" w:cs="Arial"/>
          <w:b/>
          <w:snapToGrid/>
          <w:sz w:val="20"/>
          <w:lang w:val="en-GB"/>
        </w:rPr>
      </w:pPr>
    </w:p>
    <w:p w:rsidR="00777D87" w:rsidRPr="004F68F2" w:rsidRDefault="00777D87" w:rsidP="00726BB4">
      <w:pPr>
        <w:widowControl/>
        <w:spacing w:after="80" w:line="259" w:lineRule="auto"/>
        <w:ind w:left="-567" w:right="-306" w:firstLine="283"/>
        <w:rPr>
          <w:rFonts w:ascii="Myriad Pro" w:eastAsia="Calibri" w:hAnsi="Myriad Pro" w:cs="Arial"/>
          <w:b/>
          <w:snapToGrid/>
          <w:sz w:val="20"/>
          <w:lang w:val="en-GB"/>
        </w:rPr>
      </w:pPr>
      <w:r w:rsidRPr="004F68F2">
        <w:rPr>
          <w:rFonts w:ascii="Myriad Pro" w:hAnsi="Myriad Pro"/>
          <w:b/>
          <w:snapToGrid/>
          <w:sz w:val="20"/>
          <w:lang w:val="en-GB"/>
        </w:rPr>
        <w:t>Forthcoming Events</w:t>
      </w:r>
    </w:p>
    <w:p w:rsidR="00777D87" w:rsidRPr="004F68F2" w:rsidRDefault="00777D87" w:rsidP="00726BB4">
      <w:pPr>
        <w:widowControl/>
        <w:shd w:val="clear" w:color="auto" w:fill="E2EFD9"/>
        <w:ind w:left="-567" w:right="-306" w:firstLine="283"/>
        <w:rPr>
          <w:rFonts w:ascii="Myriad Pro" w:eastAsia="Calibri" w:hAnsi="Myriad Pro" w:cs="Arial"/>
          <w:b/>
          <w:snapToGrid/>
          <w:color w:val="538135"/>
          <w:sz w:val="20"/>
          <w:lang w:val="en-GB"/>
        </w:rPr>
      </w:pPr>
    </w:p>
    <w:p w:rsidR="00777D87" w:rsidRPr="004F68F2" w:rsidRDefault="00777D87" w:rsidP="00726BB4">
      <w:pPr>
        <w:widowControl/>
        <w:shd w:val="clear" w:color="auto" w:fill="E2EFD9"/>
        <w:spacing w:line="259" w:lineRule="auto"/>
        <w:ind w:left="-567" w:right="-306" w:firstLine="283"/>
        <w:rPr>
          <w:rFonts w:ascii="Myriad Pro" w:eastAsia="Calibri" w:hAnsi="Myriad Pro" w:cs="Arial"/>
          <w:b/>
          <w:i/>
          <w:snapToGrid/>
          <w:color w:val="538135"/>
          <w:sz w:val="20"/>
          <w:lang w:val="en-GB"/>
        </w:rPr>
      </w:pPr>
      <w:r w:rsidRPr="004F68F2">
        <w:rPr>
          <w:rFonts w:ascii="Myriad Pro" w:hAnsi="Myriad Pro"/>
          <w:b/>
          <w:snapToGrid/>
          <w:color w:val="538135"/>
          <w:sz w:val="20"/>
          <w:lang w:val="en-GB"/>
        </w:rPr>
        <w:t>CONT Workshop on “Open spaces at EU institutions versus traditional work spaces: justification, evolution, evaluation and results” -</w:t>
      </w:r>
      <w:r w:rsidRPr="004F68F2">
        <w:rPr>
          <w:rFonts w:ascii="Myriad Pro" w:hAnsi="Myriad Pro"/>
          <w:b/>
          <w:i/>
          <w:snapToGrid/>
          <w:color w:val="538135"/>
          <w:sz w:val="20"/>
          <w:lang w:val="en-GB"/>
        </w:rPr>
        <w:t xml:space="preserve"> 29 October 2020</w:t>
      </w:r>
    </w:p>
    <w:p w:rsidR="00777D87" w:rsidRPr="004F68F2" w:rsidRDefault="00777D87" w:rsidP="00726BB4">
      <w:pPr>
        <w:widowControl/>
        <w:shd w:val="clear" w:color="auto" w:fill="E2EFD9"/>
        <w:spacing w:line="259" w:lineRule="auto"/>
        <w:ind w:left="-567" w:right="-306" w:firstLine="283"/>
        <w:rPr>
          <w:rFonts w:ascii="Myriad Pro" w:eastAsia="Calibri" w:hAnsi="Myriad Pro" w:cs="Arial"/>
          <w:b/>
          <w:i/>
          <w:snapToGrid/>
          <w:color w:val="538135"/>
          <w:sz w:val="20"/>
          <w:lang w:val="en-GB"/>
        </w:rPr>
      </w:pPr>
    </w:p>
    <w:p w:rsidR="00777D87" w:rsidRPr="004F68F2"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lang w:val="en-GB"/>
        </w:rPr>
      </w:pPr>
      <w:r w:rsidRPr="004F68F2">
        <w:rPr>
          <w:rFonts w:ascii="Myriad Pro" w:hAnsi="Myriad Pro"/>
          <w:b/>
          <w:snapToGrid/>
          <w:color w:val="538135"/>
          <w:sz w:val="20"/>
          <w:lang w:val="en-GB"/>
        </w:rPr>
        <w:t>CONT Study presentation on “Horizon 2020: Geographical balance of beneficiaries”</w:t>
      </w:r>
    </w:p>
    <w:p w:rsidR="00777D87" w:rsidRPr="004F68F2"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lang w:val="en-GB"/>
        </w:rPr>
      </w:pPr>
    </w:p>
    <w:p w:rsidR="00777D87" w:rsidRPr="004F68F2" w:rsidRDefault="00777D87" w:rsidP="00726BB4">
      <w:pPr>
        <w:widowControl/>
        <w:spacing w:after="160" w:line="259" w:lineRule="auto"/>
        <w:ind w:left="-567" w:firstLine="283"/>
        <w:jc w:val="both"/>
        <w:rPr>
          <w:rFonts w:ascii="Myriad Pro" w:eastAsia="Calibri" w:hAnsi="Myriad Pro"/>
          <w:snapToGrid/>
          <w:sz w:val="20"/>
          <w:lang w:val="en-GB"/>
        </w:rPr>
      </w:pPr>
    </w:p>
    <w:p w:rsidR="00777D87" w:rsidRPr="004F68F2" w:rsidRDefault="00777D87" w:rsidP="00726BB4">
      <w:pPr>
        <w:widowControl/>
        <w:spacing w:after="160" w:line="259" w:lineRule="auto"/>
        <w:ind w:left="-567" w:firstLine="283"/>
        <w:jc w:val="both"/>
        <w:rPr>
          <w:rFonts w:ascii="Myriad Pro" w:eastAsia="Calibri" w:hAnsi="Myriad Pro"/>
          <w:snapToGrid/>
          <w:sz w:val="20"/>
          <w:lang w:val="en-GB"/>
        </w:rPr>
      </w:pPr>
      <w:r w:rsidRPr="004F68F2">
        <w:rPr>
          <w:rFonts w:ascii="Myriad Pro" w:hAnsi="Myriad Pro"/>
          <w:snapToGrid/>
          <w:sz w:val="20"/>
          <w:lang w:val="en-GB"/>
        </w:rPr>
        <w:t xml:space="preserve">The European Parliament has concluded a </w:t>
      </w:r>
      <w:r w:rsidRPr="004F68F2">
        <w:rPr>
          <w:rFonts w:ascii="Myriad Pro" w:hAnsi="Myriad Pro"/>
          <w:b/>
          <w:bCs/>
          <w:snapToGrid/>
          <w:sz w:val="20"/>
          <w:lang w:val="en-GB"/>
        </w:rPr>
        <w:t>new framework contract on external expertise</w:t>
      </w:r>
      <w:r w:rsidRPr="004F68F2">
        <w:rPr>
          <w:rFonts w:ascii="Myriad Pro" w:hAnsi="Myriad Pro"/>
          <w:snapToGrid/>
          <w:sz w:val="20"/>
          <w:lang w:val="en-GB"/>
        </w:rPr>
        <w:t xml:space="preserve"> in the field of budgetary affairs, mainly for the BUDG and CONT committees. Following on a public call for tenders, seven bids have been received, checked and evaluated. Service contracts for the years 2020-24 have been signed with the following consultancies and think-tanks: </w:t>
      </w:r>
    </w:p>
    <w:p w:rsidR="00777D87" w:rsidRPr="004F68F2" w:rsidRDefault="00777D87" w:rsidP="00726BB4">
      <w:pPr>
        <w:widowControl/>
        <w:spacing w:after="160" w:line="259" w:lineRule="auto"/>
        <w:ind w:left="-567" w:firstLine="283"/>
        <w:rPr>
          <w:rFonts w:ascii="Myriad Pro" w:eastAsia="Calibri" w:hAnsi="Myriad Pro"/>
          <w:snapToGrid/>
          <w:sz w:val="20"/>
          <w:lang w:val="en-GB"/>
        </w:rPr>
      </w:pPr>
      <w:r w:rsidRPr="004F68F2">
        <w:rPr>
          <w:rFonts w:ascii="Myriad Pro" w:hAnsi="Myriad Pro"/>
          <w:b/>
          <w:bCs/>
          <w:snapToGrid/>
          <w:sz w:val="20"/>
          <w:lang w:val="en-GB"/>
        </w:rPr>
        <w:t>AEGIS</w:t>
      </w:r>
      <w:r w:rsidRPr="004F68F2">
        <w:rPr>
          <w:rFonts w:ascii="Myriad Pro" w:hAnsi="Myriad Pro"/>
          <w:snapToGrid/>
          <w:sz w:val="20"/>
          <w:lang w:val="en-GB"/>
        </w:rPr>
        <w:t>, a network of academics from different universities, the main partners from Spain, Germany and Italy;</w:t>
      </w:r>
    </w:p>
    <w:p w:rsidR="00777D87" w:rsidRPr="004F68F2" w:rsidRDefault="00777D87" w:rsidP="00726BB4">
      <w:pPr>
        <w:widowControl/>
        <w:spacing w:after="160" w:line="259" w:lineRule="auto"/>
        <w:ind w:left="-567" w:firstLine="283"/>
        <w:rPr>
          <w:rFonts w:ascii="Myriad Pro" w:eastAsia="Calibri" w:hAnsi="Myriad Pro"/>
          <w:snapToGrid/>
          <w:sz w:val="20"/>
          <w:lang w:val="en-GB"/>
        </w:rPr>
      </w:pPr>
      <w:r w:rsidRPr="004F68F2">
        <w:rPr>
          <w:rFonts w:ascii="Myriad Pro" w:hAnsi="Myriad Pro"/>
          <w:b/>
          <w:bCs/>
          <w:snapToGrid/>
          <w:sz w:val="20"/>
          <w:lang w:val="en-GB"/>
        </w:rPr>
        <w:t>Blomeyer &amp; Sanz Ltd</w:t>
      </w:r>
      <w:r w:rsidRPr="004F68F2">
        <w:rPr>
          <w:rFonts w:ascii="Myriad Pro" w:hAnsi="Myriad Pro"/>
          <w:snapToGrid/>
          <w:sz w:val="20"/>
          <w:lang w:val="en-GB"/>
        </w:rPr>
        <w:t>., based in Spain, leading a group of institutes from Austria, Czechia, Germany, Italy and Poland;</w:t>
      </w:r>
    </w:p>
    <w:p w:rsidR="00777D87" w:rsidRPr="004F68F2" w:rsidRDefault="00777D87" w:rsidP="00726BB4">
      <w:pPr>
        <w:widowControl/>
        <w:spacing w:after="160" w:line="259" w:lineRule="auto"/>
        <w:ind w:left="-567" w:firstLine="283"/>
        <w:rPr>
          <w:rFonts w:ascii="Myriad Pro" w:eastAsia="Calibri" w:hAnsi="Myriad Pro"/>
          <w:b/>
          <w:bCs/>
          <w:snapToGrid/>
          <w:sz w:val="20"/>
          <w:lang w:val="en-GB"/>
        </w:rPr>
      </w:pPr>
    </w:p>
    <w:p w:rsidR="00777D87" w:rsidRPr="004F68F2" w:rsidRDefault="00777D87" w:rsidP="00726BB4">
      <w:pPr>
        <w:widowControl/>
        <w:spacing w:after="160" w:line="259" w:lineRule="auto"/>
        <w:ind w:left="-567" w:firstLine="283"/>
        <w:rPr>
          <w:rFonts w:ascii="Myriad Pro" w:eastAsia="Calibri" w:hAnsi="Myriad Pro"/>
          <w:snapToGrid/>
          <w:sz w:val="20"/>
          <w:lang w:val="en-GB"/>
        </w:rPr>
      </w:pPr>
      <w:r w:rsidRPr="004F68F2">
        <w:rPr>
          <w:rFonts w:ascii="Myriad Pro" w:hAnsi="Myriad Pro"/>
          <w:b/>
          <w:bCs/>
          <w:snapToGrid/>
          <w:sz w:val="20"/>
          <w:lang w:val="en-GB"/>
        </w:rPr>
        <w:t>Centre for European Policy Studies (CEPS)</w:t>
      </w:r>
      <w:r w:rsidRPr="004F68F2">
        <w:rPr>
          <w:rFonts w:ascii="Myriad Pro" w:hAnsi="Myriad Pro"/>
          <w:snapToGrid/>
          <w:sz w:val="20"/>
          <w:lang w:val="en-GB"/>
        </w:rPr>
        <w:t>, a research think-tank from Brussels, with partners from Belgium, France, Latvia and UK;</w:t>
      </w:r>
    </w:p>
    <w:p w:rsidR="00777D87" w:rsidRPr="004F68F2" w:rsidRDefault="00777D87" w:rsidP="00726BB4">
      <w:pPr>
        <w:widowControl/>
        <w:spacing w:after="160" w:line="259" w:lineRule="auto"/>
        <w:ind w:left="-567" w:firstLine="283"/>
        <w:rPr>
          <w:rFonts w:ascii="Myriad Pro" w:eastAsia="Calibri" w:hAnsi="Myriad Pro"/>
          <w:snapToGrid/>
          <w:sz w:val="20"/>
          <w:lang w:val="en-GB"/>
        </w:rPr>
      </w:pPr>
      <w:r w:rsidRPr="004F68F2">
        <w:rPr>
          <w:rFonts w:ascii="Myriad Pro" w:hAnsi="Myriad Pro"/>
          <w:b/>
          <w:bCs/>
          <w:snapToGrid/>
          <w:sz w:val="20"/>
          <w:lang w:val="en-GB"/>
        </w:rPr>
        <w:t>Centre for Strategy &amp; Evaluation Services LLP (CSES)</w:t>
      </w:r>
      <w:r w:rsidRPr="004F68F2">
        <w:rPr>
          <w:rFonts w:ascii="Myriad Pro" w:hAnsi="Myriad Pro"/>
          <w:snapToGrid/>
          <w:sz w:val="20"/>
          <w:lang w:val="en-GB"/>
        </w:rPr>
        <w:t>, a consultancy from UK and Ireland;</w:t>
      </w:r>
    </w:p>
    <w:p w:rsidR="00777D87" w:rsidRPr="004F68F2" w:rsidRDefault="00777D87" w:rsidP="00726BB4">
      <w:pPr>
        <w:widowControl/>
        <w:spacing w:after="160" w:line="259" w:lineRule="auto"/>
        <w:ind w:left="-567" w:firstLine="283"/>
        <w:rPr>
          <w:rFonts w:ascii="Myriad Pro" w:eastAsia="Calibri" w:hAnsi="Myriad Pro"/>
          <w:snapToGrid/>
          <w:sz w:val="20"/>
          <w:lang w:val="en-GB"/>
        </w:rPr>
      </w:pPr>
      <w:r w:rsidRPr="004F68F2">
        <w:rPr>
          <w:rFonts w:ascii="Myriad Pro" w:hAnsi="Myriad Pro"/>
          <w:b/>
          <w:bCs/>
          <w:snapToGrid/>
          <w:sz w:val="20"/>
          <w:lang w:val="en-GB"/>
        </w:rPr>
        <w:t>Deloitte Belgium</w:t>
      </w:r>
      <w:r w:rsidRPr="004F68F2">
        <w:rPr>
          <w:rFonts w:ascii="Myriad Pro" w:hAnsi="Myriad Pro"/>
          <w:snapToGrid/>
          <w:sz w:val="20"/>
          <w:lang w:val="en-GB"/>
        </w:rPr>
        <w:t>, an audit company;</w:t>
      </w:r>
    </w:p>
    <w:p w:rsidR="00777D87" w:rsidRPr="004F68F2" w:rsidRDefault="00777D87" w:rsidP="00726BB4">
      <w:pPr>
        <w:widowControl/>
        <w:spacing w:after="160" w:line="259" w:lineRule="auto"/>
        <w:ind w:left="-567" w:firstLine="283"/>
        <w:rPr>
          <w:rFonts w:ascii="Myriad Pro" w:eastAsia="Calibri" w:hAnsi="Myriad Pro"/>
          <w:snapToGrid/>
          <w:sz w:val="20"/>
          <w:lang w:val="en-GB"/>
        </w:rPr>
      </w:pPr>
      <w:r w:rsidRPr="004F68F2">
        <w:rPr>
          <w:rFonts w:ascii="Myriad Pro" w:hAnsi="Myriad Pro"/>
          <w:b/>
          <w:bCs/>
          <w:snapToGrid/>
          <w:sz w:val="20"/>
          <w:lang w:val="en-GB"/>
        </w:rPr>
        <w:t>European Economic Research Ltd. (Europe-Economics)</w:t>
      </w:r>
      <w:r w:rsidRPr="004F68F2">
        <w:rPr>
          <w:rFonts w:ascii="Myriad Pro" w:hAnsi="Myriad Pro"/>
          <w:snapToGrid/>
          <w:sz w:val="20"/>
          <w:lang w:val="en-GB"/>
        </w:rPr>
        <w:t>, a consultancy from UK;</w:t>
      </w:r>
    </w:p>
    <w:p w:rsidR="00777D87" w:rsidRPr="004F68F2" w:rsidRDefault="00777D87" w:rsidP="00726BB4">
      <w:pPr>
        <w:widowControl/>
        <w:spacing w:after="160" w:line="259" w:lineRule="auto"/>
        <w:ind w:left="-567" w:firstLine="283"/>
        <w:rPr>
          <w:rFonts w:ascii="Myriad Pro" w:eastAsia="Calibri" w:hAnsi="Myriad Pro"/>
          <w:snapToGrid/>
          <w:sz w:val="20"/>
          <w:lang w:val="en-GB"/>
        </w:rPr>
      </w:pPr>
      <w:r w:rsidRPr="004F68F2">
        <w:rPr>
          <w:rFonts w:ascii="Myriad Pro" w:hAnsi="Myriad Pro"/>
          <w:b/>
          <w:bCs/>
          <w:snapToGrid/>
          <w:sz w:val="20"/>
          <w:lang w:val="en-GB"/>
        </w:rPr>
        <w:t>Mr Ivailo KALFIN</w:t>
      </w:r>
      <w:r w:rsidRPr="004F68F2">
        <w:rPr>
          <w:rFonts w:ascii="Myriad Pro" w:hAnsi="Myriad Pro"/>
          <w:snapToGrid/>
          <w:sz w:val="20"/>
          <w:lang w:val="en-GB"/>
        </w:rPr>
        <w:t>, a former MEP and former Minister in Bulgaria, with some associated experts.</w:t>
      </w:r>
    </w:p>
    <w:p w:rsidR="00777D87" w:rsidRPr="004F68F2" w:rsidRDefault="00777D87" w:rsidP="00726BB4">
      <w:pPr>
        <w:widowControl/>
        <w:spacing w:after="160" w:line="259" w:lineRule="auto"/>
        <w:ind w:left="-567" w:firstLine="283"/>
        <w:rPr>
          <w:rFonts w:ascii="Myriad Pro" w:eastAsia="Calibri" w:hAnsi="Myriad Pro"/>
          <w:snapToGrid/>
          <w:sz w:val="20"/>
          <w:lang w:val="en-GB"/>
        </w:rPr>
      </w:pPr>
      <w:r w:rsidRPr="004F68F2">
        <w:rPr>
          <w:rFonts w:ascii="Myriad Pro" w:hAnsi="Myriad Pro"/>
          <w:snapToGrid/>
          <w:sz w:val="20"/>
          <w:lang w:val="en-GB"/>
        </w:rPr>
        <w:t xml:space="preserve">For more information see the publication of the procurement outcome: </w:t>
      </w:r>
      <w:hyperlink r:id="rId156" w:history="1">
        <w:r w:rsidRPr="004F68F2">
          <w:rPr>
            <w:rFonts w:ascii="Myriad Pro" w:hAnsi="Myriad Pro"/>
            <w:snapToGrid/>
            <w:color w:val="0000FF"/>
            <w:sz w:val="20"/>
            <w:u w:val="single"/>
            <w:lang w:val="en-GB"/>
          </w:rPr>
          <w:t>https://ted.europa.eu/udl?uri=TED:NOTICE:215928-2020:TEXT:EN:HTML</w:t>
        </w:r>
      </w:hyperlink>
      <w:r w:rsidRPr="004F68F2">
        <w:rPr>
          <w:rFonts w:ascii="Myriad Pro" w:hAnsi="Myriad Pro"/>
          <w:snapToGrid/>
          <w:sz w:val="20"/>
          <w:lang w:val="en-GB"/>
        </w:rPr>
        <w:t xml:space="preserve"> or contact the Policy Department: </w:t>
      </w:r>
      <w:hyperlink r:id="rId157" w:history="1">
        <w:r w:rsidRPr="004F68F2">
          <w:rPr>
            <w:rFonts w:ascii="Myriad Pro" w:hAnsi="Myriad Pro"/>
            <w:snapToGrid/>
            <w:color w:val="0000FF"/>
            <w:sz w:val="20"/>
            <w:u w:val="single"/>
            <w:lang w:val="en-GB"/>
          </w:rPr>
          <w:t>poldep-budg@europarl.europa.eu</w:t>
        </w:r>
      </w:hyperlink>
      <w:r w:rsidRPr="004F68F2">
        <w:rPr>
          <w:rFonts w:ascii="Myriad Pro" w:hAnsi="Myriad Pro"/>
          <w:snapToGrid/>
          <w:sz w:val="20"/>
          <w:lang w:val="en-GB"/>
        </w:rPr>
        <w:t xml:space="preserve"> </w:t>
      </w:r>
    </w:p>
    <w:p w:rsidR="00777D87" w:rsidRPr="004F68F2" w:rsidRDefault="00777D87" w:rsidP="00726BB4">
      <w:pPr>
        <w:widowControl/>
        <w:spacing w:line="259" w:lineRule="auto"/>
        <w:ind w:left="-567" w:right="-306" w:firstLine="283"/>
        <w:rPr>
          <w:rFonts w:ascii="Myriad Pro" w:eastAsia="Calibri" w:hAnsi="Myriad Pro" w:cs="Arial"/>
          <w:b/>
          <w:snapToGrid/>
          <w:sz w:val="20"/>
          <w:lang w:val="en-GB"/>
        </w:rPr>
      </w:pPr>
      <w:r w:rsidRPr="004F68F2">
        <w:rPr>
          <w:rFonts w:ascii="Myriad Pro" w:hAnsi="Myriad Pro"/>
          <w:b/>
          <w:snapToGrid/>
          <w:sz w:val="20"/>
          <w:lang w:val="en-GB"/>
        </w:rPr>
        <w:t>CONTACTS</w:t>
      </w:r>
    </w:p>
    <w:p w:rsidR="00777D87" w:rsidRPr="004F68F2" w:rsidRDefault="00777D87" w:rsidP="00726BB4">
      <w:pPr>
        <w:widowControl/>
        <w:spacing w:line="259" w:lineRule="auto"/>
        <w:ind w:left="-567" w:right="-306" w:firstLine="283"/>
        <w:rPr>
          <w:rFonts w:ascii="Myriad Pro" w:eastAsia="Calibri" w:hAnsi="Myriad Pro" w:cs="Arial"/>
          <w:snapToGrid/>
          <w:sz w:val="20"/>
          <w:lang w:val="en-GB"/>
        </w:rPr>
      </w:pPr>
      <w:r w:rsidRPr="004F68F2">
        <w:rPr>
          <w:rFonts w:ascii="Myriad Pro" w:hAnsi="Myriad Pro"/>
          <w:snapToGrid/>
          <w:sz w:val="20"/>
          <w:lang w:val="en-GB"/>
        </w:rPr>
        <w:t>Policy Department for Budgetary Affairs</w:t>
      </w:r>
    </w:p>
    <w:p w:rsidR="00777D87" w:rsidRPr="004F68F2" w:rsidRDefault="004F68F2" w:rsidP="00726BB4">
      <w:pPr>
        <w:widowControl/>
        <w:spacing w:line="259" w:lineRule="auto"/>
        <w:ind w:left="-567" w:right="-306" w:firstLine="283"/>
        <w:rPr>
          <w:rFonts w:ascii="Myriad Pro" w:eastAsia="Calibri" w:hAnsi="Myriad Pro" w:cs="Arial"/>
          <w:snapToGrid/>
          <w:color w:val="0000FF"/>
          <w:sz w:val="20"/>
          <w:u w:val="single"/>
          <w:lang w:val="en-GB"/>
        </w:rPr>
      </w:pPr>
      <w:hyperlink r:id="rId158" w:history="1">
        <w:r w:rsidR="00D11315" w:rsidRPr="004F68F2">
          <w:rPr>
            <w:rFonts w:ascii="Myriad Pro" w:hAnsi="Myriad Pro"/>
            <w:snapToGrid/>
            <w:color w:val="0000FF"/>
            <w:sz w:val="20"/>
            <w:u w:val="single"/>
            <w:lang w:val="en-GB"/>
          </w:rPr>
          <w:t>poldep-budg@ep.europa.eu</w:t>
        </w:r>
      </w:hyperlink>
    </w:p>
    <w:p w:rsidR="00777D87" w:rsidRPr="004F68F2" w:rsidRDefault="004F68F2" w:rsidP="00726BB4">
      <w:pPr>
        <w:widowControl/>
        <w:spacing w:line="259" w:lineRule="auto"/>
        <w:ind w:left="-567" w:right="-306" w:firstLine="283"/>
        <w:rPr>
          <w:rFonts w:ascii="Myriad Pro" w:eastAsia="Calibri" w:hAnsi="Myriad Pro"/>
          <w:b/>
          <w:snapToGrid/>
          <w:color w:val="595959"/>
          <w:sz w:val="20"/>
          <w:lang w:val="en-GB"/>
        </w:rPr>
      </w:pPr>
      <w:hyperlink r:id="rId159" w:history="1">
        <w:r w:rsidR="00D11315" w:rsidRPr="004F68F2">
          <w:rPr>
            <w:rFonts w:ascii="Myriad Pro" w:hAnsi="Myriad Pro"/>
            <w:snapToGrid/>
            <w:color w:val="0000FF"/>
            <w:sz w:val="20"/>
            <w:u w:val="single"/>
            <w:lang w:val="en-GB"/>
          </w:rPr>
          <w:t>Policy Department Webpage</w:t>
        </w:r>
      </w:hyperlink>
    </w:p>
    <w:p w:rsidR="00777D87" w:rsidRPr="004F68F2" w:rsidRDefault="00777D87" w:rsidP="00726BB4">
      <w:pPr>
        <w:widowControl/>
        <w:ind w:left="-567" w:firstLine="283"/>
        <w:rPr>
          <w:rFonts w:ascii="Myriad Pro" w:eastAsia="Calibri" w:hAnsi="Myriad Pro"/>
          <w:b/>
          <w:snapToGrid/>
          <w:color w:val="595959"/>
          <w:sz w:val="20"/>
          <w:u w:val="single"/>
          <w:lang w:val="en-GB"/>
        </w:rPr>
      </w:pPr>
    </w:p>
    <w:p w:rsidR="00777D87" w:rsidRPr="004F68F2" w:rsidRDefault="00777D87" w:rsidP="00726BB4">
      <w:pPr>
        <w:widowControl/>
        <w:ind w:left="-567" w:firstLine="283"/>
        <w:rPr>
          <w:rFonts w:ascii="Myriad Pro" w:eastAsia="Calibri" w:hAnsi="Myriad Pro"/>
          <w:b/>
          <w:snapToGrid/>
          <w:color w:val="595959"/>
          <w:sz w:val="18"/>
          <w:szCs w:val="18"/>
          <w:u w:val="single"/>
          <w:lang w:val="en-GB"/>
        </w:rPr>
      </w:pPr>
    </w:p>
    <w:p w:rsidR="00777D87" w:rsidRPr="004F68F2" w:rsidRDefault="00777D87" w:rsidP="00726BB4">
      <w:pPr>
        <w:widowControl/>
        <w:ind w:left="-567" w:firstLine="283"/>
        <w:rPr>
          <w:rFonts w:ascii="Myriad Pro" w:eastAsia="Calibri" w:hAnsi="Myriad Pro"/>
          <w:b/>
          <w:snapToGrid/>
          <w:color w:val="595959"/>
          <w:sz w:val="18"/>
          <w:szCs w:val="18"/>
          <w:u w:val="single"/>
          <w:lang w:val="en-GB"/>
        </w:rPr>
      </w:pPr>
    </w:p>
    <w:p w:rsidR="00777D87" w:rsidRPr="004F68F2" w:rsidRDefault="00777D87" w:rsidP="00726BB4">
      <w:pPr>
        <w:widowControl/>
        <w:ind w:left="-567" w:firstLine="283"/>
        <w:rPr>
          <w:rFonts w:ascii="Myriad Pro" w:eastAsia="Calibri" w:hAnsi="Myriad Pro"/>
          <w:b/>
          <w:snapToGrid/>
          <w:color w:val="595959"/>
          <w:sz w:val="18"/>
          <w:szCs w:val="18"/>
          <w:u w:val="single"/>
          <w:lang w:val="en-GB"/>
        </w:rPr>
      </w:pPr>
    </w:p>
    <w:p w:rsidR="00777D87" w:rsidRPr="004F68F2" w:rsidRDefault="00777D87" w:rsidP="00726BB4">
      <w:pPr>
        <w:widowControl/>
        <w:ind w:left="-567" w:firstLine="283"/>
        <w:rPr>
          <w:rFonts w:ascii="Myriad Pro" w:eastAsia="Calibri" w:hAnsi="Myriad Pro"/>
          <w:b/>
          <w:snapToGrid/>
          <w:color w:val="595959"/>
          <w:sz w:val="18"/>
          <w:szCs w:val="18"/>
          <w:u w:val="single"/>
          <w:lang w:val="en-GB"/>
        </w:rPr>
      </w:pPr>
    </w:p>
    <w:p w:rsidR="00777D87" w:rsidRPr="004F68F2" w:rsidRDefault="00777D87" w:rsidP="00726BB4">
      <w:pPr>
        <w:widowControl/>
        <w:ind w:left="-567" w:firstLine="283"/>
        <w:rPr>
          <w:rFonts w:ascii="Myriad Pro" w:eastAsia="Calibri" w:hAnsi="Myriad Pro"/>
          <w:b/>
          <w:snapToGrid/>
          <w:color w:val="595959"/>
          <w:sz w:val="18"/>
          <w:szCs w:val="18"/>
          <w:u w:val="single"/>
          <w:lang w:val="en-GB"/>
        </w:rPr>
      </w:pPr>
    </w:p>
    <w:p w:rsidR="00777D87" w:rsidRPr="004F68F2" w:rsidRDefault="00777D87" w:rsidP="00726BB4">
      <w:pPr>
        <w:widowControl/>
        <w:ind w:left="-567" w:firstLine="283"/>
        <w:rPr>
          <w:rFonts w:ascii="Myriad Pro" w:eastAsia="Calibri" w:hAnsi="Myriad Pro"/>
          <w:b/>
          <w:snapToGrid/>
          <w:color w:val="595959"/>
          <w:sz w:val="18"/>
          <w:szCs w:val="18"/>
          <w:u w:val="single"/>
          <w:lang w:val="en-GB"/>
        </w:rPr>
      </w:pPr>
      <w:r w:rsidRPr="004F68F2">
        <w:rPr>
          <w:rFonts w:ascii="Myriad Pro" w:hAnsi="Myriad Pro"/>
          <w:b/>
          <w:snapToGrid/>
          <w:color w:val="595959"/>
          <w:sz w:val="18"/>
          <w:szCs w:val="18"/>
          <w:u w:val="single"/>
          <w:lang w:val="en-GB"/>
        </w:rPr>
        <w:t>Disclaimer</w:t>
      </w:r>
    </w:p>
    <w:p w:rsidR="00777D87" w:rsidRPr="004F68F2"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right="401" w:firstLine="283"/>
        <w:jc w:val="both"/>
        <w:rPr>
          <w:rFonts w:ascii="Myriad Pro" w:hAnsi="Myriad Pro" w:cs="Arial"/>
          <w:snapToGrid/>
          <w:sz w:val="20"/>
          <w:lang w:val="en-GB"/>
        </w:rPr>
      </w:pPr>
      <w:r w:rsidRPr="004F68F2">
        <w:rPr>
          <w:rFonts w:ascii="Myriad Pro" w:hAnsi="Myriad Pro"/>
          <w:b/>
          <w:iCs/>
          <w:snapToGrid/>
          <w:color w:val="595959"/>
          <w:sz w:val="18"/>
          <w:szCs w:val="18"/>
          <w:lang w:val="en-GB"/>
        </w:rPr>
        <w:t xml:space="preserve">The items contained herein are drafted by the Secretariat of the Budgetary Control Committee of the European Parliament and are provided for general information purposes only. The opinions expressed in this document are the sole responsibility of the author(s) and do not necessarily represent the official position of the European Parliament. This document may contain links to websites that are created and maintained by other organisations. The Secretariat does not necessarily endorse the view(s) expressed on these websites. </w:t>
      </w:r>
    </w:p>
    <w:p w:rsidR="00777D87" w:rsidRPr="004F68F2" w:rsidRDefault="00777D87" w:rsidP="00726BB4">
      <w:pPr>
        <w:widowControl/>
        <w:ind w:left="-224" w:firstLine="283"/>
        <w:rPr>
          <w:rFonts w:ascii="Myriad Pro" w:hAnsi="Myriad Pro" w:cs="Arial"/>
          <w:snapToGrid/>
          <w:sz w:val="20"/>
          <w:lang w:val="en-GB"/>
        </w:rPr>
      </w:pPr>
    </w:p>
    <w:p w:rsidR="00777D87" w:rsidRPr="004F68F2" w:rsidRDefault="00777D87" w:rsidP="00726BB4">
      <w:pPr>
        <w:pStyle w:val="AttendancePV"/>
        <w:ind w:firstLine="283"/>
        <w:rPr>
          <w:lang w:val="en-GB"/>
        </w:rPr>
      </w:pPr>
    </w:p>
    <w:sectPr w:rsidR="00777D87" w:rsidRPr="004F68F2" w:rsidSect="001E4EBD">
      <w:footnotePr>
        <w:numRestart w:val="eachSect"/>
      </w:footnotePr>
      <w:pgSz w:w="11907" w:h="16840" w:code="9"/>
      <w:pgMar w:top="1134" w:right="1418" w:bottom="1418" w:left="1418"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1EA" w:rsidRPr="003277EE" w:rsidRDefault="00A901EA">
      <w:r w:rsidRPr="003277EE">
        <w:separator/>
      </w:r>
    </w:p>
    <w:p w:rsidR="00A901EA" w:rsidRPr="003277EE" w:rsidRDefault="00A901EA"/>
  </w:endnote>
  <w:endnote w:type="continuationSeparator" w:id="0">
    <w:p w:rsidR="00A901EA" w:rsidRPr="003277EE" w:rsidRDefault="00A901EA">
      <w:r w:rsidRPr="003277EE">
        <w:continuationSeparator/>
      </w:r>
    </w:p>
    <w:p w:rsidR="00A901EA" w:rsidRPr="003277EE" w:rsidRDefault="00A90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okChampa">
    <w:altName w:val="Leelawadee UI"/>
    <w:charset w:val="DE"/>
    <w:family w:val="swiss"/>
    <w:pitch w:val="variable"/>
    <w:sig w:usb0="00000000"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Myriad Pro">
    <w:panose1 w:val="020B0503030403020204"/>
    <w:charset w:val="00"/>
    <w:family w:val="swiss"/>
    <w:notTrueType/>
    <w:pitch w:val="variable"/>
    <w:sig w:usb0="A00002AF" w:usb1="5000204B"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ヒラギノ角ゴ Pro W3">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376" w:rsidRPr="003277EE" w:rsidRDefault="00B65376" w:rsidP="00B65376">
    <w:pPr>
      <w:pStyle w:val="EPFooter"/>
    </w:pPr>
    <w:r w:rsidRPr="003277EE">
      <w:t>PE</w:t>
    </w:r>
    <w:r w:rsidRPr="003277EE">
      <w:rPr>
        <w:rStyle w:val="HideTWBExt"/>
        <w:noProof w:val="0"/>
      </w:rPr>
      <w:t>&lt;NoPE&gt;</w:t>
    </w:r>
    <w:r w:rsidRPr="003277EE">
      <w:t>661.827</w:t>
    </w:r>
    <w:r w:rsidRPr="003277EE">
      <w:rPr>
        <w:rStyle w:val="HideTWBExt"/>
        <w:noProof w:val="0"/>
      </w:rPr>
      <w:t>&lt;/NoPE&gt;&lt;Version&gt;</w:t>
    </w:r>
    <w:r w:rsidRPr="003277EE">
      <w:t>v01-00</w:t>
    </w:r>
    <w:r w:rsidRPr="003277EE">
      <w:rPr>
        <w:rStyle w:val="HideTWBExt"/>
        <w:noProof w:val="0"/>
      </w:rPr>
      <w:t>&lt;/Version&gt;</w:t>
    </w:r>
    <w:r w:rsidRPr="003277EE">
      <w:tab/>
    </w:r>
    <w:r w:rsidRPr="003277EE">
      <w:fldChar w:fldCharType="begin"/>
    </w:r>
    <w:r w:rsidRPr="003277EE">
      <w:instrText xml:space="preserve"> PAGE  \* MERGEFORMAT </w:instrText>
    </w:r>
    <w:r w:rsidRPr="003277EE">
      <w:fldChar w:fldCharType="separate"/>
    </w:r>
    <w:r w:rsidR="004F68F2">
      <w:rPr>
        <w:noProof/>
      </w:rPr>
      <w:t>6</w:t>
    </w:r>
    <w:r w:rsidRPr="003277EE">
      <w:fldChar w:fldCharType="end"/>
    </w:r>
    <w:r w:rsidRPr="003277EE">
      <w:t>/</w:t>
    </w:r>
    <w:r w:rsidR="004F68F2">
      <w:fldChar w:fldCharType="begin"/>
    </w:r>
    <w:r w:rsidR="004F68F2">
      <w:instrText xml:space="preserve"> NUMPAGES  \* MERGEFORMAT </w:instrText>
    </w:r>
    <w:r w:rsidR="004F68F2">
      <w:fldChar w:fldCharType="separate"/>
    </w:r>
    <w:r w:rsidR="004F68F2">
      <w:rPr>
        <w:noProof/>
      </w:rPr>
      <w:t>23</w:t>
    </w:r>
    <w:r w:rsidR="004F68F2">
      <w:rPr>
        <w:noProof/>
      </w:rPr>
      <w:fldChar w:fldCharType="end"/>
    </w:r>
    <w:r w:rsidRPr="003277EE">
      <w:tab/>
    </w:r>
    <w:r w:rsidRPr="003277EE">
      <w:rPr>
        <w:rStyle w:val="HideTWBExt"/>
        <w:noProof w:val="0"/>
      </w:rPr>
      <w:t>&lt;PathFdR&gt;</w:t>
    </w:r>
    <w:r w:rsidRPr="003277EE">
      <w:t>PV\1219186FR.docx</w:t>
    </w:r>
    <w:r w:rsidRPr="003277EE">
      <w:rPr>
        <w:rStyle w:val="HideTWBExt"/>
        <w:noProof w:val="0"/>
      </w:rPr>
      <w:t>&lt;/PathFdR&gt;</w:t>
    </w:r>
  </w:p>
  <w:p w:rsidR="00A901EA" w:rsidRPr="003277EE" w:rsidRDefault="00B65376" w:rsidP="00B65376">
    <w:pPr>
      <w:pStyle w:val="EPFooter2"/>
    </w:pPr>
    <w:r w:rsidRPr="003277EE">
      <w:t>FR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376" w:rsidRPr="004F68F2" w:rsidRDefault="00B65376" w:rsidP="00B65376">
    <w:pPr>
      <w:pStyle w:val="EPFooter"/>
      <w:rPr>
        <w:lang w:val="sv-SE"/>
      </w:rPr>
    </w:pPr>
    <w:r w:rsidRPr="004F68F2">
      <w:rPr>
        <w:rStyle w:val="HideTWBExt"/>
        <w:noProof w:val="0"/>
        <w:lang w:val="sv-SE"/>
      </w:rPr>
      <w:t>&lt;PathFdR&gt;</w:t>
    </w:r>
    <w:r w:rsidRPr="004F68F2">
      <w:rPr>
        <w:lang w:val="sv-SE"/>
      </w:rPr>
      <w:t>PV\1219186FR.docx</w:t>
    </w:r>
    <w:r w:rsidRPr="004F68F2">
      <w:rPr>
        <w:rStyle w:val="HideTWBExt"/>
        <w:noProof w:val="0"/>
        <w:lang w:val="sv-SE"/>
      </w:rPr>
      <w:t>&lt;/PathFdR&gt;</w:t>
    </w:r>
    <w:r w:rsidRPr="004F68F2">
      <w:rPr>
        <w:lang w:val="sv-SE"/>
      </w:rPr>
      <w:tab/>
    </w:r>
    <w:r w:rsidRPr="003277EE">
      <w:fldChar w:fldCharType="begin"/>
    </w:r>
    <w:r w:rsidRPr="004F68F2">
      <w:rPr>
        <w:lang w:val="sv-SE"/>
      </w:rPr>
      <w:instrText xml:space="preserve"> PAGE  \* MERGEFORMAT </w:instrText>
    </w:r>
    <w:r w:rsidRPr="003277EE">
      <w:fldChar w:fldCharType="separate"/>
    </w:r>
    <w:r w:rsidR="004F68F2">
      <w:rPr>
        <w:noProof/>
        <w:lang w:val="sv-SE"/>
      </w:rPr>
      <w:t>7</w:t>
    </w:r>
    <w:r w:rsidRPr="003277EE">
      <w:fldChar w:fldCharType="end"/>
    </w:r>
    <w:r w:rsidRPr="004F68F2">
      <w:rPr>
        <w:lang w:val="sv-SE"/>
      </w:rPr>
      <w:t>/</w:t>
    </w:r>
    <w:r w:rsidR="004F68F2">
      <w:fldChar w:fldCharType="begin"/>
    </w:r>
    <w:r w:rsidR="004F68F2" w:rsidRPr="004F68F2">
      <w:rPr>
        <w:lang w:val="sv-SE"/>
      </w:rPr>
      <w:instrText xml:space="preserve"> NUMPAGES  \* MERGEFORMAT </w:instrText>
    </w:r>
    <w:r w:rsidR="004F68F2">
      <w:fldChar w:fldCharType="separate"/>
    </w:r>
    <w:r w:rsidR="004F68F2">
      <w:rPr>
        <w:noProof/>
        <w:lang w:val="sv-SE"/>
      </w:rPr>
      <w:t>23</w:t>
    </w:r>
    <w:r w:rsidR="004F68F2">
      <w:rPr>
        <w:noProof/>
      </w:rPr>
      <w:fldChar w:fldCharType="end"/>
    </w:r>
    <w:r w:rsidRPr="004F68F2">
      <w:rPr>
        <w:lang w:val="sv-SE"/>
      </w:rPr>
      <w:tab/>
      <w:t>PE</w:t>
    </w:r>
    <w:r w:rsidRPr="004F68F2">
      <w:rPr>
        <w:rStyle w:val="HideTWBExt"/>
        <w:noProof w:val="0"/>
        <w:lang w:val="sv-SE"/>
      </w:rPr>
      <w:t>&lt;NoPE&gt;</w:t>
    </w:r>
    <w:r w:rsidRPr="004F68F2">
      <w:rPr>
        <w:lang w:val="sv-SE"/>
      </w:rPr>
      <w:t>661.827</w:t>
    </w:r>
    <w:r w:rsidRPr="004F68F2">
      <w:rPr>
        <w:rStyle w:val="HideTWBExt"/>
        <w:noProof w:val="0"/>
        <w:lang w:val="sv-SE"/>
      </w:rPr>
      <w:t>&lt;/NoPE&gt;&lt;Version&gt;</w:t>
    </w:r>
    <w:r w:rsidRPr="004F68F2">
      <w:rPr>
        <w:lang w:val="sv-SE"/>
      </w:rPr>
      <w:t>v01-00</w:t>
    </w:r>
    <w:r w:rsidRPr="004F68F2">
      <w:rPr>
        <w:rStyle w:val="HideTWBExt"/>
        <w:noProof w:val="0"/>
        <w:lang w:val="sv-SE"/>
      </w:rPr>
      <w:t>&lt;/Version&gt;</w:t>
    </w:r>
  </w:p>
  <w:p w:rsidR="00A901EA" w:rsidRPr="003277EE" w:rsidRDefault="00B65376" w:rsidP="00B65376">
    <w:pPr>
      <w:pStyle w:val="EPFooter2"/>
    </w:pPr>
    <w:r w:rsidRPr="004F68F2">
      <w:rPr>
        <w:lang w:val="sv-SE"/>
      </w:rPr>
      <w:tab/>
    </w:r>
    <w:r w:rsidRPr="004F68F2">
      <w:rPr>
        <w:lang w:val="sv-SE"/>
      </w:rPr>
      <w:tab/>
    </w:r>
    <w:r w:rsidRPr="003277EE">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376" w:rsidRPr="004F68F2" w:rsidRDefault="00B65376" w:rsidP="00B65376">
    <w:pPr>
      <w:pStyle w:val="EPFooter"/>
      <w:rPr>
        <w:lang w:val="sv-SE"/>
      </w:rPr>
    </w:pPr>
    <w:r w:rsidRPr="004F68F2">
      <w:rPr>
        <w:rStyle w:val="HideTWBExt"/>
        <w:noProof w:val="0"/>
        <w:lang w:val="sv-SE"/>
      </w:rPr>
      <w:t>&lt;PathFdR&gt;</w:t>
    </w:r>
    <w:r w:rsidRPr="004F68F2">
      <w:rPr>
        <w:lang w:val="sv-SE"/>
      </w:rPr>
      <w:t>PV\1219186FR.docx</w:t>
    </w:r>
    <w:r w:rsidRPr="004F68F2">
      <w:rPr>
        <w:rStyle w:val="HideTWBExt"/>
        <w:noProof w:val="0"/>
        <w:lang w:val="sv-SE"/>
      </w:rPr>
      <w:t>&lt;/PathFdR&gt;</w:t>
    </w:r>
    <w:r w:rsidRPr="004F68F2">
      <w:rPr>
        <w:lang w:val="sv-SE"/>
      </w:rPr>
      <w:tab/>
    </w:r>
    <w:r w:rsidRPr="004F68F2">
      <w:rPr>
        <w:lang w:val="sv-SE"/>
      </w:rPr>
      <w:tab/>
      <w:t>PE</w:t>
    </w:r>
    <w:r w:rsidRPr="004F68F2">
      <w:rPr>
        <w:rStyle w:val="HideTWBExt"/>
        <w:noProof w:val="0"/>
        <w:lang w:val="sv-SE"/>
      </w:rPr>
      <w:t>&lt;NoPE&gt;</w:t>
    </w:r>
    <w:r w:rsidRPr="004F68F2">
      <w:rPr>
        <w:lang w:val="sv-SE"/>
      </w:rPr>
      <w:t>661.827</w:t>
    </w:r>
    <w:r w:rsidRPr="004F68F2">
      <w:rPr>
        <w:rStyle w:val="HideTWBExt"/>
        <w:noProof w:val="0"/>
        <w:lang w:val="sv-SE"/>
      </w:rPr>
      <w:t>&lt;/NoPE&gt;&lt;Version&gt;</w:t>
    </w:r>
    <w:r w:rsidRPr="004F68F2">
      <w:rPr>
        <w:lang w:val="sv-SE"/>
      </w:rPr>
      <w:t>v01-00</w:t>
    </w:r>
    <w:r w:rsidRPr="004F68F2">
      <w:rPr>
        <w:rStyle w:val="HideTWBExt"/>
        <w:noProof w:val="0"/>
        <w:lang w:val="sv-SE"/>
      </w:rPr>
      <w:t>&lt;/Version&gt;</w:t>
    </w:r>
  </w:p>
  <w:p w:rsidR="00A901EA" w:rsidRPr="003277EE" w:rsidRDefault="00B65376" w:rsidP="00B65376">
    <w:pPr>
      <w:pStyle w:val="EPFooter2"/>
    </w:pPr>
    <w:r w:rsidRPr="003277EE">
      <w:t>FR</w:t>
    </w:r>
    <w:r w:rsidRPr="003277EE">
      <w:tab/>
    </w:r>
    <w:r w:rsidRPr="003277EE">
      <w:rPr>
        <w:b w:val="0"/>
        <w:i/>
        <w:color w:val="C0C0C0"/>
        <w:sz w:val="22"/>
      </w:rPr>
      <w:t>Unie dans la diversité</w:t>
    </w:r>
    <w:r w:rsidRPr="003277EE">
      <w:tab/>
      <w:t>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1EA" w:rsidRPr="003277EE" w:rsidRDefault="00A901EA">
      <w:r w:rsidRPr="003277EE">
        <w:separator/>
      </w:r>
    </w:p>
    <w:p w:rsidR="00A901EA" w:rsidRPr="003277EE" w:rsidRDefault="00A901EA"/>
  </w:footnote>
  <w:footnote w:type="continuationSeparator" w:id="0">
    <w:p w:rsidR="00A901EA" w:rsidRPr="003277EE" w:rsidRDefault="00A901EA">
      <w:r w:rsidRPr="003277EE">
        <w:continuationSeparator/>
      </w:r>
    </w:p>
    <w:p w:rsidR="00A901EA" w:rsidRPr="003277EE" w:rsidRDefault="00A901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062" w:rsidRDefault="00A010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062" w:rsidRDefault="00A010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062" w:rsidRDefault="00A010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1EA" w:rsidRDefault="00A901EA" w:rsidP="00A901EA">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4DEA3"/>
    <w:multiLevelType w:val="multilevel"/>
    <w:tmpl w:val="4B8D0A22"/>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D50E9"/>
    <w:multiLevelType w:val="multilevel"/>
    <w:tmpl w:val="7B82119B"/>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6C53B7"/>
    <w:multiLevelType w:val="multilevel"/>
    <w:tmpl w:val="742184D5"/>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58130E"/>
    <w:multiLevelType w:val="multilevel"/>
    <w:tmpl w:val="47FC11E8"/>
    <w:lvl w:ilvl="0">
      <w:start w:val="1"/>
      <w:numFmt w:val="decimal"/>
      <w:pStyle w:val="PVxHeading"/>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FC96B62"/>
    <w:multiLevelType w:val="multilevel"/>
    <w:tmpl w:val="554A4ECC"/>
    <w:styleLink w:val="Style11"/>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5F63AA"/>
    <w:multiLevelType w:val="multilevel"/>
    <w:tmpl w:val="08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378ABF"/>
    <w:multiLevelType w:val="multilevel"/>
    <w:tmpl w:val="115C0F22"/>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5CF0CF9"/>
    <w:multiLevelType w:val="multilevel"/>
    <w:tmpl w:val="2F598F06"/>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3449E1"/>
    <w:multiLevelType w:val="hybridMultilevel"/>
    <w:tmpl w:val="FAF4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833CE"/>
    <w:multiLevelType w:val="multilevel"/>
    <w:tmpl w:val="74FC5176"/>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6089CCEB"/>
    <w:multiLevelType w:val="multilevel"/>
    <w:tmpl w:val="4775F4D7"/>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24D156"/>
    <w:multiLevelType w:val="multilevel"/>
    <w:tmpl w:val="2AF0730F"/>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963A61"/>
    <w:multiLevelType w:val="multilevel"/>
    <w:tmpl w:val="42601461"/>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2A142CF"/>
    <w:multiLevelType w:val="multilevel"/>
    <w:tmpl w:val="06CACCD7"/>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5C79D9C"/>
    <w:multiLevelType w:val="multilevel"/>
    <w:tmpl w:val="52FE20F3"/>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3"/>
  </w:num>
  <w:num w:numId="9">
    <w:abstractNumId w:val="11"/>
  </w:num>
  <w:num w:numId="10">
    <w:abstractNumId w:val="1"/>
  </w:num>
  <w:num w:numId="11">
    <w:abstractNumId w:val="10"/>
  </w:num>
  <w:num w:numId="12">
    <w:abstractNumId w:val="13"/>
  </w:num>
  <w:num w:numId="13">
    <w:abstractNumId w:val="14"/>
  </w:num>
  <w:num w:numId="14">
    <w:abstractNumId w:val="7"/>
  </w:num>
  <w:num w:numId="15">
    <w:abstractNumId w:val="0"/>
  </w:num>
  <w:num w:numId="16">
    <w:abstractNumId w:val="2"/>
  </w:num>
  <w:num w:numId="17">
    <w:abstractNumId w:val="6"/>
  </w:num>
  <w:num w:numId="18">
    <w:abstractNumId w:val="12"/>
  </w:num>
  <w:num w:numId="19">
    <w:abstractNumId w:val="8"/>
  </w:num>
  <w:num w:numId="20">
    <w:abstractNumId w:val="5"/>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KEY" w:val="CONT"/>
    <w:docVar w:name="LastEditedSection" w:val=" 1"/>
    <w:docVar w:name="MEETMNU" w:val=" 1"/>
    <w:docVar w:name="STOREDT1" w:val="15/10/2020"/>
    <w:docVar w:name="strSubDir" w:val="1219"/>
    <w:docVar w:name="TXTLANGUE" w:val="FR"/>
    <w:docVar w:name="TXTLANGUEMIN" w:val="fr"/>
    <w:docVar w:name="TXTNRPE" w:val="661.827"/>
    <w:docVar w:name="TXTPEorAP" w:val="PE"/>
    <w:docVar w:name="TXTROUTE" w:val="PV\1219186FR.docx"/>
    <w:docVar w:name="TXTVERSION" w:val="01-00"/>
  </w:docVars>
  <w:rsids>
    <w:rsidRoot w:val="00A65DED"/>
    <w:rsid w:val="00007788"/>
    <w:rsid w:val="00021AD6"/>
    <w:rsid w:val="000265BD"/>
    <w:rsid w:val="00041A79"/>
    <w:rsid w:val="000533F1"/>
    <w:rsid w:val="000637F3"/>
    <w:rsid w:val="0006514D"/>
    <w:rsid w:val="00080681"/>
    <w:rsid w:val="00092111"/>
    <w:rsid w:val="0009235A"/>
    <w:rsid w:val="000952B6"/>
    <w:rsid w:val="000A769E"/>
    <w:rsid w:val="000B13F7"/>
    <w:rsid w:val="000B1C1A"/>
    <w:rsid w:val="000B727D"/>
    <w:rsid w:val="000C1967"/>
    <w:rsid w:val="000C46ED"/>
    <w:rsid w:val="000D3E6A"/>
    <w:rsid w:val="000D4F53"/>
    <w:rsid w:val="000D5FD7"/>
    <w:rsid w:val="000E082D"/>
    <w:rsid w:val="000F0B40"/>
    <w:rsid w:val="000F6376"/>
    <w:rsid w:val="0011399B"/>
    <w:rsid w:val="00114A86"/>
    <w:rsid w:val="00115496"/>
    <w:rsid w:val="00115EB1"/>
    <w:rsid w:val="001173AC"/>
    <w:rsid w:val="00117BF4"/>
    <w:rsid w:val="00164E56"/>
    <w:rsid w:val="00175A4C"/>
    <w:rsid w:val="00176DCC"/>
    <w:rsid w:val="001813D5"/>
    <w:rsid w:val="001857BA"/>
    <w:rsid w:val="00190F58"/>
    <w:rsid w:val="00194506"/>
    <w:rsid w:val="0019636C"/>
    <w:rsid w:val="001A3AE0"/>
    <w:rsid w:val="001B23CC"/>
    <w:rsid w:val="001B7D29"/>
    <w:rsid w:val="001C4040"/>
    <w:rsid w:val="001D14AA"/>
    <w:rsid w:val="001E20EC"/>
    <w:rsid w:val="001E4EBD"/>
    <w:rsid w:val="0020777E"/>
    <w:rsid w:val="0022027F"/>
    <w:rsid w:val="00225BAF"/>
    <w:rsid w:val="0022750E"/>
    <w:rsid w:val="00236A0D"/>
    <w:rsid w:val="00250F5D"/>
    <w:rsid w:val="00251D85"/>
    <w:rsid w:val="0026136B"/>
    <w:rsid w:val="002659A2"/>
    <w:rsid w:val="00273DB4"/>
    <w:rsid w:val="002753C7"/>
    <w:rsid w:val="002870DD"/>
    <w:rsid w:val="002A27BB"/>
    <w:rsid w:val="002B7C53"/>
    <w:rsid w:val="002D74B5"/>
    <w:rsid w:val="002D7816"/>
    <w:rsid w:val="002E083E"/>
    <w:rsid w:val="002E1CB6"/>
    <w:rsid w:val="002E2B09"/>
    <w:rsid w:val="002E37A9"/>
    <w:rsid w:val="00316C24"/>
    <w:rsid w:val="00317AE4"/>
    <w:rsid w:val="00323589"/>
    <w:rsid w:val="003277EE"/>
    <w:rsid w:val="003345F5"/>
    <w:rsid w:val="0033767A"/>
    <w:rsid w:val="00343EBA"/>
    <w:rsid w:val="003547F9"/>
    <w:rsid w:val="0036013B"/>
    <w:rsid w:val="00367FF0"/>
    <w:rsid w:val="00370637"/>
    <w:rsid w:val="00374A20"/>
    <w:rsid w:val="003A0A68"/>
    <w:rsid w:val="003A4EA4"/>
    <w:rsid w:val="003B1167"/>
    <w:rsid w:val="003B11A6"/>
    <w:rsid w:val="003B4372"/>
    <w:rsid w:val="003C12C7"/>
    <w:rsid w:val="003C7A12"/>
    <w:rsid w:val="003D1CBB"/>
    <w:rsid w:val="003E0A41"/>
    <w:rsid w:val="003E0BDE"/>
    <w:rsid w:val="003E0D2D"/>
    <w:rsid w:val="003E43F4"/>
    <w:rsid w:val="003E582C"/>
    <w:rsid w:val="003E67D2"/>
    <w:rsid w:val="003F18DC"/>
    <w:rsid w:val="00405A95"/>
    <w:rsid w:val="004062E2"/>
    <w:rsid w:val="004176E2"/>
    <w:rsid w:val="00431ECE"/>
    <w:rsid w:val="0045430B"/>
    <w:rsid w:val="00467244"/>
    <w:rsid w:val="00472CBA"/>
    <w:rsid w:val="004775FF"/>
    <w:rsid w:val="00481465"/>
    <w:rsid w:val="00481807"/>
    <w:rsid w:val="0048229C"/>
    <w:rsid w:val="00497850"/>
    <w:rsid w:val="004A2D31"/>
    <w:rsid w:val="004A4538"/>
    <w:rsid w:val="004A4927"/>
    <w:rsid w:val="004B094A"/>
    <w:rsid w:val="004B163A"/>
    <w:rsid w:val="004B6286"/>
    <w:rsid w:val="004B6A94"/>
    <w:rsid w:val="004C1E4A"/>
    <w:rsid w:val="004D6B1E"/>
    <w:rsid w:val="004E577D"/>
    <w:rsid w:val="004F1219"/>
    <w:rsid w:val="004F12D3"/>
    <w:rsid w:val="004F151F"/>
    <w:rsid w:val="004F68F2"/>
    <w:rsid w:val="004F6ED0"/>
    <w:rsid w:val="004F76B3"/>
    <w:rsid w:val="005019B0"/>
    <w:rsid w:val="00543EF6"/>
    <w:rsid w:val="00545823"/>
    <w:rsid w:val="00553CD4"/>
    <w:rsid w:val="0056777A"/>
    <w:rsid w:val="00571482"/>
    <w:rsid w:val="00574D4D"/>
    <w:rsid w:val="005828F0"/>
    <w:rsid w:val="00582FD5"/>
    <w:rsid w:val="005838E8"/>
    <w:rsid w:val="0059220C"/>
    <w:rsid w:val="00596A5E"/>
    <w:rsid w:val="005970B3"/>
    <w:rsid w:val="005A28B9"/>
    <w:rsid w:val="005A4857"/>
    <w:rsid w:val="005B7835"/>
    <w:rsid w:val="005C25B9"/>
    <w:rsid w:val="005D2A4F"/>
    <w:rsid w:val="005D2D78"/>
    <w:rsid w:val="005D4FEF"/>
    <w:rsid w:val="005D5A08"/>
    <w:rsid w:val="005D7428"/>
    <w:rsid w:val="005E11B3"/>
    <w:rsid w:val="005E2DEF"/>
    <w:rsid w:val="005E6C44"/>
    <w:rsid w:val="005F6C89"/>
    <w:rsid w:val="00601859"/>
    <w:rsid w:val="006132D6"/>
    <w:rsid w:val="00615488"/>
    <w:rsid w:val="006177F2"/>
    <w:rsid w:val="006275CD"/>
    <w:rsid w:val="00640211"/>
    <w:rsid w:val="006418F2"/>
    <w:rsid w:val="0064227F"/>
    <w:rsid w:val="00643758"/>
    <w:rsid w:val="00650AF2"/>
    <w:rsid w:val="00654687"/>
    <w:rsid w:val="00672690"/>
    <w:rsid w:val="00675887"/>
    <w:rsid w:val="0067649D"/>
    <w:rsid w:val="006B2516"/>
    <w:rsid w:val="006B2AF7"/>
    <w:rsid w:val="006C1AC2"/>
    <w:rsid w:val="006C52AC"/>
    <w:rsid w:val="006C6F0A"/>
    <w:rsid w:val="006D0C4F"/>
    <w:rsid w:val="006D2283"/>
    <w:rsid w:val="006D3CC8"/>
    <w:rsid w:val="006D6EB9"/>
    <w:rsid w:val="006E2C80"/>
    <w:rsid w:val="00704D52"/>
    <w:rsid w:val="0070508E"/>
    <w:rsid w:val="0070694C"/>
    <w:rsid w:val="00713B78"/>
    <w:rsid w:val="00714F25"/>
    <w:rsid w:val="007153A2"/>
    <w:rsid w:val="00726BB4"/>
    <w:rsid w:val="00754C89"/>
    <w:rsid w:val="00755125"/>
    <w:rsid w:val="00765523"/>
    <w:rsid w:val="00765E1E"/>
    <w:rsid w:val="0076749D"/>
    <w:rsid w:val="00777D87"/>
    <w:rsid w:val="00785E9B"/>
    <w:rsid w:val="00792939"/>
    <w:rsid w:val="00793FB9"/>
    <w:rsid w:val="00793FC2"/>
    <w:rsid w:val="00796645"/>
    <w:rsid w:val="007A3289"/>
    <w:rsid w:val="007B0C9D"/>
    <w:rsid w:val="007C674A"/>
    <w:rsid w:val="007D1D46"/>
    <w:rsid w:val="007D6B19"/>
    <w:rsid w:val="007E0B3D"/>
    <w:rsid w:val="007E5C31"/>
    <w:rsid w:val="00801684"/>
    <w:rsid w:val="00803FD1"/>
    <w:rsid w:val="00804AE1"/>
    <w:rsid w:val="0082592C"/>
    <w:rsid w:val="0083209D"/>
    <w:rsid w:val="0083601E"/>
    <w:rsid w:val="00844D91"/>
    <w:rsid w:val="008452E8"/>
    <w:rsid w:val="0087034E"/>
    <w:rsid w:val="00872F47"/>
    <w:rsid w:val="0088003A"/>
    <w:rsid w:val="0088601A"/>
    <w:rsid w:val="00891C54"/>
    <w:rsid w:val="00897306"/>
    <w:rsid w:val="008978D3"/>
    <w:rsid w:val="008A0730"/>
    <w:rsid w:val="008A5B14"/>
    <w:rsid w:val="008A7874"/>
    <w:rsid w:val="008B0D40"/>
    <w:rsid w:val="008C12BD"/>
    <w:rsid w:val="008C2A65"/>
    <w:rsid w:val="008C3BBA"/>
    <w:rsid w:val="008D4BA7"/>
    <w:rsid w:val="008D7AD4"/>
    <w:rsid w:val="008E131C"/>
    <w:rsid w:val="008E4DD5"/>
    <w:rsid w:val="008E68DC"/>
    <w:rsid w:val="008E6B98"/>
    <w:rsid w:val="008F6F69"/>
    <w:rsid w:val="008F7A17"/>
    <w:rsid w:val="00905F78"/>
    <w:rsid w:val="009119A3"/>
    <w:rsid w:val="00926DB0"/>
    <w:rsid w:val="009408CB"/>
    <w:rsid w:val="009515D1"/>
    <w:rsid w:val="00956466"/>
    <w:rsid w:val="00960270"/>
    <w:rsid w:val="009643F0"/>
    <w:rsid w:val="0097066F"/>
    <w:rsid w:val="00972263"/>
    <w:rsid w:val="00981D14"/>
    <w:rsid w:val="00984248"/>
    <w:rsid w:val="00992882"/>
    <w:rsid w:val="0099346B"/>
    <w:rsid w:val="009940F4"/>
    <w:rsid w:val="00994629"/>
    <w:rsid w:val="009D17C3"/>
    <w:rsid w:val="009D762D"/>
    <w:rsid w:val="009E0B27"/>
    <w:rsid w:val="009E24B6"/>
    <w:rsid w:val="009E7A82"/>
    <w:rsid w:val="00A00F95"/>
    <w:rsid w:val="00A01062"/>
    <w:rsid w:val="00A13D65"/>
    <w:rsid w:val="00A13DDE"/>
    <w:rsid w:val="00A16FC5"/>
    <w:rsid w:val="00A36A4E"/>
    <w:rsid w:val="00A427A6"/>
    <w:rsid w:val="00A44C95"/>
    <w:rsid w:val="00A5325A"/>
    <w:rsid w:val="00A6035E"/>
    <w:rsid w:val="00A6073D"/>
    <w:rsid w:val="00A65248"/>
    <w:rsid w:val="00A65DED"/>
    <w:rsid w:val="00A66B35"/>
    <w:rsid w:val="00A81EEA"/>
    <w:rsid w:val="00A87091"/>
    <w:rsid w:val="00A901EA"/>
    <w:rsid w:val="00A91422"/>
    <w:rsid w:val="00A92F32"/>
    <w:rsid w:val="00AA186A"/>
    <w:rsid w:val="00AB0669"/>
    <w:rsid w:val="00AB7DBA"/>
    <w:rsid w:val="00AC4D9A"/>
    <w:rsid w:val="00AC5E30"/>
    <w:rsid w:val="00AC660B"/>
    <w:rsid w:val="00AC70F9"/>
    <w:rsid w:val="00AD4CEB"/>
    <w:rsid w:val="00AE1834"/>
    <w:rsid w:val="00AF2827"/>
    <w:rsid w:val="00B01DC3"/>
    <w:rsid w:val="00B15084"/>
    <w:rsid w:val="00B2395C"/>
    <w:rsid w:val="00B408BE"/>
    <w:rsid w:val="00B44908"/>
    <w:rsid w:val="00B501B7"/>
    <w:rsid w:val="00B51AD5"/>
    <w:rsid w:val="00B65376"/>
    <w:rsid w:val="00B93FBF"/>
    <w:rsid w:val="00BA4044"/>
    <w:rsid w:val="00BA464F"/>
    <w:rsid w:val="00BB057F"/>
    <w:rsid w:val="00BB0B38"/>
    <w:rsid w:val="00BC697F"/>
    <w:rsid w:val="00BC7215"/>
    <w:rsid w:val="00BD3F38"/>
    <w:rsid w:val="00BE20BF"/>
    <w:rsid w:val="00BF102E"/>
    <w:rsid w:val="00BF288C"/>
    <w:rsid w:val="00BF333A"/>
    <w:rsid w:val="00BF4AAA"/>
    <w:rsid w:val="00BF54D6"/>
    <w:rsid w:val="00C01C42"/>
    <w:rsid w:val="00C13E92"/>
    <w:rsid w:val="00C346F1"/>
    <w:rsid w:val="00C36FC4"/>
    <w:rsid w:val="00C46B37"/>
    <w:rsid w:val="00C634EF"/>
    <w:rsid w:val="00C63594"/>
    <w:rsid w:val="00C63E0B"/>
    <w:rsid w:val="00C64625"/>
    <w:rsid w:val="00C701DE"/>
    <w:rsid w:val="00C76C40"/>
    <w:rsid w:val="00C826D6"/>
    <w:rsid w:val="00C82F5B"/>
    <w:rsid w:val="00C90B1B"/>
    <w:rsid w:val="00CA2394"/>
    <w:rsid w:val="00CA53ED"/>
    <w:rsid w:val="00CA70CB"/>
    <w:rsid w:val="00CB12EE"/>
    <w:rsid w:val="00CC5762"/>
    <w:rsid w:val="00CC6E1E"/>
    <w:rsid w:val="00CD01A6"/>
    <w:rsid w:val="00CD0CF5"/>
    <w:rsid w:val="00CD4116"/>
    <w:rsid w:val="00CE29F4"/>
    <w:rsid w:val="00CE5AEB"/>
    <w:rsid w:val="00CF2BB3"/>
    <w:rsid w:val="00CF2D24"/>
    <w:rsid w:val="00CF45C4"/>
    <w:rsid w:val="00CF78F5"/>
    <w:rsid w:val="00D11315"/>
    <w:rsid w:val="00D11A34"/>
    <w:rsid w:val="00D329C8"/>
    <w:rsid w:val="00D3380B"/>
    <w:rsid w:val="00D342CE"/>
    <w:rsid w:val="00D374CC"/>
    <w:rsid w:val="00D45997"/>
    <w:rsid w:val="00D6668F"/>
    <w:rsid w:val="00D915A9"/>
    <w:rsid w:val="00DA373C"/>
    <w:rsid w:val="00DB2330"/>
    <w:rsid w:val="00DB5CC6"/>
    <w:rsid w:val="00DB7BC4"/>
    <w:rsid w:val="00DC061F"/>
    <w:rsid w:val="00DC629C"/>
    <w:rsid w:val="00DC63A9"/>
    <w:rsid w:val="00DC7AF1"/>
    <w:rsid w:val="00DD64B7"/>
    <w:rsid w:val="00DF0DC8"/>
    <w:rsid w:val="00E14108"/>
    <w:rsid w:val="00E17EDA"/>
    <w:rsid w:val="00E21182"/>
    <w:rsid w:val="00E2213D"/>
    <w:rsid w:val="00E2660A"/>
    <w:rsid w:val="00E352CD"/>
    <w:rsid w:val="00E413A9"/>
    <w:rsid w:val="00E64BA6"/>
    <w:rsid w:val="00E6537C"/>
    <w:rsid w:val="00E8424C"/>
    <w:rsid w:val="00E85748"/>
    <w:rsid w:val="00E92D38"/>
    <w:rsid w:val="00EA0B23"/>
    <w:rsid w:val="00EA74BF"/>
    <w:rsid w:val="00EA7E10"/>
    <w:rsid w:val="00EB4FBD"/>
    <w:rsid w:val="00EC7932"/>
    <w:rsid w:val="00EE0704"/>
    <w:rsid w:val="00EE1928"/>
    <w:rsid w:val="00EE3F96"/>
    <w:rsid w:val="00EF2B19"/>
    <w:rsid w:val="00EF34BA"/>
    <w:rsid w:val="00F0068D"/>
    <w:rsid w:val="00F05E49"/>
    <w:rsid w:val="00F0751C"/>
    <w:rsid w:val="00F124C7"/>
    <w:rsid w:val="00F24FAF"/>
    <w:rsid w:val="00F262FB"/>
    <w:rsid w:val="00F267B4"/>
    <w:rsid w:val="00F31226"/>
    <w:rsid w:val="00F36557"/>
    <w:rsid w:val="00F4356E"/>
    <w:rsid w:val="00F51C97"/>
    <w:rsid w:val="00F5491E"/>
    <w:rsid w:val="00F60A98"/>
    <w:rsid w:val="00F64B87"/>
    <w:rsid w:val="00F84353"/>
    <w:rsid w:val="00F87059"/>
    <w:rsid w:val="00F909BF"/>
    <w:rsid w:val="00F97A4F"/>
    <w:rsid w:val="00FA0152"/>
    <w:rsid w:val="00FA6AF5"/>
    <w:rsid w:val="00FB09D1"/>
    <w:rsid w:val="00FB3DF0"/>
    <w:rsid w:val="00FC1B11"/>
    <w:rsid w:val="00FD183B"/>
    <w:rsid w:val="00FF04B4"/>
    <w:rsid w:val="00FF4EF0"/>
    <w:rsid w:val="00FF553A"/>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3212]"/>
    </o:shapedefaults>
    <o:shapelayout v:ext="edit">
      <o:idmap v:ext="edit" data="1"/>
    </o:shapelayout>
  </w:shapeDefaults>
  <w:decimalSymbol w:val=","/>
  <w:listSeparator w:val=";"/>
  <w14:docId w14:val="5DD6B67F"/>
  <w15:chartTrackingRefBased/>
  <w15:docId w15:val="{E3E7C1CD-1E90-4579-8914-C2E424CB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semiHidden="1"/>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C31"/>
    <w:pPr>
      <w:widowControl w:val="0"/>
    </w:pPr>
    <w:rPr>
      <w:snapToGrid w:val="0"/>
      <w:sz w:val="24"/>
      <w:lang w:eastAsia="en-US"/>
    </w:rPr>
  </w:style>
  <w:style w:type="paragraph" w:styleId="Heading1">
    <w:name w:val="heading 1"/>
    <w:basedOn w:val="Normal"/>
    <w:next w:val="Normal"/>
    <w:link w:val="Heading1Char"/>
    <w:uiPriority w:val="9"/>
    <w:qFormat/>
    <w:pPr>
      <w:keepNext/>
      <w:widowControl/>
      <w:tabs>
        <w:tab w:val="left" w:pos="-1057"/>
        <w:tab w:val="left" w:pos="-720"/>
        <w:tab w:val="left" w:pos="0"/>
        <w:tab w:val="left" w:pos="720"/>
        <w:tab w:val="left" w:pos="2154"/>
        <w:tab w:val="left" w:pos="2880"/>
      </w:tabs>
      <w:ind w:left="2155" w:hanging="2155"/>
      <w:jc w:val="both"/>
      <w:outlineLvl w:val="0"/>
    </w:pPr>
    <w:rPr>
      <w:b/>
    </w:rPr>
  </w:style>
  <w:style w:type="paragraph" w:styleId="Heading2">
    <w:name w:val="heading 2"/>
    <w:basedOn w:val="Normal"/>
    <w:next w:val="Normal"/>
    <w:link w:val="Heading2Char"/>
    <w:uiPriority w:val="9"/>
    <w:qFormat/>
    <w:pPr>
      <w:keepNext/>
      <w:spacing w:before="240" w:after="60"/>
      <w:outlineLvl w:val="1"/>
    </w:pPr>
    <w:rPr>
      <w:rFonts w:ascii="Arial" w:hAnsi="Arial"/>
      <w:b/>
      <w:i/>
    </w:rPr>
  </w:style>
  <w:style w:type="paragraph" w:styleId="Heading3">
    <w:name w:val="heading 3"/>
    <w:basedOn w:val="Normal"/>
    <w:next w:val="Normal"/>
    <w:semiHidden/>
    <w:qFormat/>
    <w:pPr>
      <w:keepNext/>
      <w:numPr>
        <w:ilvl w:val="2"/>
        <w:numId w:val="1"/>
      </w:numPr>
      <w:spacing w:before="240" w:after="60"/>
      <w:outlineLvl w:val="2"/>
    </w:pPr>
    <w:rPr>
      <w:rFonts w:ascii="Arial" w:hAnsi="Arial"/>
    </w:rPr>
  </w:style>
  <w:style w:type="paragraph" w:styleId="Heading4">
    <w:name w:val="heading 4"/>
    <w:basedOn w:val="Normal"/>
    <w:next w:val="Normal"/>
    <w:semiHidden/>
    <w:qFormat/>
    <w:pPr>
      <w:keepNext/>
      <w:numPr>
        <w:ilvl w:val="3"/>
        <w:numId w:val="2"/>
      </w:numPr>
      <w:spacing w:before="240" w:after="60"/>
      <w:outlineLvl w:val="3"/>
    </w:pPr>
    <w:rPr>
      <w:rFonts w:ascii="Arial" w:hAnsi="Arial"/>
      <w:b/>
    </w:rPr>
  </w:style>
  <w:style w:type="paragraph" w:styleId="Heading5">
    <w:name w:val="heading 5"/>
    <w:basedOn w:val="Normal"/>
    <w:next w:val="Normal"/>
    <w:semiHidden/>
    <w:qFormat/>
    <w:pPr>
      <w:numPr>
        <w:ilvl w:val="4"/>
        <w:numId w:val="3"/>
      </w:numPr>
      <w:spacing w:before="240" w:after="60"/>
      <w:outlineLvl w:val="4"/>
    </w:pPr>
    <w:rPr>
      <w:sz w:val="22"/>
    </w:rPr>
  </w:style>
  <w:style w:type="paragraph" w:styleId="Heading6">
    <w:name w:val="heading 6"/>
    <w:basedOn w:val="Normal"/>
    <w:next w:val="Normal"/>
    <w:semiHidden/>
    <w:qFormat/>
    <w:pPr>
      <w:numPr>
        <w:ilvl w:val="5"/>
        <w:numId w:val="4"/>
      </w:numPr>
      <w:spacing w:before="240" w:after="60"/>
      <w:outlineLvl w:val="5"/>
    </w:pPr>
    <w:rPr>
      <w:i/>
      <w:sz w:val="22"/>
    </w:rPr>
  </w:style>
  <w:style w:type="paragraph" w:styleId="Heading7">
    <w:name w:val="heading 7"/>
    <w:basedOn w:val="Normal"/>
    <w:next w:val="Normal"/>
    <w:semiHidden/>
    <w:qFormat/>
    <w:pPr>
      <w:numPr>
        <w:ilvl w:val="6"/>
        <w:numId w:val="5"/>
      </w:numPr>
      <w:spacing w:before="240" w:after="60"/>
      <w:outlineLvl w:val="6"/>
    </w:pPr>
    <w:rPr>
      <w:rFonts w:ascii="Arial" w:hAnsi="Arial"/>
      <w:sz w:val="20"/>
    </w:rPr>
  </w:style>
  <w:style w:type="paragraph" w:styleId="Heading8">
    <w:name w:val="heading 8"/>
    <w:basedOn w:val="Normal"/>
    <w:next w:val="Normal"/>
    <w:semiHidden/>
    <w:qFormat/>
    <w:pPr>
      <w:numPr>
        <w:ilvl w:val="7"/>
        <w:numId w:val="6"/>
      </w:numPr>
      <w:spacing w:before="240" w:after="60"/>
      <w:outlineLvl w:val="7"/>
    </w:pPr>
    <w:rPr>
      <w:rFonts w:ascii="Arial" w:hAnsi="Arial"/>
      <w:i/>
      <w:sz w:val="20"/>
    </w:rPr>
  </w:style>
  <w:style w:type="paragraph" w:styleId="Heading9">
    <w:name w:val="heading 9"/>
    <w:basedOn w:val="Normal"/>
    <w:next w:val="Normal"/>
    <w:semiHidden/>
    <w:qFormat/>
    <w:pPr>
      <w:numPr>
        <w:ilvl w:val="8"/>
        <w:numId w:val="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dancePV">
    <w:name w:val="AttendancePV"/>
    <w:basedOn w:val="Normal"/>
    <w:rsid w:val="00AD4CEB"/>
    <w:rPr>
      <w:sz w:val="16"/>
    </w:rPr>
  </w:style>
  <w:style w:type="paragraph" w:customStyle="1" w:styleId="PVxIndent">
    <w:name w:val="PVxIndent"/>
    <w:basedOn w:val="Normal"/>
    <w:rsid w:val="006B2AF7"/>
    <w:pPr>
      <w:ind w:left="567"/>
    </w:pPr>
  </w:style>
  <w:style w:type="paragraph" w:customStyle="1" w:styleId="PVxHeading">
    <w:name w:val="PVxHeading"/>
    <w:basedOn w:val="Normal"/>
    <w:next w:val="Normal"/>
    <w:rsid w:val="00316C24"/>
    <w:pPr>
      <w:keepNext/>
      <w:widowControl/>
      <w:numPr>
        <w:numId w:val="8"/>
      </w:numPr>
      <w:tabs>
        <w:tab w:val="clear" w:pos="720"/>
        <w:tab w:val="num" w:pos="360"/>
        <w:tab w:val="right" w:pos="9072"/>
      </w:tabs>
      <w:spacing w:before="240" w:after="240"/>
      <w:ind w:left="567" w:hanging="567"/>
    </w:pPr>
    <w:rPr>
      <w:b/>
    </w:rPr>
  </w:style>
  <w:style w:type="paragraph" w:customStyle="1" w:styleId="PVxSubheading12a">
    <w:name w:val="PVxSubheading12a"/>
    <w:basedOn w:val="Normal"/>
    <w:next w:val="Normal"/>
    <w:rsid w:val="006B2AF7"/>
    <w:pPr>
      <w:widowControl/>
      <w:spacing w:after="240"/>
      <w:ind w:left="567"/>
    </w:pPr>
    <w:rPr>
      <w:b/>
      <w:i/>
    </w:rPr>
  </w:style>
  <w:style w:type="paragraph" w:customStyle="1" w:styleId="PVxSubheadingTab12b">
    <w:name w:val="PVxSubheadingTab12b"/>
    <w:basedOn w:val="Normal"/>
    <w:rsid w:val="0048229C"/>
    <w:pPr>
      <w:tabs>
        <w:tab w:val="left" w:pos="2268"/>
      </w:tabs>
      <w:spacing w:before="240"/>
      <w:ind w:left="567"/>
    </w:pPr>
    <w:rPr>
      <w:b/>
      <w:i/>
    </w:rPr>
  </w:style>
  <w:style w:type="paragraph" w:customStyle="1" w:styleId="PVxSubheadingTab12b12a">
    <w:name w:val="PVxSubheadingTab12b12a"/>
    <w:basedOn w:val="Normal"/>
    <w:next w:val="Normal"/>
    <w:rsid w:val="0048229C"/>
    <w:pPr>
      <w:tabs>
        <w:tab w:val="left" w:pos="2268"/>
      </w:tabs>
      <w:spacing w:before="240" w:after="240"/>
      <w:ind w:left="567"/>
    </w:pPr>
    <w:rPr>
      <w:b/>
      <w:i/>
    </w:rPr>
  </w:style>
  <w:style w:type="character" w:customStyle="1" w:styleId="HideTWBExt">
    <w:name w:val="HideTWBExt"/>
    <w:basedOn w:val="DefaultParagraphFont"/>
    <w:rPr>
      <w:rFonts w:ascii="Arial" w:hAnsi="Arial" w:cs="Arial"/>
      <w:b w:val="0"/>
      <w:i w:val="0"/>
      <w:strike w:val="0"/>
      <w:noProof/>
      <w:vanish/>
      <w:color w:val="000080"/>
      <w:sz w:val="20"/>
    </w:rPr>
  </w:style>
  <w:style w:type="paragraph" w:customStyle="1" w:styleId="PVxIndentRightTab">
    <w:name w:val="PVxIndentRightTab"/>
    <w:basedOn w:val="Normal"/>
    <w:rsid w:val="00CD0CF5"/>
    <w:pPr>
      <w:tabs>
        <w:tab w:val="right" w:pos="9072"/>
      </w:tabs>
      <w:ind w:left="567"/>
    </w:pPr>
  </w:style>
  <w:style w:type="paragraph" w:customStyle="1" w:styleId="NormalHanging12b">
    <w:name w:val="NormalHanging12b"/>
    <w:basedOn w:val="Normal"/>
    <w:rsid w:val="004062E2"/>
    <w:pPr>
      <w:spacing w:before="240"/>
      <w:ind w:left="567" w:hanging="567"/>
    </w:pPr>
    <w:rPr>
      <w:snapToGrid/>
      <w:lang w:eastAsia="en-GB"/>
    </w:rPr>
  </w:style>
  <w:style w:type="paragraph" w:styleId="TOC1">
    <w:name w:val="toc 1"/>
    <w:basedOn w:val="Normal"/>
    <w:next w:val="Normal"/>
    <w:autoRedefine/>
    <w:uiPriority w:val="39"/>
    <w:rsid w:val="00A16FC5"/>
  </w:style>
  <w:style w:type="character" w:styleId="Hyperlink">
    <w:name w:val="Hyperlink"/>
    <w:uiPriority w:val="99"/>
    <w:rsid w:val="004A4538"/>
    <w:rPr>
      <w:color w:val="0563C1"/>
      <w:u w:val="single"/>
    </w:rPr>
  </w:style>
  <w:style w:type="paragraph" w:styleId="TOC2">
    <w:name w:val="toc 2"/>
    <w:basedOn w:val="Normal"/>
    <w:next w:val="Normal"/>
    <w:autoRedefine/>
    <w:uiPriority w:val="39"/>
    <w:rsid w:val="00A16FC5"/>
    <w:pPr>
      <w:ind w:left="426"/>
    </w:pPr>
  </w:style>
  <w:style w:type="paragraph" w:customStyle="1" w:styleId="RollCallTable">
    <w:name w:val="RollCallTable"/>
    <w:basedOn w:val="Normal"/>
    <w:rsid w:val="002659A2"/>
    <w:pPr>
      <w:spacing w:before="120" w:after="120"/>
    </w:pPr>
    <w:rPr>
      <w:sz w:val="16"/>
    </w:rPr>
  </w:style>
  <w:style w:type="paragraph" w:styleId="FootnoteText">
    <w:name w:val="footnote text"/>
    <w:basedOn w:val="Normal"/>
    <w:link w:val="FootnoteTextChar"/>
    <w:uiPriority w:val="99"/>
    <w:semiHidden/>
    <w:rPr>
      <w:sz w:val="20"/>
    </w:rPr>
  </w:style>
  <w:style w:type="paragraph" w:customStyle="1" w:styleId="RollCallSymbols12pt">
    <w:name w:val="RollCallSymbols12pt"/>
    <w:basedOn w:val="Normal"/>
    <w:rsid w:val="002659A2"/>
    <w:pPr>
      <w:spacing w:before="120" w:after="120"/>
      <w:jc w:val="center"/>
    </w:pPr>
    <w:rPr>
      <w:rFonts w:ascii="Arial" w:hAnsi="Arial"/>
      <w:b/>
      <w:bCs/>
    </w:rPr>
  </w:style>
  <w:style w:type="paragraph" w:customStyle="1" w:styleId="EPFooter2">
    <w:name w:val="EPFooter2"/>
    <w:basedOn w:val="Normal"/>
    <w:next w:val="Normal"/>
    <w:pPr>
      <w:widowControl/>
      <w:tabs>
        <w:tab w:val="center" w:pos="4535"/>
        <w:tab w:val="right" w:pos="9921"/>
      </w:tabs>
      <w:ind w:left="-850" w:right="-850"/>
    </w:pPr>
    <w:rPr>
      <w:rFonts w:ascii="Arial" w:hAnsi="Arial" w:cs="Arial"/>
      <w:b/>
      <w:snapToGrid/>
      <w:sz w:val="48"/>
    </w:rPr>
  </w:style>
  <w:style w:type="table" w:styleId="TableGrid">
    <w:name w:val="Table Grid"/>
    <w:basedOn w:val="TableNormal"/>
    <w:rsid w:val="00F64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Body">
    <w:name w:val="EPBody"/>
    <w:basedOn w:val="Normal"/>
    <w:rsid w:val="00F64B87"/>
    <w:pPr>
      <w:jc w:val="center"/>
    </w:pPr>
    <w:rPr>
      <w:rFonts w:ascii="Arial" w:hAnsi="Arial" w:cs="Arial"/>
      <w:i/>
      <w:snapToGrid/>
      <w:sz w:val="22"/>
      <w:szCs w:val="22"/>
      <w:lang w:eastAsia="en-GB"/>
    </w:rPr>
  </w:style>
  <w:style w:type="paragraph" w:customStyle="1" w:styleId="RollCallSymbols14pt">
    <w:name w:val="RollCallSymbols14pt"/>
    <w:basedOn w:val="Normal"/>
    <w:rsid w:val="002659A2"/>
    <w:pPr>
      <w:spacing w:before="120" w:after="120"/>
      <w:jc w:val="center"/>
    </w:pPr>
    <w:rPr>
      <w:rFonts w:ascii="Arial" w:hAnsi="Arial"/>
      <w:b/>
      <w:bCs/>
      <w:sz w:val="28"/>
    </w:rPr>
  </w:style>
  <w:style w:type="paragraph" w:customStyle="1" w:styleId="NormalBold12b">
    <w:name w:val="NormalBold12b"/>
    <w:basedOn w:val="Normal"/>
    <w:pPr>
      <w:spacing w:before="240"/>
    </w:pPr>
    <w:rPr>
      <w:b/>
    </w:rPr>
  </w:style>
  <w:style w:type="paragraph" w:customStyle="1" w:styleId="PVxIndentTab">
    <w:name w:val="PVxIndentTab"/>
    <w:basedOn w:val="Normal"/>
    <w:rsid w:val="004062E2"/>
    <w:pPr>
      <w:tabs>
        <w:tab w:val="left" w:pos="2268"/>
      </w:tabs>
      <w:ind w:left="567"/>
    </w:pPr>
  </w:style>
  <w:style w:type="paragraph" w:customStyle="1" w:styleId="PVxIndentTab12b">
    <w:name w:val="PVxIndentTab12b"/>
    <w:basedOn w:val="Normal"/>
    <w:next w:val="Normal"/>
    <w:rsid w:val="00CD0CF5"/>
    <w:pPr>
      <w:tabs>
        <w:tab w:val="left" w:pos="2268"/>
      </w:tabs>
      <w:spacing w:before="240"/>
      <w:ind w:left="567"/>
    </w:pPr>
  </w:style>
  <w:style w:type="paragraph" w:customStyle="1" w:styleId="PVxIndent12a">
    <w:name w:val="PVxIndent12a"/>
    <w:basedOn w:val="Normal"/>
    <w:rsid w:val="006B2AF7"/>
    <w:pPr>
      <w:spacing w:after="240"/>
      <w:ind w:left="567"/>
    </w:pPr>
  </w:style>
  <w:style w:type="paragraph" w:customStyle="1" w:styleId="RollCallVotes">
    <w:name w:val="RollCallVotes"/>
    <w:basedOn w:val="Normal"/>
    <w:rsid w:val="002659A2"/>
    <w:pPr>
      <w:spacing w:before="120" w:after="120"/>
      <w:jc w:val="center"/>
    </w:pPr>
    <w:rPr>
      <w:b/>
      <w:bCs/>
      <w:sz w:val="16"/>
    </w:rPr>
  </w:style>
  <w:style w:type="paragraph" w:customStyle="1" w:styleId="RollCallHeading">
    <w:name w:val="RollCallHeading"/>
    <w:basedOn w:val="Normal"/>
    <w:qFormat/>
    <w:rsid w:val="003A0A68"/>
    <w:pPr>
      <w:spacing w:before="480" w:after="480"/>
      <w:jc w:val="center"/>
    </w:pPr>
    <w:rPr>
      <w:b/>
      <w:sz w:val="28"/>
    </w:rPr>
  </w:style>
  <w:style w:type="character" w:customStyle="1" w:styleId="HideTWBInt">
    <w:name w:val="HideTWBInt"/>
    <w:rPr>
      <w:rFonts w:ascii="Arial" w:hAnsi="Arial" w:cs="Arial"/>
      <w:vanish/>
      <w:color w:val="808080"/>
      <w:sz w:val="20"/>
    </w:rPr>
  </w:style>
  <w:style w:type="paragraph" w:customStyle="1" w:styleId="PVxIndent12b">
    <w:name w:val="PVxIndent12b"/>
    <w:basedOn w:val="Normal"/>
    <w:next w:val="Normal"/>
    <w:rsid w:val="006B2AF7"/>
    <w:pPr>
      <w:spacing w:before="240"/>
      <w:ind w:left="567"/>
    </w:pPr>
  </w:style>
  <w:style w:type="paragraph" w:customStyle="1" w:styleId="NormalBold">
    <w:name w:val="NormalBold"/>
    <w:basedOn w:val="Normal"/>
    <w:rPr>
      <w:b/>
    </w:rPr>
  </w:style>
  <w:style w:type="paragraph" w:customStyle="1" w:styleId="LineTop">
    <w:name w:val="LineTop"/>
    <w:basedOn w:val="Normal"/>
    <w:next w:val="Normal"/>
    <w:rsid w:val="00F64B87"/>
    <w:pPr>
      <w:pBdr>
        <w:top w:val="single" w:sz="4" w:space="1" w:color="auto"/>
      </w:pBdr>
      <w:jc w:val="center"/>
    </w:pPr>
    <w:rPr>
      <w:rFonts w:ascii="Arial" w:hAnsi="Arial" w:cs="Arial"/>
      <w:snapToGrid/>
      <w:sz w:val="16"/>
      <w:szCs w:val="16"/>
      <w:lang w:eastAsia="en-GB"/>
    </w:rPr>
  </w:style>
  <w:style w:type="paragraph" w:customStyle="1" w:styleId="LineBottom">
    <w:name w:val="LineBottom"/>
    <w:basedOn w:val="Normal"/>
    <w:next w:val="Normal"/>
    <w:rsid w:val="001173AC"/>
    <w:pPr>
      <w:pBdr>
        <w:bottom w:val="single" w:sz="4" w:space="1" w:color="auto"/>
      </w:pBdr>
      <w:spacing w:after="240"/>
      <w:jc w:val="center"/>
    </w:pPr>
    <w:rPr>
      <w:rFonts w:ascii="Arial" w:hAnsi="Arial" w:cs="Arial"/>
      <w:snapToGrid/>
      <w:sz w:val="16"/>
      <w:szCs w:val="16"/>
      <w:lang w:eastAsia="en-GB"/>
    </w:rPr>
  </w:style>
  <w:style w:type="paragraph" w:customStyle="1" w:styleId="RollCallTitle">
    <w:name w:val="RollCallTitle"/>
    <w:basedOn w:val="Normal"/>
    <w:qFormat/>
    <w:rsid w:val="00AD4CEB"/>
    <w:pPr>
      <w:spacing w:after="240"/>
    </w:pPr>
  </w:style>
  <w:style w:type="paragraph" w:customStyle="1" w:styleId="RollCallContents">
    <w:name w:val="RollCallContents"/>
    <w:basedOn w:val="Normal"/>
    <w:qFormat/>
    <w:rsid w:val="00DC63A9"/>
    <w:pPr>
      <w:spacing w:before="480" w:after="480"/>
      <w:jc w:val="center"/>
    </w:pPr>
    <w:rPr>
      <w:b/>
    </w:rPr>
  </w:style>
  <w:style w:type="paragraph" w:customStyle="1" w:styleId="RollCallSubtitle">
    <w:name w:val="RollCallSubtitle"/>
    <w:basedOn w:val="RollCallTitle"/>
    <w:qFormat/>
    <w:rsid w:val="008A7874"/>
  </w:style>
  <w:style w:type="paragraph" w:customStyle="1" w:styleId="RollCallTabs">
    <w:name w:val="RollCallTabs"/>
    <w:basedOn w:val="Normal"/>
    <w:qFormat/>
    <w:rsid w:val="000A769E"/>
    <w:pPr>
      <w:tabs>
        <w:tab w:val="center" w:pos="284"/>
        <w:tab w:val="left" w:pos="426"/>
      </w:tabs>
    </w:pPr>
  </w:style>
  <w:style w:type="paragraph" w:customStyle="1" w:styleId="EPName">
    <w:name w:val="EPName"/>
    <w:basedOn w:val="Normal"/>
    <w:rsid w:val="00DF0DC8"/>
    <w:pPr>
      <w:spacing w:before="80" w:after="80"/>
    </w:pPr>
    <w:rPr>
      <w:rFonts w:ascii="Arial Narrow" w:hAnsi="Arial Narrow" w:cs="Arial"/>
      <w:b/>
      <w:snapToGrid/>
      <w:sz w:val="32"/>
      <w:szCs w:val="22"/>
      <w:lang w:eastAsia="en-GB"/>
    </w:rPr>
  </w:style>
  <w:style w:type="paragraph" w:customStyle="1" w:styleId="EPTerm">
    <w:name w:val="EPTerm"/>
    <w:basedOn w:val="Normal"/>
    <w:next w:val="Normal"/>
    <w:rsid w:val="00DF0DC8"/>
    <w:pPr>
      <w:spacing w:after="80"/>
    </w:pPr>
    <w:rPr>
      <w:rFonts w:ascii="Arial" w:hAnsi="Arial" w:cs="Arial"/>
      <w:snapToGrid/>
      <w:sz w:val="20"/>
      <w:szCs w:val="22"/>
      <w:lang w:eastAsia="en-GB"/>
    </w:rPr>
  </w:style>
  <w:style w:type="paragraph" w:customStyle="1" w:styleId="EPLogo">
    <w:name w:val="EPLogo"/>
    <w:basedOn w:val="Normal"/>
    <w:qFormat/>
    <w:rsid w:val="00DF0DC8"/>
    <w:pPr>
      <w:jc w:val="right"/>
    </w:pPr>
    <w:rPr>
      <w:snapToGrid/>
      <w:lang w:eastAsia="en-GB"/>
    </w:rPr>
  </w:style>
  <w:style w:type="paragraph" w:customStyle="1" w:styleId="AttendancePVTable">
    <w:name w:val="AttendancePVTable"/>
    <w:basedOn w:val="Normal"/>
    <w:rsid w:val="00AD4CEB"/>
    <w:pPr>
      <w:spacing w:before="120" w:after="120"/>
    </w:pPr>
    <w:rPr>
      <w:sz w:val="16"/>
    </w:rPr>
  </w:style>
  <w:style w:type="paragraph" w:customStyle="1" w:styleId="AttendancePVFootnote">
    <w:name w:val="AttendancePVFootnote"/>
    <w:basedOn w:val="Normal"/>
    <w:rsid w:val="00AD4CEB"/>
    <w:pPr>
      <w:tabs>
        <w:tab w:val="left" w:pos="170"/>
        <w:tab w:val="left" w:pos="510"/>
      </w:tabs>
      <w:ind w:left="680" w:hanging="680"/>
    </w:pPr>
    <w:rPr>
      <w:sz w:val="16"/>
    </w:rPr>
  </w:style>
  <w:style w:type="paragraph" w:customStyle="1" w:styleId="AttendancePVTitle">
    <w:name w:val="AttendancePVTitle"/>
    <w:basedOn w:val="Normal"/>
    <w:rsid w:val="00A66B35"/>
    <w:pPr>
      <w:spacing w:after="480"/>
      <w:jc w:val="center"/>
    </w:pPr>
    <w:rPr>
      <w:b/>
      <w:sz w:val="16"/>
    </w:rPr>
  </w:style>
  <w:style w:type="paragraph" w:customStyle="1" w:styleId="Normal12a">
    <w:name w:val="Normal12a"/>
    <w:basedOn w:val="Normal"/>
    <w:rsid w:val="00AD4CEB"/>
    <w:pPr>
      <w:spacing w:after="240"/>
    </w:pPr>
    <w:rPr>
      <w:snapToGrid/>
      <w:lang w:eastAsia="en-GB"/>
    </w:rPr>
  </w:style>
  <w:style w:type="paragraph" w:customStyle="1" w:styleId="NormalBoldCenter">
    <w:name w:val="NormalBoldCenter"/>
    <w:basedOn w:val="Normal"/>
    <w:rsid w:val="00AD4CEB"/>
    <w:pPr>
      <w:jc w:val="center"/>
    </w:pPr>
    <w:rPr>
      <w:b/>
      <w:lang w:eastAsia="en-GB"/>
    </w:rPr>
  </w:style>
  <w:style w:type="paragraph" w:customStyle="1" w:styleId="HeadingReferenceOJPV">
    <w:name w:val="HeadingReferenceOJPV"/>
    <w:basedOn w:val="Normal"/>
    <w:rsid w:val="001173AC"/>
    <w:pPr>
      <w:spacing w:before="840" w:after="720"/>
      <w:jc w:val="right"/>
    </w:pPr>
    <w:rPr>
      <w:rFonts w:ascii="Arial" w:hAnsi="Arial"/>
      <w:b/>
      <w:lang w:eastAsia="en-GB"/>
    </w:rPr>
  </w:style>
  <w:style w:type="paragraph" w:customStyle="1" w:styleId="EPFooter">
    <w:name w:val="EPFooter"/>
    <w:basedOn w:val="Normal"/>
    <w:rsid w:val="005A4857"/>
    <w:pPr>
      <w:tabs>
        <w:tab w:val="center" w:pos="4535"/>
        <w:tab w:val="right" w:pos="9071"/>
      </w:tabs>
      <w:spacing w:before="240" w:after="240"/>
    </w:pPr>
    <w:rPr>
      <w:color w:val="010000"/>
      <w:sz w:val="22"/>
    </w:rPr>
  </w:style>
  <w:style w:type="paragraph" w:styleId="TOCHeading">
    <w:name w:val="TOC Heading"/>
    <w:basedOn w:val="Normal"/>
    <w:next w:val="Normal"/>
    <w:uiPriority w:val="39"/>
    <w:semiHidden/>
    <w:unhideWhenUsed/>
    <w:qFormat/>
    <w:rsid w:val="000637F3"/>
    <w:pPr>
      <w:keepLines/>
      <w:spacing w:before="240" w:after="240"/>
    </w:pPr>
    <w:rPr>
      <w:rFonts w:asciiTheme="majorHAnsi" w:eastAsiaTheme="majorEastAsia" w:hAnsiTheme="majorHAnsi" w:cstheme="majorBidi"/>
      <w:b/>
      <w:color w:val="2E74B5" w:themeColor="accent1" w:themeShade="BF"/>
      <w:sz w:val="32"/>
      <w:szCs w:val="32"/>
    </w:rPr>
  </w:style>
  <w:style w:type="paragraph" w:styleId="Header">
    <w:name w:val="header"/>
    <w:basedOn w:val="Normal"/>
    <w:link w:val="HeaderChar"/>
    <w:rsid w:val="001E4EBD"/>
    <w:pPr>
      <w:tabs>
        <w:tab w:val="center" w:pos="4513"/>
        <w:tab w:val="right" w:pos="9026"/>
      </w:tabs>
    </w:pPr>
  </w:style>
  <w:style w:type="character" w:customStyle="1" w:styleId="HeaderChar">
    <w:name w:val="Header Char"/>
    <w:basedOn w:val="DefaultParagraphFont"/>
    <w:link w:val="Header"/>
    <w:rsid w:val="001E4EBD"/>
    <w:rPr>
      <w:snapToGrid w:val="0"/>
      <w:sz w:val="24"/>
      <w:lang w:eastAsia="en-US"/>
    </w:rPr>
  </w:style>
  <w:style w:type="paragraph" w:customStyle="1" w:styleId="MeetingIntro">
    <w:name w:val="MeetingIntro"/>
    <w:basedOn w:val="Normal"/>
    <w:rsid w:val="001173AC"/>
    <w:pPr>
      <w:spacing w:before="600" w:after="600"/>
    </w:pPr>
    <w:rPr>
      <w:lang w:eastAsia="en-GB"/>
    </w:rPr>
  </w:style>
  <w:style w:type="paragraph" w:customStyle="1" w:styleId="MeetingClosing">
    <w:name w:val="MeetingClosing"/>
    <w:basedOn w:val="Normal"/>
    <w:rsid w:val="001173AC"/>
    <w:pPr>
      <w:spacing w:before="600" w:after="240"/>
    </w:pPr>
  </w:style>
  <w:style w:type="paragraph" w:customStyle="1" w:styleId="HeadingDocType24a">
    <w:name w:val="HeadingDocType24a"/>
    <w:basedOn w:val="Normal"/>
    <w:rsid w:val="001173AC"/>
    <w:pPr>
      <w:spacing w:after="480"/>
      <w:jc w:val="center"/>
    </w:pPr>
    <w:rPr>
      <w:rFonts w:ascii="Arial" w:hAnsi="Arial"/>
      <w:b/>
      <w:snapToGrid/>
      <w:sz w:val="48"/>
      <w:lang w:eastAsia="en-GB"/>
    </w:rPr>
  </w:style>
  <w:style w:type="paragraph" w:customStyle="1" w:styleId="HeadingCenter12a">
    <w:name w:val="HeadingCenter12a"/>
    <w:basedOn w:val="Normal"/>
    <w:rsid w:val="001173AC"/>
    <w:pPr>
      <w:spacing w:after="240"/>
      <w:jc w:val="center"/>
    </w:pPr>
    <w:rPr>
      <w:b/>
      <w:snapToGrid/>
      <w:lang w:eastAsia="en-GB"/>
    </w:rPr>
  </w:style>
  <w:style w:type="paragraph" w:customStyle="1" w:styleId="AnnexRightBold">
    <w:name w:val="AnnexRightBold"/>
    <w:basedOn w:val="Normal"/>
    <w:rsid w:val="0067649D"/>
    <w:pPr>
      <w:spacing w:after="480"/>
      <w:jc w:val="right"/>
    </w:pPr>
    <w:rPr>
      <w:b/>
      <w:snapToGrid/>
      <w:lang w:eastAsia="en-GB"/>
    </w:rPr>
  </w:style>
  <w:style w:type="numbering" w:customStyle="1" w:styleId="NoList1">
    <w:name w:val="No List1"/>
    <w:next w:val="NoList"/>
    <w:uiPriority w:val="99"/>
    <w:semiHidden/>
    <w:unhideWhenUsed/>
    <w:rsid w:val="00777D87"/>
  </w:style>
  <w:style w:type="paragraph" w:styleId="ListParagraph">
    <w:name w:val="List Paragraph"/>
    <w:basedOn w:val="Normal"/>
    <w:uiPriority w:val="34"/>
    <w:qFormat/>
    <w:rsid w:val="00777D87"/>
    <w:pPr>
      <w:widowControl/>
      <w:spacing w:after="160" w:line="259" w:lineRule="auto"/>
      <w:ind w:left="720"/>
      <w:contextualSpacing/>
    </w:pPr>
    <w:rPr>
      <w:rFonts w:ascii="Calibri" w:eastAsia="Calibri" w:hAnsi="Calibri"/>
      <w:snapToGrid/>
      <w:sz w:val="22"/>
      <w:szCs w:val="22"/>
    </w:rPr>
  </w:style>
  <w:style w:type="paragraph" w:styleId="BodyText">
    <w:name w:val="Body Text"/>
    <w:basedOn w:val="Normal"/>
    <w:link w:val="BodyTextChar"/>
    <w:uiPriority w:val="99"/>
    <w:unhideWhenUsed/>
    <w:rsid w:val="00777D87"/>
    <w:pPr>
      <w:widowControl/>
      <w:spacing w:after="120" w:line="276" w:lineRule="auto"/>
    </w:pPr>
    <w:rPr>
      <w:rFonts w:ascii="Calibri" w:eastAsia="Calibri" w:hAnsi="Calibri"/>
      <w:snapToGrid/>
      <w:sz w:val="22"/>
      <w:szCs w:val="22"/>
    </w:rPr>
  </w:style>
  <w:style w:type="character" w:customStyle="1" w:styleId="BodyTextChar">
    <w:name w:val="Body Text Char"/>
    <w:basedOn w:val="DefaultParagraphFont"/>
    <w:link w:val="BodyText"/>
    <w:uiPriority w:val="99"/>
    <w:rsid w:val="00777D87"/>
    <w:rPr>
      <w:rFonts w:ascii="Calibri" w:eastAsia="Calibri" w:hAnsi="Calibri"/>
      <w:sz w:val="22"/>
      <w:szCs w:val="22"/>
      <w:lang w:eastAsia="en-US"/>
    </w:rPr>
  </w:style>
  <w:style w:type="paragraph" w:styleId="Footer">
    <w:name w:val="footer"/>
    <w:basedOn w:val="Normal"/>
    <w:link w:val="FooterChar"/>
    <w:uiPriority w:val="99"/>
    <w:unhideWhenUsed/>
    <w:rsid w:val="00777D87"/>
    <w:pPr>
      <w:widowControl/>
      <w:tabs>
        <w:tab w:val="center" w:pos="4513"/>
        <w:tab w:val="right" w:pos="9026"/>
      </w:tabs>
    </w:pPr>
    <w:rPr>
      <w:rFonts w:ascii="Calibri" w:eastAsia="Calibri" w:hAnsi="Calibri"/>
      <w:snapToGrid/>
      <w:sz w:val="22"/>
      <w:szCs w:val="22"/>
    </w:rPr>
  </w:style>
  <w:style w:type="character" w:customStyle="1" w:styleId="FooterChar">
    <w:name w:val="Footer Char"/>
    <w:basedOn w:val="DefaultParagraphFont"/>
    <w:link w:val="Footer"/>
    <w:uiPriority w:val="99"/>
    <w:rsid w:val="00777D87"/>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777D87"/>
    <w:pPr>
      <w:widowControl/>
    </w:pPr>
    <w:rPr>
      <w:rFonts w:ascii="Segoe UI" w:eastAsia="Calibri" w:hAnsi="Segoe UI" w:cs="Segoe UI"/>
      <w:snapToGrid/>
      <w:sz w:val="18"/>
      <w:szCs w:val="18"/>
    </w:rPr>
  </w:style>
  <w:style w:type="character" w:customStyle="1" w:styleId="BalloonTextChar">
    <w:name w:val="Balloon Text Char"/>
    <w:basedOn w:val="DefaultParagraphFont"/>
    <w:link w:val="BalloonText"/>
    <w:uiPriority w:val="99"/>
    <w:semiHidden/>
    <w:rsid w:val="00777D87"/>
    <w:rPr>
      <w:rFonts w:ascii="Segoe UI" w:eastAsia="Calibri" w:hAnsi="Segoe UI" w:cs="Segoe UI"/>
      <w:sz w:val="18"/>
      <w:szCs w:val="18"/>
      <w:lang w:eastAsia="en-US"/>
    </w:rPr>
  </w:style>
  <w:style w:type="paragraph" w:customStyle="1" w:styleId="Pullquote">
    <w:name w:val="Pullquote"/>
    <w:basedOn w:val="Normal"/>
    <w:rsid w:val="00777D87"/>
    <w:pPr>
      <w:widowControl/>
      <w:pBdr>
        <w:top w:val="single" w:sz="6" w:space="1" w:color="336699"/>
        <w:bottom w:val="single" w:sz="6" w:space="1" w:color="336699"/>
      </w:pBdr>
      <w:spacing w:before="60" w:after="60" w:line="280" w:lineRule="exact"/>
      <w:ind w:left="58" w:right="58"/>
      <w:jc w:val="center"/>
    </w:pPr>
    <w:rPr>
      <w:rFonts w:ascii="Century Gothic" w:hAnsi="Century Gothic"/>
      <w:i/>
      <w:snapToGrid/>
      <w:color w:val="3682A2"/>
      <w:sz w:val="20"/>
    </w:rPr>
  </w:style>
  <w:style w:type="character" w:customStyle="1" w:styleId="FollowedHyperlink1">
    <w:name w:val="FollowedHyperlink1"/>
    <w:basedOn w:val="DefaultParagraphFont"/>
    <w:uiPriority w:val="99"/>
    <w:semiHidden/>
    <w:unhideWhenUsed/>
    <w:rsid w:val="00777D87"/>
    <w:rPr>
      <w:color w:val="954F72"/>
      <w:u w:val="single"/>
    </w:rPr>
  </w:style>
  <w:style w:type="numbering" w:customStyle="1" w:styleId="Style1">
    <w:name w:val="Style1"/>
    <w:uiPriority w:val="99"/>
    <w:rsid w:val="00777D87"/>
    <w:pPr>
      <w:numPr>
        <w:numId w:val="20"/>
      </w:numPr>
    </w:pPr>
  </w:style>
  <w:style w:type="character" w:customStyle="1" w:styleId="header-line-3">
    <w:name w:val="header-line-3"/>
    <w:basedOn w:val="DefaultParagraphFont"/>
    <w:rsid w:val="00777D87"/>
  </w:style>
  <w:style w:type="character" w:styleId="CommentReference">
    <w:name w:val="annotation reference"/>
    <w:basedOn w:val="DefaultParagraphFont"/>
    <w:uiPriority w:val="99"/>
    <w:unhideWhenUsed/>
    <w:rsid w:val="00777D87"/>
    <w:rPr>
      <w:sz w:val="16"/>
      <w:szCs w:val="16"/>
    </w:rPr>
  </w:style>
  <w:style w:type="paragraph" w:styleId="CommentText">
    <w:name w:val="annotation text"/>
    <w:basedOn w:val="Normal"/>
    <w:link w:val="CommentTextChar"/>
    <w:uiPriority w:val="99"/>
    <w:unhideWhenUsed/>
    <w:rsid w:val="00777D87"/>
    <w:pPr>
      <w:widowControl/>
      <w:spacing w:after="160"/>
    </w:pPr>
    <w:rPr>
      <w:rFonts w:ascii="Calibri" w:eastAsia="Calibri" w:hAnsi="Calibri"/>
      <w:snapToGrid/>
      <w:sz w:val="20"/>
    </w:rPr>
  </w:style>
  <w:style w:type="character" w:customStyle="1" w:styleId="CommentTextChar">
    <w:name w:val="Comment Text Char"/>
    <w:basedOn w:val="DefaultParagraphFont"/>
    <w:link w:val="CommentText"/>
    <w:uiPriority w:val="99"/>
    <w:rsid w:val="00777D87"/>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777D87"/>
    <w:rPr>
      <w:b/>
      <w:bCs/>
    </w:rPr>
  </w:style>
  <w:style w:type="character" w:customStyle="1" w:styleId="CommentSubjectChar">
    <w:name w:val="Comment Subject Char"/>
    <w:basedOn w:val="CommentTextChar"/>
    <w:link w:val="CommentSubject"/>
    <w:uiPriority w:val="99"/>
    <w:semiHidden/>
    <w:rsid w:val="00777D87"/>
    <w:rPr>
      <w:rFonts w:ascii="Calibri" w:eastAsia="Calibri" w:hAnsi="Calibri"/>
      <w:b/>
      <w:bCs/>
      <w:lang w:eastAsia="en-US"/>
    </w:rPr>
  </w:style>
  <w:style w:type="paragraph" w:customStyle="1" w:styleId="Normal12Hanging">
    <w:name w:val="Normal12Hanging"/>
    <w:basedOn w:val="Normal"/>
    <w:rsid w:val="00777D87"/>
    <w:pPr>
      <w:spacing w:after="240"/>
      <w:ind w:left="567" w:hanging="567"/>
    </w:pPr>
    <w:rPr>
      <w:snapToGrid/>
      <w:szCs w:val="24"/>
      <w:lang w:eastAsia="en-GB"/>
    </w:rPr>
  </w:style>
  <w:style w:type="character" w:customStyle="1" w:styleId="FootnoteTextChar">
    <w:name w:val="Footnote Text Char"/>
    <w:basedOn w:val="DefaultParagraphFont"/>
    <w:link w:val="FootnoteText"/>
    <w:uiPriority w:val="99"/>
    <w:semiHidden/>
    <w:rsid w:val="00777D87"/>
    <w:rPr>
      <w:snapToGrid w:val="0"/>
      <w:lang w:eastAsia="en-US"/>
    </w:rPr>
  </w:style>
  <w:style w:type="character" w:styleId="FootnoteReference">
    <w:name w:val="footnote reference"/>
    <w:rsid w:val="00777D87"/>
    <w:rPr>
      <w:vertAlign w:val="superscript"/>
    </w:rPr>
  </w:style>
  <w:style w:type="numbering" w:customStyle="1" w:styleId="Style11">
    <w:name w:val="Style11"/>
    <w:uiPriority w:val="99"/>
    <w:rsid w:val="00777D87"/>
    <w:pPr>
      <w:numPr>
        <w:numId w:val="21"/>
      </w:numPr>
    </w:pPr>
  </w:style>
  <w:style w:type="paragraph" w:styleId="NormalWeb">
    <w:name w:val="Normal (Web)"/>
    <w:basedOn w:val="Normal"/>
    <w:uiPriority w:val="99"/>
    <w:unhideWhenUsed/>
    <w:rsid w:val="00777D87"/>
    <w:pPr>
      <w:widowControl/>
      <w:spacing w:before="100" w:beforeAutospacing="1" w:after="100" w:afterAutospacing="1"/>
    </w:pPr>
    <w:rPr>
      <w:snapToGrid/>
      <w:szCs w:val="24"/>
      <w:lang w:eastAsia="en-GB"/>
    </w:rPr>
  </w:style>
  <w:style w:type="character" w:styleId="Emphasis">
    <w:name w:val="Emphasis"/>
    <w:basedOn w:val="DefaultParagraphFont"/>
    <w:uiPriority w:val="20"/>
    <w:qFormat/>
    <w:rsid w:val="00777D87"/>
    <w:rPr>
      <w:rFonts w:ascii="inherit" w:hAnsi="inherit" w:hint="default"/>
      <w:i/>
      <w:iCs/>
      <w:bdr w:val="none" w:sz="0" w:space="0" w:color="auto" w:frame="1"/>
      <w:vertAlign w:val="baseline"/>
    </w:rPr>
  </w:style>
  <w:style w:type="paragraph" w:customStyle="1" w:styleId="NoSpacing1">
    <w:name w:val="No Spacing1"/>
    <w:next w:val="NoSpacing"/>
    <w:link w:val="NoSpacingChar"/>
    <w:uiPriority w:val="1"/>
    <w:qFormat/>
    <w:rsid w:val="00777D87"/>
    <w:rPr>
      <w:rFonts w:ascii="Calibri" w:hAnsi="Calibri"/>
      <w:sz w:val="22"/>
      <w:szCs w:val="22"/>
      <w:lang w:eastAsia="en-US"/>
    </w:rPr>
  </w:style>
  <w:style w:type="character" w:customStyle="1" w:styleId="NoSpacingChar">
    <w:name w:val="No Spacing Char"/>
    <w:basedOn w:val="DefaultParagraphFont"/>
    <w:link w:val="NoSpacing1"/>
    <w:uiPriority w:val="1"/>
    <w:rsid w:val="00777D87"/>
    <w:rPr>
      <w:rFonts w:eastAsia="Times New Roman"/>
      <w:lang w:val="fr-FR"/>
    </w:rPr>
  </w:style>
  <w:style w:type="table" w:customStyle="1" w:styleId="TableGrid0">
    <w:name w:val="TableGrid"/>
    <w:rsid w:val="00777D87"/>
    <w:rPr>
      <w:rFonts w:ascii="Calibri" w:hAnsi="Calibri"/>
      <w:sz w:val="22"/>
      <w:szCs w:val="22"/>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77D87"/>
    <w:rPr>
      <w:b/>
      <w:snapToGrid w:val="0"/>
      <w:sz w:val="24"/>
      <w:lang w:eastAsia="en-US"/>
    </w:rPr>
  </w:style>
  <w:style w:type="character" w:customStyle="1" w:styleId="Heading2Char">
    <w:name w:val="Heading 2 Char"/>
    <w:basedOn w:val="DefaultParagraphFont"/>
    <w:link w:val="Heading2"/>
    <w:uiPriority w:val="9"/>
    <w:rsid w:val="00777D87"/>
    <w:rPr>
      <w:rFonts w:ascii="Arial" w:hAnsi="Arial"/>
      <w:b/>
      <w:i/>
      <w:snapToGrid w:val="0"/>
      <w:sz w:val="24"/>
      <w:lang w:eastAsia="en-US"/>
    </w:rPr>
  </w:style>
  <w:style w:type="character" w:customStyle="1" w:styleId="mmh">
    <w:name w:val="mmh"/>
    <w:basedOn w:val="DefaultParagraphFont"/>
    <w:rsid w:val="00777D87"/>
  </w:style>
  <w:style w:type="character" w:styleId="FollowedHyperlink">
    <w:name w:val="FollowedHyperlink"/>
    <w:basedOn w:val="DefaultParagraphFont"/>
    <w:rsid w:val="00777D87"/>
    <w:rPr>
      <w:color w:val="954F72" w:themeColor="followedHyperlink"/>
      <w:u w:val="single"/>
    </w:rPr>
  </w:style>
  <w:style w:type="paragraph" w:styleId="NoSpacing">
    <w:name w:val="No Spacing"/>
    <w:uiPriority w:val="1"/>
    <w:qFormat/>
    <w:rsid w:val="00777D87"/>
    <w:pPr>
      <w:widowControl w:val="0"/>
    </w:pPr>
    <w:rPr>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35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117" Type="http://schemas.openxmlformats.org/officeDocument/2006/relationships/hyperlink" Target="https://www.europarl.europa.eu/RegData/etudes/BRIE/2020/648186/IPOL_BRI(2020)648186_SV.pdf" TargetMode="External"/><Relationship Id="rId21" Type="http://schemas.openxmlformats.org/officeDocument/2006/relationships/image" Target="media/image4.emf"/><Relationship Id="rId42" Type="http://schemas.openxmlformats.org/officeDocument/2006/relationships/image" Target="media/image12.jpg"/><Relationship Id="rId47" Type="http://schemas.openxmlformats.org/officeDocument/2006/relationships/hyperlink" Target="https://www.europarl.europa.eu/meps/en/197451/VIOLA_VON+CRAMON-TAUBADEL/home" TargetMode="External"/><Relationship Id="rId63" Type="http://schemas.openxmlformats.org/officeDocument/2006/relationships/hyperlink" Target="https://www.europarl.europa.eu/RegData/etudes/IDAN/2019/636480/IPOL_IDA(2019)636480_EN.pdf" TargetMode="External"/><Relationship Id="rId68" Type="http://schemas.openxmlformats.org/officeDocument/2006/relationships/hyperlink" Target="http://www.europarl.europa.eu/RegData/etudes/STUD/2019/636469/IPOL_STU(2019)636469_EN.pdf" TargetMode="External"/><Relationship Id="rId84" Type="http://schemas.openxmlformats.org/officeDocument/2006/relationships/hyperlink" Target="https://www.europarl.europa.eu/RegData/etudes/BRIE/2020/648183/IPOL_BRI(2020)648183_DE.pdf" TargetMode="External"/><Relationship Id="rId89" Type="http://schemas.openxmlformats.org/officeDocument/2006/relationships/hyperlink" Target="https://www.europarl.europa.eu/RegData/etudes/BRIE/2020/648183/IPOL_BRI(2020)648183_PL.pdf" TargetMode="External"/><Relationship Id="rId112" Type="http://schemas.openxmlformats.org/officeDocument/2006/relationships/hyperlink" Target="https://www.europarl.europa.eu/RegData/etudes/BRIE/2020/648186/IPOL_BRI(2020)648186_ES.pdf" TargetMode="External"/><Relationship Id="rId133" Type="http://schemas.openxmlformats.org/officeDocument/2006/relationships/hyperlink" Target="https://www.europarl.europa.eu/RegData/etudes/ATAG/2020/648761/IPOL_ATA(2020)648761_IT.pdf" TargetMode="External"/><Relationship Id="rId138" Type="http://schemas.openxmlformats.org/officeDocument/2006/relationships/hyperlink" Target="https://www.europarl.europa.eu/RegData/etudes/ATAG/2020/648762/IPOL_ATA(2020)648762_EN.pdf" TargetMode="External"/><Relationship Id="rId154" Type="http://schemas.openxmlformats.org/officeDocument/2006/relationships/hyperlink" Target="https://www.europarl.europa.eu/RegData/etudes/ATAG/2020/648763/IPOL_ATA(2020)648763_PL.pdf" TargetMode="External"/><Relationship Id="rId159" Type="http://schemas.openxmlformats.org/officeDocument/2006/relationships/hyperlink" Target="http://www.poldepnet.ep.parl.union.eu/poldept/cms/cache/offonce/poldepnet/poldep_d/poldepd_presentation" TargetMode="External"/><Relationship Id="rId16" Type="http://schemas.openxmlformats.org/officeDocument/2006/relationships/hyperlink" Target="http://www.europarl.europa.eu/ep-live/en/committees/schedule?committee=CONT" TargetMode="External"/><Relationship Id="rId107" Type="http://schemas.openxmlformats.org/officeDocument/2006/relationships/hyperlink" Target="https://www.europarl.europa.eu/RegData/etudes/BRIE/2020/648145/IPOL_BRI(2020)648145_PL.pdf" TargetMode="External"/><Relationship Id="rId11" Type="http://schemas.openxmlformats.org/officeDocument/2006/relationships/footer" Target="footer1.xml"/><Relationship Id="rId32" Type="http://schemas.openxmlformats.org/officeDocument/2006/relationships/hyperlink" Target="https://emeeting.europarl.europa.eu/emeeting/committee/en/agenda/202010/CONT?meeting=CONT-2020-1015_1&amp;session=10-15-13-45" TargetMode="External"/><Relationship Id="rId37" Type="http://schemas.openxmlformats.org/officeDocument/2006/relationships/image" Target="media/image10.jpg"/><Relationship Id="rId53" Type="http://schemas.openxmlformats.org/officeDocument/2006/relationships/hyperlink" Target="https://emeeting.europarl.europa.eu/emeeting/committee/en/agenda/202010/CONT?meeting=CONT-2020-1015_1&amp;session=10-15-16-45" TargetMode="External"/><Relationship Id="rId58" Type="http://schemas.openxmlformats.org/officeDocument/2006/relationships/hyperlink" Target="http://www.contnet.ep.parl.union.eu/contnet/cms/home/menu_current_leg" TargetMode="External"/><Relationship Id="rId74" Type="http://schemas.openxmlformats.org/officeDocument/2006/relationships/hyperlink" Target="http://www.europarl.europa.eu/RegData/etudes/BRIE/2020/654526/IPOL_BRI(2020)654526_EN.pdf" TargetMode="External"/><Relationship Id="rId79" Type="http://schemas.openxmlformats.org/officeDocument/2006/relationships/hyperlink" Target="https://www.europarl.europa.eu/RegData/etudes/STUD/2020/651444/IPOL_STU(2020)651444_IT.pdf" TargetMode="External"/><Relationship Id="rId102" Type="http://schemas.openxmlformats.org/officeDocument/2006/relationships/hyperlink" Target="https://www.europarl.europa.eu/RegData/etudes/BRIE/2020/648145/IPOL_BRI(2020)648145_DE.pdf" TargetMode="External"/><Relationship Id="rId123" Type="http://schemas.openxmlformats.org/officeDocument/2006/relationships/hyperlink" Target="https://www.europarl.europa.eu/RegData/etudes/ATAG/2020/648760/IPOL_ATA(2020)648760_IT.pdf" TargetMode="External"/><Relationship Id="rId128" Type="http://schemas.openxmlformats.org/officeDocument/2006/relationships/hyperlink" Target="https://www.europarl.europa.eu/RegData/etudes/ATAG/2020/648761/IPOL_ATA(2020)648761_EN.pdf" TargetMode="External"/><Relationship Id="rId144" Type="http://schemas.openxmlformats.org/officeDocument/2006/relationships/hyperlink" Target="https://www.europarl.europa.eu/RegData/etudes/ATAG/2020/648762/IPOL_ATA(2020)648762_NL.pdf" TargetMode="External"/><Relationship Id="rId149" Type="http://schemas.openxmlformats.org/officeDocument/2006/relationships/hyperlink" Target="https://www.europarl.europa.eu/RegData/etudes/ATAG/2020/648763/IPOL_ATA(2020)648763_DE.pdf" TargetMode="External"/><Relationship Id="rId5" Type="http://schemas.openxmlformats.org/officeDocument/2006/relationships/webSettings" Target="webSettings.xml"/><Relationship Id="rId90" Type="http://schemas.openxmlformats.org/officeDocument/2006/relationships/hyperlink" Target="https://www.europarl.europa.eu/RegData/etudes/BRIE/2020/648183/IPOL_BRI(2020)648183_SV.pdf" TargetMode="External"/><Relationship Id="rId95" Type="http://schemas.openxmlformats.org/officeDocument/2006/relationships/hyperlink" Target="https://www.europarl.europa.eu/RegData/etudes/BRIE/2020/648148/IPOL_BRI(2020)648148_FR.pdf" TargetMode="External"/><Relationship Id="rId160" Type="http://schemas.openxmlformats.org/officeDocument/2006/relationships/fontTable" Target="fontTable.xml"/><Relationship Id="rId22" Type="http://schemas.openxmlformats.org/officeDocument/2006/relationships/hyperlink" Target="https://www.europarl.europa.eu/meps/en/96780/MONIKA_HOHLMEIER/home" TargetMode="External"/><Relationship Id="rId27" Type="http://schemas.openxmlformats.org/officeDocument/2006/relationships/hyperlink" Target="https://www.europarl.europa.eu/meps/en/33982/MARIAN-JEAN_MARINESCU/home" TargetMode="External"/><Relationship Id="rId43" Type="http://schemas.openxmlformats.org/officeDocument/2006/relationships/hyperlink" Target="https://www.europarl.europa.eu/meps/en/124985/LUKE+MING_FLANAGAN/home" TargetMode="External"/><Relationship Id="rId48" Type="http://schemas.openxmlformats.org/officeDocument/2006/relationships/image" Target="media/image15.jpeg"/><Relationship Id="rId64" Type="http://schemas.openxmlformats.org/officeDocument/2006/relationships/hyperlink" Target="http://www.europarl.europa.eu/RegData/etudes/IDAN/2019/621804/IPOL_IDA(2019)621804_EN.pdf" TargetMode="External"/><Relationship Id="rId69" Type="http://schemas.openxmlformats.org/officeDocument/2006/relationships/hyperlink" Target="file:///C:\Users\lpart\AppData\Local\Temp\IPOL_STU(2020)654474_EN-3.pdf" TargetMode="External"/><Relationship Id="rId113" Type="http://schemas.openxmlformats.org/officeDocument/2006/relationships/hyperlink" Target="https://www.europarl.europa.eu/RegData/etudes/BRIE/2020/648186/IPOL_BRI(2020)648186_FR.pdf" TargetMode="External"/><Relationship Id="rId118" Type="http://schemas.openxmlformats.org/officeDocument/2006/relationships/hyperlink" Target="https://www.europarl.europa.eu/RegData/etudes/ATAG/2020/648760/IPOL_ATA(2020)648760_EN.pdf" TargetMode="External"/><Relationship Id="rId134" Type="http://schemas.openxmlformats.org/officeDocument/2006/relationships/hyperlink" Target="https://www.europarl.europa.eu/RegData/etudes/ATAG/2020/648761/IPOL_ATA(2020)648761_NL.pdf" TargetMode="External"/><Relationship Id="rId139" Type="http://schemas.openxmlformats.org/officeDocument/2006/relationships/hyperlink" Target="https://www.europarl.europa.eu/RegData/etudes/ATAG/2020/648762/IPOL_ATA(2020)648762_DA.pdf" TargetMode="External"/><Relationship Id="rId80" Type="http://schemas.openxmlformats.org/officeDocument/2006/relationships/hyperlink" Target="https://www.europarl.europa.eu/RegData/etudes/STUD/2020/651444/IPOL_STU(2020)651444_PL.pdf" TargetMode="External"/><Relationship Id="rId85" Type="http://schemas.openxmlformats.org/officeDocument/2006/relationships/hyperlink" Target="https://www.europarl.europa.eu/RegData/etudes/BRIE/2020/648183/IPOL_BRI(2020)648183_ES.pdf" TargetMode="External"/><Relationship Id="rId150" Type="http://schemas.openxmlformats.org/officeDocument/2006/relationships/hyperlink" Target="https://www.europarl.europa.eu/RegData/etudes/ATAG/2020/648763/IPOL_ATA(2020)648763_ES.pdf" TargetMode="External"/><Relationship Id="rId155" Type="http://schemas.openxmlformats.org/officeDocument/2006/relationships/hyperlink" Target="https://www.europarl.europa.eu/RegData/etudes/ATAG/2020/648763/IPOL_ATA(2020)648763_SV.pdf" TargetMode="External"/><Relationship Id="rId12" Type="http://schemas.openxmlformats.org/officeDocument/2006/relationships/footer" Target="footer2.xml"/><Relationship Id="rId17" Type="http://schemas.openxmlformats.org/officeDocument/2006/relationships/hyperlink" Target="https://www.europarl.europa.eu/committees/en/cont/home/highlights" TargetMode="External"/><Relationship Id="rId33" Type="http://schemas.openxmlformats.org/officeDocument/2006/relationships/hyperlink" Target="https://www.europarl.europa.eu/meps/en/33982/MARIAN-JEAN_MARINESCU/home" TargetMode="External"/><Relationship Id="rId38" Type="http://schemas.openxmlformats.org/officeDocument/2006/relationships/hyperlink" Target="https://www.europarl.europa.eu/meps/en/26837/LEFTERIS_CHRISTOFOROU/home" TargetMode="External"/><Relationship Id="rId59" Type="http://schemas.openxmlformats.org/officeDocument/2006/relationships/hyperlink" Target="mailto:cont-secretariat@europarl.europa.eu?subject=cont-secretariat@europarl.europa.eu" TargetMode="External"/><Relationship Id="rId103" Type="http://schemas.openxmlformats.org/officeDocument/2006/relationships/hyperlink" Target="https://www.europarl.europa.eu/RegData/etudes/BRIE/2020/648145/IPOL_BRI(2020)648145_ES.pdf" TargetMode="External"/><Relationship Id="rId108" Type="http://schemas.openxmlformats.org/officeDocument/2006/relationships/hyperlink" Target="https://www.europarl.europa.eu/RegData/etudes/BRIE/2020/648145/IPOL_BRI(2020)648145_SV.pdf" TargetMode="External"/><Relationship Id="rId124" Type="http://schemas.openxmlformats.org/officeDocument/2006/relationships/hyperlink" Target="https://www.europarl.europa.eu/RegData/etudes/ATAG/2020/648760/IPOL_ATA(2020)648760_NL.pdf" TargetMode="External"/><Relationship Id="rId129" Type="http://schemas.openxmlformats.org/officeDocument/2006/relationships/hyperlink" Target="https://www.europarl.europa.eu/RegData/etudes/ATAG/2020/648761/IPOL_ATA(2020)648761_DA.pdf" TargetMode="External"/><Relationship Id="rId20" Type="http://schemas.openxmlformats.org/officeDocument/2006/relationships/image" Target="media/image3.emf"/><Relationship Id="rId41" Type="http://schemas.openxmlformats.org/officeDocument/2006/relationships/hyperlink" Target="https://emeeting.europarl.europa.eu/emeeting/committee/en/agenda/202010/CONT?meeting=CONT-2020-1015_1&amp;session=10-15-13-45" TargetMode="External"/><Relationship Id="rId54" Type="http://schemas.openxmlformats.org/officeDocument/2006/relationships/hyperlink" Target="http://www.contnet.ep.parl.union.eu/contnet/cms/home/menu_current_leg" TargetMode="External"/><Relationship Id="rId62" Type="http://schemas.openxmlformats.org/officeDocument/2006/relationships/hyperlink" Target="http://www.europarl.europa.eu/RegData/etudes/ATAG/2020/654527/IPOL_ATA(2020)654527_EN.pdf" TargetMode="External"/><Relationship Id="rId70" Type="http://schemas.openxmlformats.org/officeDocument/2006/relationships/hyperlink" Target="https://www.europarl.europa.eu/RegData/etudes/BRIE/2020/656549/IPOL_BRI(2020)656549_EN.pdf" TargetMode="External"/><Relationship Id="rId75" Type="http://schemas.openxmlformats.org/officeDocument/2006/relationships/hyperlink" Target="https://www.europarl.europa.eu/RegData/etudes/STUD/2020/651444/IPOL_STU(2020)651444_EN.pdf" TargetMode="External"/><Relationship Id="rId83" Type="http://schemas.openxmlformats.org/officeDocument/2006/relationships/hyperlink" Target="https://www.europarl.europa.eu/RegData/etudes/BRIE/2020/648183/IPOL_BRI(2020)648183_DA.pdf" TargetMode="External"/><Relationship Id="rId88" Type="http://schemas.openxmlformats.org/officeDocument/2006/relationships/hyperlink" Target="https://www.europarl.europa.eu/RegData/etudes/BRIE/2020/648183/IPOL_BRI(2020)648183_NL.pdf" TargetMode="External"/><Relationship Id="rId91" Type="http://schemas.openxmlformats.org/officeDocument/2006/relationships/hyperlink" Target="https://www.europarl.europa.eu/RegData/etudes/BRIE/2020/648148/IPOL_BRI(2020)648148_EN.pdf" TargetMode="External"/><Relationship Id="rId96" Type="http://schemas.openxmlformats.org/officeDocument/2006/relationships/hyperlink" Target="https://www.europarl.europa.eu/RegData/etudes/BRIE/2020/648148/IPOL_BRI(2020)648148_IT.pdf" TargetMode="External"/><Relationship Id="rId111" Type="http://schemas.openxmlformats.org/officeDocument/2006/relationships/hyperlink" Target="https://www.europarl.europa.eu/RegData/etudes/BRIE/2020/648186/IPOL_BRI(2020)648186_DE.pdf" TargetMode="External"/><Relationship Id="rId132" Type="http://schemas.openxmlformats.org/officeDocument/2006/relationships/hyperlink" Target="https://www.europarl.europa.eu/RegData/etudes/ATAG/2020/648761/IPOL_ATA(2020)648761_FR.pdf" TargetMode="External"/><Relationship Id="rId140" Type="http://schemas.openxmlformats.org/officeDocument/2006/relationships/hyperlink" Target="https://www.europarl.europa.eu/RegData/etudes/ATAG/2020/648762/IPOL_ATA(2020)648762_DE.pdf" TargetMode="External"/><Relationship Id="rId145" Type="http://schemas.openxmlformats.org/officeDocument/2006/relationships/hyperlink" Target="https://www.europarl.europa.eu/RegData/etudes/ATAG/2020/648762/IPOL_ATA(2020)648762_PL.pdf" TargetMode="External"/><Relationship Id="rId153" Type="http://schemas.openxmlformats.org/officeDocument/2006/relationships/hyperlink" Target="https://www.europarl.europa.eu/RegData/etudes/ATAG/2020/648763/IPOL_ATA(2020)648763_NL.pdf"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meeting.europarl.europa.eu/emeeting/committee/en/agenda/202010/CONT?meeting=CONT-2020-1015_1&amp;session=10-15-13-45" TargetMode="Externa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hyperlink" Target="https://emeeting.europarl.europa.eu/emeeting/committee/en/agenda/202010/CONT?meeting=CONT-2020-1015_1&amp;session=10-15-13-45" TargetMode="External"/><Relationship Id="rId49" Type="http://schemas.openxmlformats.org/officeDocument/2006/relationships/hyperlink" Target="https://www.eca.europa.eu/Lists/ECADocuments/SR20_13/SR_Biodiversity_on_farmland_EN.pdf" TargetMode="External"/><Relationship Id="rId57" Type="http://schemas.openxmlformats.org/officeDocument/2006/relationships/hyperlink" Target="https://emeeting.europarl.europa.eu/emeeting/committee/en/agenda/202010/CONT?meeting=CONT-2020-1015_1&amp;session=10-15-16-45" TargetMode="External"/><Relationship Id="rId106" Type="http://schemas.openxmlformats.org/officeDocument/2006/relationships/hyperlink" Target="https://www.europarl.europa.eu/RegData/etudes/BRIE/2020/648145/IPOL_BRI(2020)648145_NL.pdf" TargetMode="External"/><Relationship Id="rId114" Type="http://schemas.openxmlformats.org/officeDocument/2006/relationships/hyperlink" Target="https://www.europarl.europa.eu/RegData/etudes/BRIE/2020/648186/IPOL_BRI(2020)648186_IT.pdf" TargetMode="External"/><Relationship Id="rId119" Type="http://schemas.openxmlformats.org/officeDocument/2006/relationships/hyperlink" Target="https://www.europarl.europa.eu/RegData/etudes/ATAG/2020/648760/IPOL_ATA(2020)648760_DA.pdf" TargetMode="External"/><Relationship Id="rId127" Type="http://schemas.openxmlformats.org/officeDocument/2006/relationships/hyperlink" Target="https://www.europarl.europa.eu/RegData/etudes/ATAG/2020/648761/IPOL_ATA(2020)648761_EN.pdf" TargetMode="External"/><Relationship Id="rId10" Type="http://schemas.openxmlformats.org/officeDocument/2006/relationships/header" Target="header2.xml"/><Relationship Id="rId31" Type="http://schemas.openxmlformats.org/officeDocument/2006/relationships/hyperlink" Target="https://www.eca.europa.eu/Lists/ECADocuments/SR20_12/SR_European_Investment_Advisory_Hub_EN.pdf" TargetMode="External"/><Relationship Id="rId44" Type="http://schemas.openxmlformats.org/officeDocument/2006/relationships/image" Target="media/image13.jpeg"/><Relationship Id="rId52" Type="http://schemas.openxmlformats.org/officeDocument/2006/relationships/hyperlink" Target="https://www.eca.europa.eu/Lists/ECADocuments/SR20_07/SR_ESI_Funds_EN.pdf" TargetMode="External"/><Relationship Id="rId60" Type="http://schemas.openxmlformats.org/officeDocument/2006/relationships/hyperlink" Target="http://www.europarl.europa.eu/committees/en/cont/home.html" TargetMode="External"/><Relationship Id="rId65" Type="http://schemas.openxmlformats.org/officeDocument/2006/relationships/hyperlink" Target="https://www.europarl.europa.eu/RegData/etudes/STUD/2019/621806/IPOL_STU(2019)621806_EN.pdf" TargetMode="External"/><Relationship Id="rId73" Type="http://schemas.openxmlformats.org/officeDocument/2006/relationships/hyperlink" Target="https://www.europarl.europa.eu/RegData/etudes/STUD/2020/654166/IPOL_STU(2020)654166_EN.pdf" TargetMode="External"/><Relationship Id="rId78" Type="http://schemas.openxmlformats.org/officeDocument/2006/relationships/hyperlink" Target="https://www.europarl.europa.eu/RegData/etudes/STUD/2020/651444/IPOL_STU(2020)651444_FR.pdf" TargetMode="External"/><Relationship Id="rId81" Type="http://schemas.openxmlformats.org/officeDocument/2006/relationships/hyperlink" Target="https://www.europarl.europa.eu/RegData/etudes/BRIE/2020/648183/IPOL_BRI(2020)648183_EN.pdf" TargetMode="External"/><Relationship Id="rId86" Type="http://schemas.openxmlformats.org/officeDocument/2006/relationships/hyperlink" Target="https://www.europarl.europa.eu/RegData/etudes/BRIE/2020/648183/IPOL_BRI(2020)648183_FR.pdf" TargetMode="External"/><Relationship Id="rId94" Type="http://schemas.openxmlformats.org/officeDocument/2006/relationships/hyperlink" Target="https://www.europarl.europa.eu/RegData/etudes/BRIE/2020/648148/IPOL_BRI(2020)648148_ES.pdf" TargetMode="External"/><Relationship Id="rId99" Type="http://schemas.openxmlformats.org/officeDocument/2006/relationships/hyperlink" Target="https://www.europarl.europa.eu/RegData/etudes/BRIE/2020/648148/IPOL_BRI(2020)648148_SV.pdf" TargetMode="External"/><Relationship Id="rId101" Type="http://schemas.openxmlformats.org/officeDocument/2006/relationships/hyperlink" Target="https://www.europarl.europa.eu/RegData/etudes/BRIE/2020/648145/IPOL_BRI(2020)648145_DA.pdf" TargetMode="External"/><Relationship Id="rId122" Type="http://schemas.openxmlformats.org/officeDocument/2006/relationships/hyperlink" Target="https://www.europarl.europa.eu/RegData/etudes/ATAG/2020/648760/IPOL_ATA(2020)648760_FR.pdf" TargetMode="External"/><Relationship Id="rId130" Type="http://schemas.openxmlformats.org/officeDocument/2006/relationships/hyperlink" Target="https://www.europarl.europa.eu/RegData/etudes/ATAG/2020/648761/IPOL_ATA(2020)648761_DE.pdf" TargetMode="External"/><Relationship Id="rId135" Type="http://schemas.openxmlformats.org/officeDocument/2006/relationships/hyperlink" Target="https://www.europarl.europa.eu/RegData/etudes/ATAG/2020/648761/IPOL_ATA(2020)648761_PL.pdf" TargetMode="External"/><Relationship Id="rId143" Type="http://schemas.openxmlformats.org/officeDocument/2006/relationships/hyperlink" Target="https://www.europarl.europa.eu/RegData/etudes/ATAG/2020/648762/IPOL_ATA(2020)648762_IT.pdf" TargetMode="External"/><Relationship Id="rId148" Type="http://schemas.openxmlformats.org/officeDocument/2006/relationships/hyperlink" Target="https://www.europarl.europa.eu/RegData/etudes/ATAG/2020/648763/IPOL_ATA(2020)648763_DA.pdf" TargetMode="External"/><Relationship Id="rId151" Type="http://schemas.openxmlformats.org/officeDocument/2006/relationships/hyperlink" Target="https://www.europarl.europa.eu/RegData/etudes/ATAG/2020/648763/IPOL_ATA(2020)648763_FR.pdf" TargetMode="External"/><Relationship Id="rId156" Type="http://schemas.openxmlformats.org/officeDocument/2006/relationships/hyperlink" Target="https://ted.europa.eu/udl?uri=TED:NOTICE:215928-2020:TEXT:EN: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11.jpeg"/><Relationship Id="rId109" Type="http://schemas.openxmlformats.org/officeDocument/2006/relationships/hyperlink" Target="https://www.europarl.europa.eu/RegData/etudes/BRIE/2020/648186/IPOL_BRI(2020)648186_EN.pdf" TargetMode="External"/><Relationship Id="rId34" Type="http://schemas.openxmlformats.org/officeDocument/2006/relationships/image" Target="media/image9.jpeg"/><Relationship Id="rId50" Type="http://schemas.openxmlformats.org/officeDocument/2006/relationships/hyperlink" Target="https://www.europarl.europa.eu/meps/en/197451/VIOLA_VON+CRAMON-TAUBADEL/home" TargetMode="External"/><Relationship Id="rId55" Type="http://schemas.openxmlformats.org/officeDocument/2006/relationships/hyperlink" Target="mailto:cont-secretariat@europarl.europa.eu?subject=cont-secretariat@europarl.europa.eu" TargetMode="External"/><Relationship Id="rId76" Type="http://schemas.openxmlformats.org/officeDocument/2006/relationships/hyperlink" Target="https://www.europarl.europa.eu/RegData/etudes/STUD/2020/651444/IPOL_STU(2020)651444_DE.pdf" TargetMode="External"/><Relationship Id="rId97" Type="http://schemas.openxmlformats.org/officeDocument/2006/relationships/hyperlink" Target="https://www.europarl.europa.eu/RegData/etudes/BRIE/2020/648148/IPOL_BRI(2020)648148_NL.pdf" TargetMode="External"/><Relationship Id="rId104" Type="http://schemas.openxmlformats.org/officeDocument/2006/relationships/hyperlink" Target="https://www.europarl.europa.eu/RegData/etudes/BRIE/2020/648145/IPOL_BRI(2020)648145_FR.pdf" TargetMode="External"/><Relationship Id="rId120" Type="http://schemas.openxmlformats.org/officeDocument/2006/relationships/hyperlink" Target="https://www.europarl.europa.eu/RegData/etudes/ATAG/2020/648760/IPOL_ATA(2020)648760_DE.pdf" TargetMode="External"/><Relationship Id="rId125" Type="http://schemas.openxmlformats.org/officeDocument/2006/relationships/hyperlink" Target="https://www.europarl.europa.eu/RegData/etudes/ATAG/2020/648760/IPOL_ATA(2020)648760_PL.pdf" TargetMode="External"/><Relationship Id="rId141" Type="http://schemas.openxmlformats.org/officeDocument/2006/relationships/hyperlink" Target="https://www.europarl.europa.eu/RegData/etudes/ATAG/2020/648762/IPOL_ATA(2020)648762_ES.pdf" TargetMode="External"/><Relationship Id="rId146" Type="http://schemas.openxmlformats.org/officeDocument/2006/relationships/hyperlink" Target="https://www.europarl.europa.eu/RegData/etudes/ATAG/2020/648762/IPOL_ATA(2020)648762_SV.pdf" TargetMode="External"/><Relationship Id="rId7" Type="http://schemas.openxmlformats.org/officeDocument/2006/relationships/endnotes" Target="endnotes.xml"/><Relationship Id="rId71" Type="http://schemas.openxmlformats.org/officeDocument/2006/relationships/hyperlink" Target="https://www.europarl.europa.eu/RegData/etudes/BRIE/2020/656549/IPOL_BRI(2020)656549_EN.pdf" TargetMode="External"/><Relationship Id="rId92" Type="http://schemas.openxmlformats.org/officeDocument/2006/relationships/hyperlink" Target="https://www.europarl.europa.eu/RegData/etudes/BRIE/2020/648148/IPOL_BRI(2020)648148_DA.pdf" TargetMode="External"/><Relationship Id="rId2" Type="http://schemas.openxmlformats.org/officeDocument/2006/relationships/numbering" Target="numbering.xml"/><Relationship Id="rId29" Type="http://schemas.openxmlformats.org/officeDocument/2006/relationships/hyperlink" Target="https://www.europarl.europa.eu/meps/en/124785/MARIA_GRAPINI/home" TargetMode="External"/><Relationship Id="rId24" Type="http://schemas.openxmlformats.org/officeDocument/2006/relationships/hyperlink" Target="https://www.europarl.europa.eu/committees/en/cont-opinion-on-the-recovery-and-resilie/product-details/20200901CDT04003" TargetMode="External"/><Relationship Id="rId40" Type="http://schemas.openxmlformats.org/officeDocument/2006/relationships/hyperlink" Target="https://www.eca.europa.eu/Lists/ECADocuments/SR20_11/SR_Energy_efficiency_in_buildings_EN.pdf" TargetMode="External"/><Relationship Id="rId45" Type="http://schemas.openxmlformats.org/officeDocument/2006/relationships/hyperlink" Target="https://www.eca.europa.eu/Lists/ECADocuments/SR20_04/SR_New_technologies_in_agri-monitoring_EN.pdf" TargetMode="External"/><Relationship Id="rId66" Type="http://schemas.openxmlformats.org/officeDocument/2006/relationships/hyperlink" Target="https://www.europarl.europa.eu/RegData/etudes/STUD/2019/621806/IPOL_STU(2019)621806_EN.pdf" TargetMode="External"/><Relationship Id="rId87" Type="http://schemas.openxmlformats.org/officeDocument/2006/relationships/hyperlink" Target="https://www.europarl.europa.eu/RegData/etudes/BRIE/2020/648183/IPOL_BRI(2020)648183_IT.pdf" TargetMode="External"/><Relationship Id="rId110" Type="http://schemas.openxmlformats.org/officeDocument/2006/relationships/hyperlink" Target="https://www.europarl.europa.eu/RegData/etudes/BRIE/2020/648186/IPOL_BRI(2020)648186_DA.pdf" TargetMode="External"/><Relationship Id="rId115" Type="http://schemas.openxmlformats.org/officeDocument/2006/relationships/hyperlink" Target="https://www.europarl.europa.eu/RegData/etudes/BRIE/2020/648186/IPOL_BRI(2020)648186_NL.pdf" TargetMode="External"/><Relationship Id="rId131" Type="http://schemas.openxmlformats.org/officeDocument/2006/relationships/hyperlink" Target="https://www.europarl.europa.eu/RegData/etudes/ATAG/2020/648761/IPOL_ATA(2020)648761_ES.pdf" TargetMode="External"/><Relationship Id="rId136" Type="http://schemas.openxmlformats.org/officeDocument/2006/relationships/hyperlink" Target="https://www.europarl.europa.eu/RegData/etudes/ATAG/2020/648761/IPOL_ATA(2020)648761_SV.pdf" TargetMode="External"/><Relationship Id="rId157" Type="http://schemas.openxmlformats.org/officeDocument/2006/relationships/hyperlink" Target="mailto:poldep-budg@europarl.europa.eu" TargetMode="External"/><Relationship Id="rId61" Type="http://schemas.openxmlformats.org/officeDocument/2006/relationships/header" Target="header4.xml"/><Relationship Id="rId82" Type="http://schemas.openxmlformats.org/officeDocument/2006/relationships/hyperlink" Target="https://www.europarl.europa.eu/RegData/etudes/BRIE/2020/648183/IPOL_BRI(2020)648183_EN.pdf" TargetMode="External"/><Relationship Id="rId152" Type="http://schemas.openxmlformats.org/officeDocument/2006/relationships/hyperlink" Target="https://www.europarl.europa.eu/RegData/etudes/ATAG/2020/648763/IPOL_ATA(2020)648763_IT.pdf" TargetMode="External"/><Relationship Id="rId19" Type="http://schemas.openxmlformats.org/officeDocument/2006/relationships/hyperlink" Target="https://oeil.secure.europarl.europa.eu/oeil/popups/ficheprocedure.do?reference=2020/0104(COD)&amp;l=en" TargetMode="External"/><Relationship Id="rId14" Type="http://schemas.openxmlformats.org/officeDocument/2006/relationships/footer" Target="footer3.xml"/><Relationship Id="rId30" Type="http://schemas.openxmlformats.org/officeDocument/2006/relationships/image" Target="media/image8.jpeg"/><Relationship Id="rId35" Type="http://schemas.openxmlformats.org/officeDocument/2006/relationships/hyperlink" Target="https://www.eca.europa.eu/Lists/ECADocuments/SR20_09/SR_Road_network_EN.pdf" TargetMode="External"/><Relationship Id="rId56" Type="http://schemas.openxmlformats.org/officeDocument/2006/relationships/hyperlink" Target="http://www.europarl.europa.eu/committees/en/cont/home.html" TargetMode="External"/><Relationship Id="rId77" Type="http://schemas.openxmlformats.org/officeDocument/2006/relationships/hyperlink" Target="https://www.europarl.europa.eu/RegData/etudes/STUD/2020/651444/IPOL_STU(2020)651444_ES.pdf" TargetMode="External"/><Relationship Id="rId100" Type="http://schemas.openxmlformats.org/officeDocument/2006/relationships/hyperlink" Target="https://www.europarl.europa.eu/RegData/etudes/BRIE/2020/648145/IPOL_BRI(2020)648145_EN.pdf" TargetMode="External"/><Relationship Id="rId105" Type="http://schemas.openxmlformats.org/officeDocument/2006/relationships/hyperlink" Target="https://www.europarl.europa.eu/RegData/etudes/BRIE/2020/648145/IPOL_BRI(2020)648145_IT.pdf" TargetMode="External"/><Relationship Id="rId126" Type="http://schemas.openxmlformats.org/officeDocument/2006/relationships/hyperlink" Target="https://www.europarl.europa.eu/RegData/etudes/ATAG/2020/648760/IPOL_ATA(2020)648760_SV.pdf" TargetMode="External"/><Relationship Id="rId147" Type="http://schemas.openxmlformats.org/officeDocument/2006/relationships/hyperlink" Target="https://www.europarl.europa.eu/RegData/etudes/ATAG/2020/648763/IPOL_ATA(2020)648763_EN.pdf" TargetMode="External"/><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hyperlink" Target="https://www.europarl.europa.eu/RegData/etudes/STUD/2020/654525/IPOL_STU(2020)654525_EN.pdf" TargetMode="External"/><Relationship Id="rId93" Type="http://schemas.openxmlformats.org/officeDocument/2006/relationships/hyperlink" Target="https://www.europarl.europa.eu/RegData/etudes/BRIE/2020/648148/IPOL_BRI(2020)648148_DE.pdf" TargetMode="External"/><Relationship Id="rId98" Type="http://schemas.openxmlformats.org/officeDocument/2006/relationships/hyperlink" Target="https://www.europarl.europa.eu/RegData/etudes/BRIE/2020/648148/IPOL_BRI(2020)648148_PL.pdf" TargetMode="External"/><Relationship Id="rId121" Type="http://schemas.openxmlformats.org/officeDocument/2006/relationships/hyperlink" Target="https://www.europarl.europa.eu/RegData/etudes/ATAG/2020/648760/IPOL_ATA(2020)648760_ES.pdf" TargetMode="External"/><Relationship Id="rId142" Type="http://schemas.openxmlformats.org/officeDocument/2006/relationships/hyperlink" Target="https://www.europarl.europa.eu/RegData/etudes/ATAG/2020/648762/IPOL_ATA(2020)648762_FR.pdf" TargetMode="External"/><Relationship Id="rId3" Type="http://schemas.openxmlformats.org/officeDocument/2006/relationships/styles" Target="styles.xml"/><Relationship Id="rId25" Type="http://schemas.openxmlformats.org/officeDocument/2006/relationships/hyperlink" Target="https://oeil.secure.europarl.europa.eu/oeil/popups/ficheprocedure.do?reference=2018/0170(COD)&amp;l=en" TargetMode="External"/><Relationship Id="rId46" Type="http://schemas.openxmlformats.org/officeDocument/2006/relationships/image" Target="media/image14.jpg"/><Relationship Id="rId67" Type="http://schemas.openxmlformats.org/officeDocument/2006/relationships/hyperlink" Target="http://www.europarl.europa.eu/RegData/etudes/STUD/2019/636469/IPOL_STU(2019)636469_EN.pdf" TargetMode="External"/><Relationship Id="rId116" Type="http://schemas.openxmlformats.org/officeDocument/2006/relationships/hyperlink" Target="https://www.europarl.europa.eu/RegData/etudes/BRIE/2020/648186/IPOL_BRI(2020)648186_PL.pdf" TargetMode="External"/><Relationship Id="rId137" Type="http://schemas.openxmlformats.org/officeDocument/2006/relationships/hyperlink" Target="https://www.europarl.europa.eu/RegData/etudes/ATAG/2020/648762/IPOL_ATA(2020)648762_EN.pdf" TargetMode="External"/><Relationship Id="rId158" Type="http://schemas.openxmlformats.org/officeDocument/2006/relationships/hyperlink" Target="mailto:poldep-budg@ep.europa.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GLES~1\AppData\Local\Temp\PV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77FFD-F782-459F-9469-2DE118301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PVx.dotx</Template>
  <TotalTime>0</TotalTime>
  <Pages>23</Pages>
  <Words>7125</Words>
  <Characters>46460</Characters>
  <Application>Microsoft Office Word</Application>
  <DocSecurity>0</DocSecurity>
  <Lines>1290</Lines>
  <Paragraphs>645</Paragraphs>
  <ScaleCrop>false</ScaleCrop>
  <HeadingPairs>
    <vt:vector size="2" baseType="variant">
      <vt:variant>
        <vt:lpstr>Title</vt:lpstr>
      </vt:variant>
      <vt:variant>
        <vt:i4>1</vt:i4>
      </vt:variant>
    </vt:vector>
  </HeadingPairs>
  <TitlesOfParts>
    <vt:vector size="1" baseType="lpstr">
      <vt:lpstr>PVx</vt:lpstr>
    </vt:vector>
  </TitlesOfParts>
  <Company/>
  <LinksUpToDate>false</LinksUpToDate>
  <CharactersWithSpaces>52940</CharactersWithSpaces>
  <SharedDoc>false</SharedDoc>
  <HLinks>
    <vt:vector size="12" baseType="variant">
      <vt:variant>
        <vt:i4>2752513</vt:i4>
      </vt:variant>
      <vt:variant>
        <vt:i4>8</vt:i4>
      </vt:variant>
      <vt:variant>
        <vt:i4>0</vt:i4>
      </vt:variant>
      <vt:variant>
        <vt:i4>5</vt:i4>
      </vt:variant>
      <vt:variant>
        <vt:lpwstr/>
      </vt:variant>
      <vt:variant>
        <vt:lpwstr>_Toc3824015</vt:lpwstr>
      </vt:variant>
      <vt:variant>
        <vt:i4>2752513</vt:i4>
      </vt:variant>
      <vt:variant>
        <vt:i4>2</vt:i4>
      </vt:variant>
      <vt:variant>
        <vt:i4>0</vt:i4>
      </vt:variant>
      <vt:variant>
        <vt:i4>5</vt:i4>
      </vt:variant>
      <vt:variant>
        <vt:lpwstr/>
      </vt:variant>
      <vt:variant>
        <vt:lpwstr>_Toc3824014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PVx</dc:title>
  <dc:subject/>
  <dc:creator>IGLESIAS SANTOS Marisol</dc:creator>
  <cp:keywords/>
  <cp:lastModifiedBy>MACCIONE Stéphane</cp:lastModifiedBy>
  <cp:revision>2</cp:revision>
  <cp:lastPrinted>2009-06-18T13:43:00Z</cp:lastPrinted>
  <dcterms:created xsi:type="dcterms:W3CDTF">2021-01-05T07:59:00Z</dcterms:created>
  <dcterms:modified xsi:type="dcterms:W3CDTF">2021-01-05T07:59:00Z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with">
    <vt:lpwstr>9.9.1 Build [20200705]</vt:lpwstr>
  </property>
  <property fmtid="{D5CDD505-2E9C-101B-9397-08002B2CF9AE}" pid="3" name="LastEdited with">
    <vt:lpwstr>9.9.1 Build [20200705]</vt:lpwstr>
  </property>
  <property fmtid="{D5CDD505-2E9C-101B-9397-08002B2CF9AE}" pid="4" name="&lt;FdR&gt;">
    <vt:lpwstr>1219186</vt:lpwstr>
  </property>
  <property fmtid="{D5CDD505-2E9C-101B-9397-08002B2CF9AE}" pid="5" name="&lt;Type&gt;">
    <vt:lpwstr>PV</vt:lpwstr>
  </property>
  <property fmtid="{D5CDD505-2E9C-101B-9397-08002B2CF9AE}" pid="6" name="&lt;ModelCod&gt;">
    <vt:lpwstr>\\eiciLUXpr1\pdocep$\DocEP\DOCS\General\PV\PVx.dotx(17/04/2020 18:28:12)</vt:lpwstr>
  </property>
  <property fmtid="{D5CDD505-2E9C-101B-9397-08002B2CF9AE}" pid="7" name="&lt;ModelTra&gt;">
    <vt:lpwstr>\\eiciLUXpr1\pdocep$\DocEP\TRANSFIL\EN\PVx.EN(16/10/2020 21:44:13)</vt:lpwstr>
  </property>
  <property fmtid="{D5CDD505-2E9C-101B-9397-08002B2CF9AE}" pid="8" name="&lt;Model&gt;">
    <vt:lpwstr>PVx</vt:lpwstr>
  </property>
  <property fmtid="{D5CDD505-2E9C-101B-9397-08002B2CF9AE}" pid="9" name="FooterPath">
    <vt:lpwstr>PV\1219186FR.docx</vt:lpwstr>
  </property>
  <property fmtid="{D5CDD505-2E9C-101B-9397-08002B2CF9AE}" pid="10" name="PE number">
    <vt:lpwstr>661.827</vt:lpwstr>
  </property>
  <property fmtid="{D5CDD505-2E9C-101B-9397-08002B2CF9AE}" pid="11" name="SendToEpades">
    <vt:lpwstr>OK - 2020/12/14 09:32</vt:lpwstr>
  </property>
  <property fmtid="{D5CDD505-2E9C-101B-9397-08002B2CF9AE}" pid="12" name="Bookout">
    <vt:lpwstr>OK - 2021/01/05 08:59</vt:lpwstr>
  </property>
  <property fmtid="{D5CDD505-2E9C-101B-9397-08002B2CF9AE}" pid="13" name="SDLStudio">
    <vt:lpwstr/>
  </property>
  <property fmtid="{D5CDD505-2E9C-101B-9397-08002B2CF9AE}" pid="14" name="&lt;Extension&gt;">
    <vt:lpwstr>FR</vt:lpwstr>
  </property>
</Properties>
</file>