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tbl>
      <w:tblPr>
        <w:tblW w:w="9072" w:type="dxa"/>
        <w:tblCellMar>
          <w:left w:w="0" w:type="dxa"/>
          <w:right w:w="0" w:type="dxa"/>
        </w:tblCellMar>
        <w:tblLook w:val="01E0" w:firstRow="1" w:lastRow="1" w:firstColumn="1" w:lastColumn="1" w:noHBand="0" w:noVBand="0"/>
      </w:tblPr>
      <w:tblGrid>
        <w:gridCol w:w="6804"/>
        <w:gridCol w:w="2268"/>
      </w:tblGrid>
      <w:tr w:rsidR="00041A79" w:rsidRPr="00F41187" w:rsidTr="00726BB4">
        <w:trPr>
          <w:trHeight w:hRule="exact" w:val="1418"/>
        </w:trPr>
        <w:tc>
          <w:tcPr>
            <w:tcW w:w="6804" w:type="dxa"/>
            <w:shd w:val="clear" w:color="auto" w:fill="auto"/>
            <w:vAlign w:val="center"/>
          </w:tcPr>
          <w:p w:rsidR="00041A79" w:rsidRPr="00F41187" w:rsidRDefault="00A65DED" w:rsidP="00726BB4">
            <w:pPr>
              <w:pStyle w:val="EPName"/>
            </w:pPr>
            <w:r w:rsidRPr="00F41187">
              <w:t>Parlamento Europeu</w:t>
            </w:r>
          </w:p>
          <w:p w:rsidR="00041A79" w:rsidRPr="00F41187" w:rsidRDefault="000B13F7" w:rsidP="000B13F7">
            <w:pPr>
              <w:pStyle w:val="EPTerm"/>
            </w:pPr>
            <w:r w:rsidRPr="00F41187">
              <w:t>2019-2024</w:t>
            </w:r>
          </w:p>
        </w:tc>
        <w:tc>
          <w:tcPr>
            <w:tcW w:w="2268" w:type="dxa"/>
            <w:shd w:val="clear" w:color="auto" w:fill="auto"/>
          </w:tcPr>
          <w:p w:rsidR="00041A79" w:rsidRPr="00F41187" w:rsidRDefault="00041A79" w:rsidP="00726BB4">
            <w:pPr>
              <w:pStyle w:val="EPLogo"/>
            </w:pPr>
            <w:r w:rsidRPr="00F41187">
              <w:drawing>
                <wp:inline distT="0" distB="0" distL="0" distR="0" wp14:anchorId="4B8BE00E" wp14:editId="501F4E6E">
                  <wp:extent cx="1158875" cy="652145"/>
                  <wp:effectExtent l="0" t="0" r="0" b="0"/>
                  <wp:docPr id="1" name="Picture 1" descr="EP logo RGB_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logo RGB_Mu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652145"/>
                          </a:xfrm>
                          <a:prstGeom prst="rect">
                            <a:avLst/>
                          </a:prstGeom>
                          <a:noFill/>
                          <a:ln>
                            <a:noFill/>
                          </a:ln>
                        </pic:spPr>
                      </pic:pic>
                    </a:graphicData>
                  </a:graphic>
                </wp:inline>
              </w:drawing>
            </w:r>
          </w:p>
        </w:tc>
      </w:tr>
    </w:tbl>
    <w:p w:rsidR="00F64B87" w:rsidRPr="00F41187" w:rsidRDefault="00F64B87" w:rsidP="00F64B87">
      <w:pPr>
        <w:pStyle w:val="LineTop"/>
      </w:pPr>
    </w:p>
    <w:p w:rsidR="00F64B87" w:rsidRPr="00F41187" w:rsidRDefault="00F64B87" w:rsidP="00F64B87">
      <w:pPr>
        <w:pStyle w:val="EPBody"/>
      </w:pPr>
      <w:r w:rsidRPr="00F41187">
        <w:rPr>
          <w:rStyle w:val="HideTWBExt"/>
          <w:noProof w:val="0"/>
        </w:rPr>
        <w:t>&lt;</w:t>
      </w:r>
      <w:r w:rsidRPr="00F41187">
        <w:rPr>
          <w:rStyle w:val="HideTWBExt"/>
          <w:i w:val="0"/>
          <w:noProof w:val="0"/>
        </w:rPr>
        <w:t>Commission&gt;</w:t>
      </w:r>
      <w:r w:rsidRPr="00F41187">
        <w:rPr>
          <w:rStyle w:val="HideTWBInt"/>
        </w:rPr>
        <w:t>{CONT}</w:t>
      </w:r>
      <w:r w:rsidRPr="00F41187">
        <w:t>Comissão do Controlo Orçamental</w:t>
      </w:r>
      <w:r w:rsidRPr="00F41187">
        <w:rPr>
          <w:rStyle w:val="HideTWBExt"/>
          <w:noProof w:val="0"/>
        </w:rPr>
        <w:t>&lt;/</w:t>
      </w:r>
      <w:r w:rsidRPr="00F41187">
        <w:rPr>
          <w:rStyle w:val="HideTWBExt"/>
          <w:i w:val="0"/>
          <w:noProof w:val="0"/>
        </w:rPr>
        <w:t>Commission</w:t>
      </w:r>
      <w:r w:rsidRPr="00F41187">
        <w:rPr>
          <w:rStyle w:val="HideTWBExt"/>
          <w:noProof w:val="0"/>
        </w:rPr>
        <w:t>&gt;</w:t>
      </w:r>
    </w:p>
    <w:p w:rsidR="001173AC" w:rsidRPr="00F41187" w:rsidRDefault="001173AC" w:rsidP="001173AC">
      <w:pPr>
        <w:pStyle w:val="LineBottom"/>
      </w:pPr>
    </w:p>
    <w:p w:rsidR="00EA74BF" w:rsidRPr="00F41187" w:rsidRDefault="000B13F7" w:rsidP="001173AC">
      <w:pPr>
        <w:pStyle w:val="HeadingReferenceOJPV"/>
      </w:pPr>
      <w:r w:rsidRPr="00F41187">
        <w:t>CONT_PV(2020)1015_1</w:t>
      </w:r>
    </w:p>
    <w:p w:rsidR="00EA74BF" w:rsidRPr="00F41187" w:rsidRDefault="00A65DED" w:rsidP="001173AC">
      <w:pPr>
        <w:pStyle w:val="HeadingDocType24a"/>
      </w:pPr>
      <w:r w:rsidRPr="00F41187">
        <w:t>ATA</w:t>
      </w:r>
    </w:p>
    <w:p w:rsidR="003E67D2" w:rsidRPr="00F41187" w:rsidRDefault="003E67D2" w:rsidP="003E67D2">
      <w:pPr>
        <w:spacing w:after="240" w:line="320" w:lineRule="atLeast"/>
        <w:jc w:val="center"/>
      </w:pPr>
      <w:r w:rsidRPr="00F41187">
        <w:rPr>
          <w:b/>
          <w:bCs/>
        </w:rPr>
        <w:t>Reunião</w:t>
      </w:r>
    </w:p>
    <w:p w:rsidR="003E67D2" w:rsidRPr="00F41187" w:rsidRDefault="003E67D2" w:rsidP="003E67D2">
      <w:pPr>
        <w:spacing w:after="240" w:line="320" w:lineRule="atLeast"/>
        <w:jc w:val="center"/>
      </w:pPr>
      <w:r w:rsidRPr="00F41187">
        <w:rPr>
          <w:b/>
          <w:bCs/>
        </w:rPr>
        <w:t>Quinta-feira, 15 de outubro de 2020, das 13.45 às 15.45 e das 16.45 às 18.45</w:t>
      </w:r>
    </w:p>
    <w:p w:rsidR="003E67D2" w:rsidRPr="00F41187" w:rsidRDefault="003E67D2" w:rsidP="003E67D2">
      <w:pPr>
        <w:pStyle w:val="HeadingCenter12a"/>
      </w:pPr>
      <w:r w:rsidRPr="00F41187">
        <w:t>BRUXELAS</w:t>
      </w:r>
    </w:p>
    <w:p w:rsidR="003E67D2" w:rsidRPr="00F41187" w:rsidRDefault="003E67D2" w:rsidP="003E67D2">
      <w:pPr>
        <w:pStyle w:val="MeetingIntro"/>
      </w:pPr>
      <w:r w:rsidRPr="00F41187">
        <w:t>A reunião tem início às 13.50 de quinta-feira, 15 de outubro de 2020, sob a presidência de Isabel García Muñoz (primeira vice-presidente).</w:t>
      </w:r>
    </w:p>
    <w:p w:rsidR="003E67D2" w:rsidRPr="00F41187" w:rsidRDefault="003E67D2" w:rsidP="003E67D2">
      <w:pPr>
        <w:spacing w:before="600"/>
      </w:pPr>
      <w:r w:rsidRPr="00F41187">
        <w:rPr>
          <w:b/>
          <w:bCs/>
        </w:rPr>
        <w:t>15 de outubro de 2020, das 13.45 às 15.45</w:t>
      </w:r>
    </w:p>
    <w:p w:rsidR="003E67D2" w:rsidRPr="00F41187" w:rsidRDefault="003E67D2" w:rsidP="003E67D2">
      <w:pPr>
        <w:spacing w:before="240"/>
        <w:ind w:left="708" w:hanging="708"/>
        <w:rPr>
          <w:b/>
          <w:bCs/>
        </w:rPr>
      </w:pPr>
      <w:r w:rsidRPr="00F41187">
        <w:rPr>
          <w:b/>
          <w:bCs/>
        </w:rPr>
        <w:t>1.</w:t>
      </w:r>
      <w:r w:rsidRPr="00F41187">
        <w:tab/>
      </w:r>
      <w:r w:rsidRPr="00F41187">
        <w:rPr>
          <w:b/>
          <w:bCs/>
        </w:rPr>
        <w:t>Aprovação da ordem do dia</w:t>
      </w:r>
    </w:p>
    <w:p w:rsidR="003E67D2" w:rsidRPr="00F41187" w:rsidRDefault="003E67D2" w:rsidP="003E67D2">
      <w:pPr>
        <w:spacing w:before="240"/>
        <w:ind w:left="708" w:hanging="708"/>
      </w:pPr>
      <w:r w:rsidRPr="00F41187">
        <w:t>A ordem do dia é aprovada na versão constante da presente ata.</w:t>
      </w:r>
    </w:p>
    <w:p w:rsidR="003E67D2" w:rsidRPr="00F41187" w:rsidRDefault="003E67D2" w:rsidP="003E67D2">
      <w:pPr>
        <w:spacing w:before="240"/>
        <w:ind w:left="708" w:hanging="708"/>
        <w:rPr>
          <w:b/>
          <w:bCs/>
        </w:rPr>
      </w:pPr>
      <w:r w:rsidRPr="00F41187">
        <w:rPr>
          <w:b/>
          <w:bCs/>
        </w:rPr>
        <w:t>2.</w:t>
      </w:r>
      <w:r w:rsidRPr="00F41187">
        <w:tab/>
      </w:r>
      <w:r w:rsidRPr="00F41187">
        <w:rPr>
          <w:b/>
          <w:bCs/>
        </w:rPr>
        <w:t>Comunicações da presidê</w:t>
      </w:r>
      <w:bookmarkStart w:id="0" w:name="_GoBack"/>
      <w:bookmarkEnd w:id="0"/>
      <w:r w:rsidRPr="00F41187">
        <w:rPr>
          <w:b/>
          <w:bCs/>
        </w:rPr>
        <w:t>ncia</w:t>
      </w:r>
    </w:p>
    <w:p w:rsidR="003E67D2" w:rsidRPr="00F41187" w:rsidRDefault="003E67D2" w:rsidP="003E67D2">
      <w:pPr>
        <w:spacing w:before="240"/>
        <w:ind w:left="567" w:hanging="567"/>
      </w:pPr>
      <w:r w:rsidRPr="00F41187">
        <w:t>A presidente chama a atenção dos deputados para as informações publicadas no boletim CONT News.</w:t>
      </w:r>
    </w:p>
    <w:p w:rsidR="003E67D2" w:rsidRPr="00F41187" w:rsidRDefault="003E67D2" w:rsidP="003E67D2">
      <w:pPr>
        <w:spacing w:before="240"/>
      </w:pPr>
      <w:r w:rsidRPr="00F41187">
        <w:rPr>
          <w:b/>
          <w:bCs/>
          <w:i/>
          <w:iCs/>
        </w:rPr>
        <w:t>*** Abertura do período de votação à distância: primeiro período de votação ***</w:t>
      </w:r>
    </w:p>
    <w:p w:rsidR="003E67D2" w:rsidRPr="00F41187" w:rsidRDefault="003E67D2" w:rsidP="003E67D2">
      <w:pPr>
        <w:spacing w:before="240"/>
        <w:ind w:left="708" w:hanging="708"/>
      </w:pPr>
      <w:r w:rsidRPr="00F41187">
        <w:rPr>
          <w:b/>
          <w:bCs/>
        </w:rPr>
        <w:t>3.</w:t>
      </w:r>
      <w:r w:rsidRPr="00F41187">
        <w:tab/>
      </w:r>
      <w:r w:rsidRPr="00F41187">
        <w:rPr>
          <w:b/>
          <w:bCs/>
        </w:rPr>
        <w:t>Criação de um Mecanismo de Recuperação e Resiliência</w:t>
      </w:r>
    </w:p>
    <w:p w:rsidR="003E67D2" w:rsidRPr="00F41187" w:rsidRDefault="003E67D2" w:rsidP="003E67D2">
      <w:r w:rsidRPr="00F41187">
        <w:tab/>
        <w:t>CONT/9/03552</w:t>
      </w:r>
    </w:p>
    <w:p w:rsidR="003E67D2" w:rsidRPr="00F41187" w:rsidRDefault="003E67D2" w:rsidP="003E67D2">
      <w:pPr>
        <w:spacing w:after="120"/>
      </w:pPr>
      <w:r w:rsidRPr="00F41187">
        <w:tab/>
        <w:t>***I</w:t>
      </w:r>
      <w:r w:rsidRPr="00F41187">
        <w:tab/>
        <w:t>2020/0104(COD)</w:t>
      </w:r>
      <w:r w:rsidRPr="00F41187">
        <w:tab/>
        <w:t>COM(2020)0408 – C9-0150/2020</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5"/>
        <w:gridCol w:w="1419"/>
        <w:gridCol w:w="4167"/>
        <w:gridCol w:w="2421"/>
      </w:tblGrid>
      <w:tr w:rsidR="003E67D2" w:rsidRPr="00F41187" w:rsidTr="007757CE">
        <w:trPr>
          <w:cantSplit/>
          <w:jc w:val="right"/>
        </w:trPr>
        <w:tc>
          <w:tcPr>
            <w:tcW w:w="8539" w:type="dxa"/>
            <w:gridSpan w:val="4"/>
            <w:tcBorders>
              <w:top w:val="nil"/>
              <w:left w:val="nil"/>
              <w:bottom w:val="nil"/>
              <w:right w:val="nil"/>
            </w:tcBorders>
            <w:shd w:val="clear" w:color="auto" w:fill="FFFFFF"/>
          </w:tcPr>
          <w:p w:rsidR="003E67D2" w:rsidRPr="00F41187" w:rsidRDefault="003E67D2" w:rsidP="007757CE">
            <w:r w:rsidRPr="00F41187">
              <w:t>Relatora de parecer:</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5585" w:type="dxa"/>
            <w:gridSpan w:val="2"/>
            <w:tcBorders>
              <w:top w:val="nil"/>
              <w:left w:val="nil"/>
              <w:bottom w:val="nil"/>
              <w:right w:val="nil"/>
            </w:tcBorders>
            <w:shd w:val="clear" w:color="auto" w:fill="FFFFFF"/>
          </w:tcPr>
          <w:p w:rsidR="003E67D2" w:rsidRPr="00F41187" w:rsidRDefault="003E67D2" w:rsidP="007757CE">
            <w:r w:rsidRPr="00F41187">
              <w:t>Monika Hohlmeier (PPE)</w:t>
            </w:r>
          </w:p>
        </w:tc>
        <w:tc>
          <w:tcPr>
            <w:tcW w:w="2420" w:type="dxa"/>
            <w:tcBorders>
              <w:top w:val="nil"/>
              <w:left w:val="nil"/>
              <w:bottom w:val="nil"/>
              <w:right w:val="nil"/>
            </w:tcBorders>
            <w:shd w:val="clear" w:color="auto" w:fill="FFFFFF"/>
          </w:tcPr>
          <w:p w:rsidR="003E67D2" w:rsidRPr="00F41187" w:rsidRDefault="003E67D2" w:rsidP="007757CE">
            <w:pPr>
              <w:jc w:val="right"/>
            </w:pPr>
            <w:r w:rsidRPr="00F41187">
              <w:t>AM – PE658.795v01-00</w:t>
            </w:r>
          </w:p>
        </w:tc>
      </w:tr>
      <w:tr w:rsidR="003E67D2" w:rsidRPr="00F41187" w:rsidTr="007757CE">
        <w:trPr>
          <w:cantSplit/>
          <w:jc w:val="right"/>
        </w:trPr>
        <w:tc>
          <w:tcPr>
            <w:tcW w:w="8539" w:type="dxa"/>
            <w:gridSpan w:val="4"/>
            <w:tcBorders>
              <w:top w:val="nil"/>
              <w:left w:val="nil"/>
              <w:bottom w:val="nil"/>
              <w:right w:val="nil"/>
            </w:tcBorders>
            <w:shd w:val="clear" w:color="auto" w:fill="FFFFFF"/>
          </w:tcPr>
          <w:p w:rsidR="003E67D2" w:rsidRPr="00F41187" w:rsidRDefault="003E67D2" w:rsidP="007757CE">
            <w:r w:rsidRPr="00F41187">
              <w:t>Fundo:</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1419" w:type="dxa"/>
            <w:tcBorders>
              <w:top w:val="nil"/>
              <w:left w:val="nil"/>
              <w:bottom w:val="nil"/>
              <w:right w:val="nil"/>
            </w:tcBorders>
            <w:shd w:val="clear" w:color="auto" w:fill="FFFFFF"/>
          </w:tcPr>
          <w:p w:rsidR="003E67D2" w:rsidRPr="00F41187" w:rsidRDefault="003E67D2" w:rsidP="007757CE">
            <w:r w:rsidRPr="00F41187">
              <w:t xml:space="preserve">BUDG, ECON* – </w:t>
            </w:r>
          </w:p>
        </w:tc>
        <w:tc>
          <w:tcPr>
            <w:tcW w:w="4166" w:type="dxa"/>
            <w:tcBorders>
              <w:top w:val="nil"/>
              <w:left w:val="nil"/>
              <w:bottom w:val="nil"/>
              <w:right w:val="nil"/>
            </w:tcBorders>
            <w:shd w:val="clear" w:color="auto" w:fill="FFFFFF"/>
          </w:tcPr>
          <w:p w:rsidR="003E67D2" w:rsidRPr="00F41187" w:rsidRDefault="003E67D2" w:rsidP="007757CE">
            <w:r w:rsidRPr="00F41187">
              <w:t>Eider Gardiazabal Rubial</w:t>
            </w:r>
            <w:r w:rsidRPr="00F41187">
              <w:br/>
              <w:t>(S&amp;D)</w:t>
            </w:r>
            <w:r w:rsidRPr="00F41187">
              <w:br/>
              <w:t>Siegfried Mureşan (PPE)</w:t>
            </w:r>
            <w:r w:rsidRPr="00F41187">
              <w:br/>
              <w:t>Dragoș Pîslaru (Renew)</w:t>
            </w:r>
          </w:p>
        </w:tc>
        <w:tc>
          <w:tcPr>
            <w:tcW w:w="2420" w:type="dxa"/>
            <w:tcBorders>
              <w:top w:val="nil"/>
              <w:left w:val="nil"/>
              <w:bottom w:val="nil"/>
              <w:right w:val="nil"/>
            </w:tcBorders>
            <w:shd w:val="clear" w:color="auto" w:fill="FFFFFF"/>
          </w:tcPr>
          <w:p w:rsidR="003E67D2" w:rsidRPr="00F41187" w:rsidRDefault="003E67D2" w:rsidP="007757CE">
            <w:pPr>
              <w:jc w:val="right"/>
            </w:pPr>
            <w:r w:rsidRPr="00F41187">
              <w:t>PR – PE655.950v02-00</w:t>
            </w:r>
            <w:r w:rsidRPr="00F41187">
              <w:br/>
              <w:t>AM – PE657.422v01-00</w:t>
            </w:r>
            <w:r w:rsidRPr="00F41187">
              <w:br/>
              <w:t>AM – PE655.953v01-00</w:t>
            </w:r>
            <w:r w:rsidRPr="00F41187">
              <w:br/>
              <w:t>AM – PE657.420v01-00</w:t>
            </w:r>
            <w:r w:rsidRPr="00F41187">
              <w:br/>
              <w:t>AM – PE657.421v02-00</w:t>
            </w:r>
          </w:p>
        </w:tc>
      </w:tr>
      <w:tr w:rsidR="003E67D2" w:rsidRPr="00F41187" w:rsidTr="007757CE">
        <w:trPr>
          <w:cantSplit/>
          <w:jc w:val="right"/>
        </w:trPr>
        <w:tc>
          <w:tcPr>
            <w:tcW w:w="8539" w:type="dxa"/>
            <w:gridSpan w:val="4"/>
            <w:tcBorders>
              <w:top w:val="nil"/>
              <w:left w:val="nil"/>
              <w:bottom w:val="nil"/>
              <w:right w:val="nil"/>
            </w:tcBorders>
            <w:shd w:val="clear" w:color="auto" w:fill="FFFFFF"/>
          </w:tcPr>
          <w:p w:rsidR="003E67D2" w:rsidRPr="00F41187" w:rsidRDefault="003E67D2" w:rsidP="007757CE">
            <w:r w:rsidRPr="00F41187">
              <w:t>Pareceres:</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8005" w:type="dxa"/>
            <w:gridSpan w:val="3"/>
            <w:tcBorders>
              <w:top w:val="nil"/>
              <w:left w:val="nil"/>
              <w:bottom w:val="nil"/>
              <w:right w:val="nil"/>
            </w:tcBorders>
            <w:shd w:val="clear" w:color="auto" w:fill="FFFFFF"/>
          </w:tcPr>
          <w:p w:rsidR="003E67D2" w:rsidRPr="00F41187" w:rsidRDefault="003E67D2" w:rsidP="007757CE">
            <w:r w:rsidRPr="00F41187">
              <w:t>CONT, EMPL*, ENVI*, ITRE*, IMCO, TRAN*, REGI, AFCO</w:t>
            </w:r>
          </w:p>
        </w:tc>
      </w:tr>
      <w:tr w:rsidR="003E67D2" w:rsidRPr="00F41187" w:rsidTr="007757CE">
        <w:trPr>
          <w:cantSplit/>
          <w:jc w:val="right"/>
        </w:trPr>
        <w:tc>
          <w:tcPr>
            <w:tcW w:w="8539" w:type="dxa"/>
            <w:gridSpan w:val="4"/>
            <w:tcBorders>
              <w:top w:val="nil"/>
              <w:left w:val="nil"/>
              <w:bottom w:val="nil"/>
              <w:right w:val="nil"/>
            </w:tcBorders>
            <w:shd w:val="clear" w:color="auto" w:fill="FFFFFF"/>
          </w:tcPr>
          <w:p w:rsidR="003E67D2" w:rsidRPr="00F41187" w:rsidRDefault="003E67D2" w:rsidP="007757CE">
            <w:r w:rsidRPr="00F41187">
              <w:t>Posições sob a forma de alterações:</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8005" w:type="dxa"/>
            <w:gridSpan w:val="3"/>
            <w:tcBorders>
              <w:top w:val="nil"/>
              <w:left w:val="nil"/>
              <w:bottom w:val="nil"/>
              <w:right w:val="nil"/>
            </w:tcBorders>
            <w:shd w:val="clear" w:color="auto" w:fill="FFFFFF"/>
          </w:tcPr>
          <w:p w:rsidR="003E67D2" w:rsidRPr="00F41187" w:rsidRDefault="003E67D2" w:rsidP="007757CE">
            <w:r w:rsidRPr="00F41187">
              <w:t>FEMM</w:t>
            </w:r>
          </w:p>
        </w:tc>
      </w:tr>
    </w:tbl>
    <w:p w:rsidR="003E67D2" w:rsidRPr="00F41187" w:rsidRDefault="0070694C" w:rsidP="0070694C">
      <w:pPr>
        <w:tabs>
          <w:tab w:val="left" w:pos="1100"/>
        </w:tabs>
        <w:autoSpaceDE w:val="0"/>
        <w:autoSpaceDN w:val="0"/>
        <w:adjustRightInd w:val="0"/>
        <w:ind w:left="1100" w:hanging="400"/>
      </w:pPr>
      <w:r w:rsidRPr="00F41187">
        <w:rPr>
          <w:rFonts w:ascii="Symbol" w:hAnsi="Symbol"/>
        </w:rPr>
        <w:t></w:t>
      </w:r>
      <w:r w:rsidRPr="00F41187">
        <w:rPr>
          <w:rFonts w:ascii="Symbol" w:hAnsi="Symbol"/>
        </w:rPr>
        <w:tab/>
      </w:r>
      <w:r w:rsidRPr="00F41187">
        <w:t>Aprovação do projeto de parecer</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F41187" w:rsidTr="007757CE">
        <w:trPr>
          <w:cantSplit/>
          <w:jc w:val="right"/>
        </w:trPr>
        <w:tc>
          <w:tcPr>
            <w:tcW w:w="1440" w:type="dxa"/>
            <w:tcBorders>
              <w:top w:val="nil"/>
              <w:left w:val="nil"/>
              <w:bottom w:val="nil"/>
              <w:right w:val="nil"/>
            </w:tcBorders>
            <w:shd w:val="clear" w:color="auto" w:fill="FFFFFF"/>
          </w:tcPr>
          <w:p w:rsidR="003E67D2" w:rsidRPr="00F41187" w:rsidRDefault="003E67D2" w:rsidP="007757CE">
            <w:pPr>
              <w:spacing w:before="120" w:after="240"/>
            </w:pPr>
            <w:r w:rsidRPr="00F41187">
              <w:rPr>
                <w:b/>
                <w:bCs/>
              </w:rPr>
              <w:t>Decisão:</w:t>
            </w:r>
          </w:p>
        </w:tc>
        <w:tc>
          <w:tcPr>
            <w:tcW w:w="7101" w:type="dxa"/>
            <w:tcBorders>
              <w:top w:val="nil"/>
              <w:left w:val="nil"/>
              <w:bottom w:val="nil"/>
              <w:right w:val="nil"/>
            </w:tcBorders>
            <w:shd w:val="clear" w:color="auto" w:fill="FFFFFF"/>
          </w:tcPr>
          <w:p w:rsidR="003E67D2" w:rsidRPr="00F41187" w:rsidRDefault="003E67D2" w:rsidP="007757CE">
            <w:pPr>
              <w:spacing w:before="120" w:after="240"/>
            </w:pPr>
            <w:r w:rsidRPr="00F41187">
              <w:t>O projeto de parecer é aprovado, com alterações, por 22 votos a favor, 3 votos contra e 2 abstenções</w:t>
            </w:r>
            <w:r w:rsidRPr="00F41187">
              <w:br/>
              <w:t>145 alterações aprovadas</w:t>
            </w:r>
            <w:r w:rsidRPr="00F41187">
              <w:br/>
              <w:t>246 alterações apresentadas</w:t>
            </w:r>
          </w:p>
        </w:tc>
      </w:tr>
    </w:tbl>
    <w:p w:rsidR="003E67D2" w:rsidRPr="00F41187" w:rsidRDefault="003E67D2" w:rsidP="003E67D2">
      <w:pPr>
        <w:spacing w:before="240"/>
        <w:ind w:left="708" w:hanging="708"/>
      </w:pPr>
      <w:r w:rsidRPr="00F41187">
        <w:rPr>
          <w:b/>
          <w:bCs/>
        </w:rPr>
        <w:t>4.</w:t>
      </w:r>
      <w:r w:rsidRPr="00F41187">
        <w:tab/>
      </w:r>
      <w:r w:rsidRPr="00F41187">
        <w:rPr>
          <w:b/>
          <w:bCs/>
        </w:rPr>
        <w:t>Inquéritos efetuados pelo Organismo Europeu de Luta Antifraude (OLAF) no que respeita à cooperação com a Procuradoria Europeia e à eficácia dos inquéritos do OLAF</w:t>
      </w:r>
    </w:p>
    <w:p w:rsidR="003E67D2" w:rsidRPr="00F41187" w:rsidRDefault="003E67D2" w:rsidP="003E67D2">
      <w:r w:rsidRPr="00F41187">
        <w:tab/>
        <w:t>CONT/9/01460</w:t>
      </w:r>
    </w:p>
    <w:p w:rsidR="003E67D2" w:rsidRPr="00F41187" w:rsidRDefault="003E67D2" w:rsidP="003E67D2">
      <w:pPr>
        <w:spacing w:after="120"/>
      </w:pPr>
      <w:r w:rsidRPr="00F41187">
        <w:tab/>
        <w:t>***I</w:t>
      </w:r>
      <w:r w:rsidRPr="00F41187">
        <w:tab/>
        <w:t>2018/0170(COD)</w:t>
      </w:r>
      <w:r w:rsidRPr="00F41187">
        <w:tab/>
        <w:t>COM(2018)0338 – C8-0214/2018</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F41187" w:rsidTr="007757CE">
        <w:trPr>
          <w:cantSplit/>
          <w:jc w:val="right"/>
        </w:trPr>
        <w:tc>
          <w:tcPr>
            <w:tcW w:w="8539" w:type="dxa"/>
            <w:gridSpan w:val="3"/>
            <w:tcBorders>
              <w:top w:val="nil"/>
              <w:left w:val="nil"/>
              <w:bottom w:val="nil"/>
              <w:right w:val="nil"/>
            </w:tcBorders>
            <w:shd w:val="clear" w:color="auto" w:fill="FFFFFF"/>
          </w:tcPr>
          <w:p w:rsidR="003E67D2" w:rsidRPr="00F41187" w:rsidRDefault="003E67D2" w:rsidP="007757CE">
            <w:r w:rsidRPr="00F41187">
              <w:t>Relator:</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5585" w:type="dxa"/>
            <w:tcBorders>
              <w:top w:val="nil"/>
              <w:left w:val="nil"/>
              <w:bottom w:val="nil"/>
              <w:right w:val="nil"/>
            </w:tcBorders>
            <w:shd w:val="clear" w:color="auto" w:fill="FFFFFF"/>
          </w:tcPr>
          <w:p w:rsidR="003E67D2" w:rsidRPr="00F41187" w:rsidRDefault="003E67D2" w:rsidP="007757CE">
            <w:r w:rsidRPr="00F41187">
              <w:t>Marian-Jean Marinescu (PPE)</w:t>
            </w:r>
          </w:p>
        </w:tc>
        <w:tc>
          <w:tcPr>
            <w:tcW w:w="2420" w:type="dxa"/>
            <w:tcBorders>
              <w:top w:val="nil"/>
              <w:left w:val="nil"/>
              <w:bottom w:val="nil"/>
              <w:right w:val="nil"/>
            </w:tcBorders>
            <w:shd w:val="clear" w:color="auto" w:fill="FFFFFF"/>
          </w:tcPr>
          <w:p w:rsidR="003E67D2" w:rsidRPr="00F41187" w:rsidRDefault="003E67D2" w:rsidP="007757CE"/>
        </w:tc>
      </w:tr>
      <w:tr w:rsidR="003E67D2" w:rsidRPr="00F41187" w:rsidTr="007757CE">
        <w:trPr>
          <w:cantSplit/>
          <w:jc w:val="right"/>
        </w:trPr>
        <w:tc>
          <w:tcPr>
            <w:tcW w:w="8539" w:type="dxa"/>
            <w:gridSpan w:val="3"/>
            <w:tcBorders>
              <w:top w:val="nil"/>
              <w:left w:val="nil"/>
              <w:bottom w:val="nil"/>
              <w:right w:val="nil"/>
            </w:tcBorders>
            <w:shd w:val="clear" w:color="auto" w:fill="FFFFFF"/>
          </w:tcPr>
          <w:p w:rsidR="003E67D2" w:rsidRPr="00F41187" w:rsidRDefault="003E67D2" w:rsidP="007757CE">
            <w:r w:rsidRPr="00F41187">
              <w:t>Fundo:</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8005" w:type="dxa"/>
            <w:gridSpan w:val="2"/>
            <w:tcBorders>
              <w:top w:val="nil"/>
              <w:left w:val="nil"/>
              <w:bottom w:val="nil"/>
              <w:right w:val="nil"/>
            </w:tcBorders>
            <w:shd w:val="clear" w:color="auto" w:fill="FFFFFF"/>
          </w:tcPr>
          <w:p w:rsidR="003E67D2" w:rsidRPr="00F41187" w:rsidRDefault="003E67D2" w:rsidP="007757CE">
            <w:r w:rsidRPr="00F41187">
              <w:t>CONT</w:t>
            </w:r>
          </w:p>
        </w:tc>
      </w:tr>
    </w:tbl>
    <w:p w:rsidR="003E67D2" w:rsidRPr="00F41187" w:rsidRDefault="0070694C" w:rsidP="0070694C">
      <w:pPr>
        <w:tabs>
          <w:tab w:val="left" w:pos="1100"/>
        </w:tabs>
        <w:autoSpaceDE w:val="0"/>
        <w:autoSpaceDN w:val="0"/>
        <w:adjustRightInd w:val="0"/>
        <w:ind w:left="1100" w:hanging="400"/>
      </w:pPr>
      <w:r w:rsidRPr="00F41187">
        <w:rPr>
          <w:rFonts w:ascii="Symbol" w:hAnsi="Symbol"/>
        </w:rPr>
        <w:t></w:t>
      </w:r>
      <w:r w:rsidRPr="00F41187">
        <w:rPr>
          <w:rFonts w:ascii="Symbol" w:hAnsi="Symbol"/>
        </w:rPr>
        <w:tab/>
      </w:r>
      <w:r w:rsidRPr="00F41187">
        <w:t>Votação do acordo provisório resultante das negociações interinstitucionais</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F41187" w:rsidTr="007757CE">
        <w:trPr>
          <w:cantSplit/>
          <w:jc w:val="right"/>
        </w:trPr>
        <w:tc>
          <w:tcPr>
            <w:tcW w:w="1440" w:type="dxa"/>
            <w:tcBorders>
              <w:top w:val="nil"/>
              <w:left w:val="nil"/>
              <w:bottom w:val="nil"/>
              <w:right w:val="nil"/>
            </w:tcBorders>
            <w:shd w:val="clear" w:color="auto" w:fill="FFFFFF"/>
          </w:tcPr>
          <w:p w:rsidR="003E67D2" w:rsidRPr="00F41187" w:rsidRDefault="003E67D2" w:rsidP="007757CE">
            <w:pPr>
              <w:spacing w:before="120" w:after="240"/>
            </w:pPr>
            <w:r w:rsidRPr="00F41187">
              <w:rPr>
                <w:b/>
                <w:bCs/>
              </w:rPr>
              <w:t>Decisão:</w:t>
            </w:r>
          </w:p>
        </w:tc>
        <w:tc>
          <w:tcPr>
            <w:tcW w:w="7102" w:type="dxa"/>
            <w:tcBorders>
              <w:top w:val="nil"/>
              <w:left w:val="nil"/>
              <w:bottom w:val="nil"/>
              <w:right w:val="nil"/>
            </w:tcBorders>
            <w:shd w:val="clear" w:color="auto" w:fill="FFFFFF"/>
          </w:tcPr>
          <w:p w:rsidR="003E67D2" w:rsidRPr="00F41187" w:rsidRDefault="003E67D2" w:rsidP="007757CE">
            <w:pPr>
              <w:spacing w:before="120" w:after="240"/>
            </w:pPr>
            <w:r w:rsidRPr="00F41187">
              <w:t>Aprovado por 25 votos a favor, 3 votos contra e 0 abstenções</w:t>
            </w:r>
          </w:p>
        </w:tc>
      </w:tr>
    </w:tbl>
    <w:p w:rsidR="003E67D2" w:rsidRPr="00F41187" w:rsidRDefault="003E67D2" w:rsidP="003E67D2">
      <w:pPr>
        <w:spacing w:before="240"/>
        <w:jc w:val="center"/>
      </w:pPr>
      <w:r w:rsidRPr="00F41187">
        <w:t>* * *</w:t>
      </w:r>
    </w:p>
    <w:p w:rsidR="003E67D2" w:rsidRPr="00F41187" w:rsidRDefault="003E67D2" w:rsidP="003E67D2">
      <w:pPr>
        <w:spacing w:before="240"/>
        <w:ind w:left="708" w:hanging="708"/>
      </w:pPr>
      <w:r w:rsidRPr="00F41187">
        <w:rPr>
          <w:b/>
          <w:bCs/>
        </w:rPr>
        <w:t>5.</w:t>
      </w:r>
      <w:r w:rsidRPr="00F41187">
        <w:tab/>
      </w:r>
      <w:r w:rsidRPr="00F41187">
        <w:rPr>
          <w:b/>
          <w:bCs/>
        </w:rPr>
        <w:t>Relatório especial n.º 12/2020 do TCE (quitação 2019): A Plataforma Europeia de Aconselhamento ao Investimento – criada para estimular o investimento na UE, mas o impacto é reduzido</w:t>
      </w:r>
    </w:p>
    <w:p w:rsidR="003E67D2" w:rsidRPr="00F41187" w:rsidRDefault="003E67D2" w:rsidP="003E67D2">
      <w:r w:rsidRPr="00F41187">
        <w:tab/>
        <w:t>CONT/9/03491</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F41187" w:rsidTr="007757CE">
        <w:trPr>
          <w:cantSplit/>
          <w:jc w:val="right"/>
        </w:trPr>
        <w:tc>
          <w:tcPr>
            <w:tcW w:w="8539" w:type="dxa"/>
            <w:gridSpan w:val="3"/>
            <w:tcBorders>
              <w:top w:val="nil"/>
              <w:left w:val="nil"/>
              <w:bottom w:val="nil"/>
              <w:right w:val="nil"/>
            </w:tcBorders>
            <w:shd w:val="clear" w:color="auto" w:fill="FFFFFF"/>
          </w:tcPr>
          <w:p w:rsidR="003E67D2" w:rsidRPr="00F41187" w:rsidRDefault="003E67D2" w:rsidP="007757CE">
            <w:r w:rsidRPr="00F41187">
              <w:t>Relatora:</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5585" w:type="dxa"/>
            <w:tcBorders>
              <w:top w:val="nil"/>
              <w:left w:val="nil"/>
              <w:bottom w:val="nil"/>
              <w:right w:val="nil"/>
            </w:tcBorders>
            <w:shd w:val="clear" w:color="auto" w:fill="FFFFFF"/>
          </w:tcPr>
          <w:p w:rsidR="003E67D2" w:rsidRPr="00F41187" w:rsidRDefault="003E67D2" w:rsidP="007757CE">
            <w:r w:rsidRPr="00F41187">
              <w:t>Maria Grapini (S&amp;D)</w:t>
            </w:r>
          </w:p>
        </w:tc>
        <w:tc>
          <w:tcPr>
            <w:tcW w:w="2420" w:type="dxa"/>
            <w:tcBorders>
              <w:top w:val="nil"/>
              <w:left w:val="nil"/>
              <w:bottom w:val="nil"/>
              <w:right w:val="nil"/>
            </w:tcBorders>
            <w:shd w:val="clear" w:color="auto" w:fill="FFFFFF"/>
          </w:tcPr>
          <w:p w:rsidR="003E67D2" w:rsidRPr="00F41187" w:rsidRDefault="003E67D2" w:rsidP="007757CE">
            <w:pPr>
              <w:jc w:val="right"/>
            </w:pPr>
            <w:r w:rsidRPr="00F41187">
              <w:t>DT – PE655.654v02-00</w:t>
            </w:r>
          </w:p>
        </w:tc>
      </w:tr>
    </w:tbl>
    <w:p w:rsidR="003E67D2" w:rsidRPr="00F41187" w:rsidRDefault="0070694C" w:rsidP="0070694C">
      <w:pPr>
        <w:tabs>
          <w:tab w:val="left" w:pos="1100"/>
        </w:tabs>
        <w:autoSpaceDE w:val="0"/>
        <w:autoSpaceDN w:val="0"/>
        <w:adjustRightInd w:val="0"/>
        <w:ind w:left="1100" w:hanging="400"/>
      </w:pPr>
      <w:r w:rsidRPr="00F41187">
        <w:rPr>
          <w:rFonts w:ascii="Symbol" w:hAnsi="Symbol"/>
        </w:rPr>
        <w:t></w:t>
      </w:r>
      <w:r w:rsidRPr="00F41187">
        <w:rPr>
          <w:rFonts w:ascii="Symbol" w:hAnsi="Symbol"/>
        </w:rPr>
        <w:tab/>
      </w:r>
      <w:r w:rsidRPr="00F41187">
        <w:t>Apresentação do relatório especial pela relatora do TCE, Annemie Turtelboom</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F41187" w:rsidTr="007757CE">
        <w:trPr>
          <w:cantSplit/>
          <w:trHeight w:val="641"/>
          <w:jc w:val="right"/>
        </w:trPr>
        <w:tc>
          <w:tcPr>
            <w:tcW w:w="1440" w:type="dxa"/>
            <w:tcBorders>
              <w:top w:val="nil"/>
              <w:left w:val="nil"/>
              <w:bottom w:val="nil"/>
              <w:right w:val="nil"/>
            </w:tcBorders>
            <w:shd w:val="clear" w:color="auto" w:fill="FFFFFF"/>
          </w:tcPr>
          <w:p w:rsidR="003E67D2" w:rsidRPr="00F41187" w:rsidRDefault="003E67D2" w:rsidP="007757CE">
            <w:pPr>
              <w:spacing w:before="120" w:after="240"/>
            </w:pPr>
            <w:r w:rsidRPr="00F41187">
              <w:rPr>
                <w:b/>
                <w:bCs/>
              </w:rPr>
              <w:t>Decisão:</w:t>
            </w:r>
          </w:p>
        </w:tc>
        <w:tc>
          <w:tcPr>
            <w:tcW w:w="7102" w:type="dxa"/>
            <w:tcBorders>
              <w:top w:val="nil"/>
              <w:left w:val="nil"/>
              <w:bottom w:val="nil"/>
              <w:right w:val="nil"/>
            </w:tcBorders>
            <w:shd w:val="clear" w:color="auto" w:fill="FFFFFF"/>
          </w:tcPr>
          <w:p w:rsidR="003E67D2" w:rsidRPr="00F41187" w:rsidRDefault="003E67D2" w:rsidP="007757CE">
            <w:pPr>
              <w:spacing w:before="120" w:after="240"/>
            </w:pPr>
            <w:r w:rsidRPr="00F41187">
              <w:t>Troca de pontos de vista</w:t>
            </w:r>
          </w:p>
        </w:tc>
      </w:tr>
    </w:tbl>
    <w:p w:rsidR="003E67D2" w:rsidRPr="00F41187" w:rsidRDefault="003E67D2" w:rsidP="003E67D2">
      <w:pPr>
        <w:autoSpaceDE w:val="0"/>
        <w:autoSpaceDN w:val="0"/>
        <w:adjustRightInd w:val="0"/>
      </w:pPr>
      <w:r w:rsidRPr="00F41187">
        <w:t xml:space="preserve">Intervenções: </w:t>
      </w:r>
    </w:p>
    <w:p w:rsidR="00AA186A" w:rsidRPr="00F41187" w:rsidRDefault="00AA186A" w:rsidP="003E67D2">
      <w:pPr>
        <w:autoSpaceDE w:val="0"/>
        <w:autoSpaceDN w:val="0"/>
        <w:adjustRightInd w:val="0"/>
      </w:pPr>
    </w:p>
    <w:p w:rsidR="003E67D2" w:rsidRPr="00F41187" w:rsidRDefault="003E67D2" w:rsidP="003E67D2">
      <w:pPr>
        <w:autoSpaceDE w:val="0"/>
        <w:autoSpaceDN w:val="0"/>
        <w:adjustRightInd w:val="0"/>
      </w:pPr>
      <w:r w:rsidRPr="00F41187">
        <w:t>Isabel García Muñoz, Annemie Turtelboom (TCE), Katalin Cseh, José Manuel Fernandes, Mikuláš Peksa, Ryszard Czarnecki, Giorgio Chiarion Casoni (Comissão Europeia, DG ECFIN), Frank Lee (BEI)</w:t>
      </w:r>
    </w:p>
    <w:p w:rsidR="003E67D2" w:rsidRPr="00F41187" w:rsidRDefault="003E67D2" w:rsidP="003E67D2">
      <w:pPr>
        <w:spacing w:before="240"/>
        <w:ind w:left="708" w:hanging="708"/>
      </w:pPr>
      <w:r w:rsidRPr="00F41187">
        <w:rPr>
          <w:b/>
          <w:bCs/>
        </w:rPr>
        <w:t>6.</w:t>
      </w:r>
      <w:r w:rsidRPr="00F41187">
        <w:tab/>
      </w:r>
      <w:r w:rsidRPr="00F41187">
        <w:rPr>
          <w:b/>
          <w:bCs/>
        </w:rPr>
        <w:t>Relatório especial n.º 09/2020 do TCE (quitação 2019): Rede rodoviária principal da UE: tempos de viagem mais curtos, mas ainda não plenamente funcional</w:t>
      </w:r>
    </w:p>
    <w:p w:rsidR="003E67D2" w:rsidRPr="00F41187" w:rsidRDefault="003E67D2" w:rsidP="003E67D2">
      <w:r w:rsidRPr="00F41187">
        <w:tab/>
        <w:t>CONT/9/04005</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F41187" w:rsidTr="007757CE">
        <w:trPr>
          <w:cantSplit/>
          <w:jc w:val="right"/>
        </w:trPr>
        <w:tc>
          <w:tcPr>
            <w:tcW w:w="8539" w:type="dxa"/>
            <w:gridSpan w:val="3"/>
            <w:tcBorders>
              <w:top w:val="nil"/>
              <w:left w:val="nil"/>
              <w:bottom w:val="nil"/>
              <w:right w:val="nil"/>
            </w:tcBorders>
            <w:shd w:val="clear" w:color="auto" w:fill="FFFFFF"/>
          </w:tcPr>
          <w:p w:rsidR="003E67D2" w:rsidRPr="00F41187" w:rsidRDefault="003E67D2" w:rsidP="007757CE">
            <w:r w:rsidRPr="00F41187">
              <w:lastRenderedPageBreak/>
              <w:t>Relator:</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5585" w:type="dxa"/>
            <w:tcBorders>
              <w:top w:val="nil"/>
              <w:left w:val="nil"/>
              <w:bottom w:val="nil"/>
              <w:right w:val="nil"/>
            </w:tcBorders>
            <w:shd w:val="clear" w:color="auto" w:fill="FFFFFF"/>
          </w:tcPr>
          <w:p w:rsidR="003E67D2" w:rsidRPr="00F41187" w:rsidRDefault="003E67D2" w:rsidP="007757CE">
            <w:r w:rsidRPr="00F41187">
              <w:t>Marian-Jean Marinescu (PPE)</w:t>
            </w:r>
          </w:p>
        </w:tc>
        <w:tc>
          <w:tcPr>
            <w:tcW w:w="2420" w:type="dxa"/>
            <w:tcBorders>
              <w:top w:val="nil"/>
              <w:left w:val="nil"/>
              <w:bottom w:val="nil"/>
              <w:right w:val="nil"/>
            </w:tcBorders>
            <w:shd w:val="clear" w:color="auto" w:fill="FFFFFF"/>
          </w:tcPr>
          <w:p w:rsidR="003E67D2" w:rsidRPr="00F41187" w:rsidRDefault="003E67D2" w:rsidP="007757CE">
            <w:pPr>
              <w:jc w:val="right"/>
            </w:pPr>
            <w:r w:rsidRPr="00F41187">
              <w:t>DT – PE658.839v01-00</w:t>
            </w:r>
          </w:p>
        </w:tc>
      </w:tr>
    </w:tbl>
    <w:p w:rsidR="003E67D2" w:rsidRPr="00F41187" w:rsidRDefault="0070694C" w:rsidP="0070694C">
      <w:pPr>
        <w:tabs>
          <w:tab w:val="left" w:pos="1100"/>
        </w:tabs>
        <w:autoSpaceDE w:val="0"/>
        <w:autoSpaceDN w:val="0"/>
        <w:adjustRightInd w:val="0"/>
        <w:ind w:left="1100" w:hanging="400"/>
      </w:pPr>
      <w:r w:rsidRPr="00F41187">
        <w:rPr>
          <w:rFonts w:ascii="Symbol" w:hAnsi="Symbol"/>
        </w:rPr>
        <w:t></w:t>
      </w:r>
      <w:r w:rsidRPr="00F41187">
        <w:rPr>
          <w:rFonts w:ascii="Symbol" w:hAnsi="Symbol"/>
        </w:rPr>
        <w:tab/>
      </w:r>
      <w:r w:rsidRPr="00F41187">
        <w:t>Apresentação do relatório especial pelo relator do TCE, Ladislav Balko</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F41187" w:rsidTr="007757CE">
        <w:trPr>
          <w:cantSplit/>
          <w:jc w:val="right"/>
        </w:trPr>
        <w:tc>
          <w:tcPr>
            <w:tcW w:w="1440" w:type="dxa"/>
            <w:tcBorders>
              <w:top w:val="nil"/>
              <w:left w:val="nil"/>
              <w:bottom w:val="nil"/>
              <w:right w:val="nil"/>
            </w:tcBorders>
            <w:shd w:val="clear" w:color="auto" w:fill="FFFFFF"/>
          </w:tcPr>
          <w:p w:rsidR="003E67D2" w:rsidRPr="00F41187" w:rsidRDefault="003E67D2" w:rsidP="007757CE">
            <w:pPr>
              <w:spacing w:before="120" w:after="240"/>
            </w:pPr>
            <w:r w:rsidRPr="00F41187">
              <w:rPr>
                <w:b/>
                <w:bCs/>
              </w:rPr>
              <w:t>Decisão:</w:t>
            </w:r>
          </w:p>
        </w:tc>
        <w:tc>
          <w:tcPr>
            <w:tcW w:w="7101" w:type="dxa"/>
            <w:tcBorders>
              <w:top w:val="nil"/>
              <w:left w:val="nil"/>
              <w:bottom w:val="nil"/>
              <w:right w:val="nil"/>
            </w:tcBorders>
            <w:shd w:val="clear" w:color="auto" w:fill="FFFFFF"/>
          </w:tcPr>
          <w:p w:rsidR="003E67D2" w:rsidRPr="00F41187" w:rsidRDefault="003E67D2" w:rsidP="007757CE">
            <w:pPr>
              <w:spacing w:before="120" w:after="240"/>
            </w:pPr>
            <w:r w:rsidRPr="00F41187">
              <w:t>Troca de pontos de vista</w:t>
            </w:r>
          </w:p>
        </w:tc>
      </w:tr>
    </w:tbl>
    <w:p w:rsidR="003E67D2" w:rsidRPr="00F41187" w:rsidRDefault="003E67D2" w:rsidP="003E67D2">
      <w:pPr>
        <w:autoSpaceDE w:val="0"/>
        <w:autoSpaceDN w:val="0"/>
        <w:adjustRightInd w:val="0"/>
      </w:pPr>
      <w:r w:rsidRPr="00F41187">
        <w:t xml:space="preserve">Intervenções: </w:t>
      </w:r>
    </w:p>
    <w:p w:rsidR="00AA186A" w:rsidRPr="00F41187" w:rsidRDefault="00AA186A" w:rsidP="003E67D2">
      <w:pPr>
        <w:autoSpaceDE w:val="0"/>
        <w:autoSpaceDN w:val="0"/>
        <w:adjustRightInd w:val="0"/>
      </w:pPr>
    </w:p>
    <w:p w:rsidR="003E67D2" w:rsidRPr="00F41187" w:rsidRDefault="003E67D2" w:rsidP="003E67D2">
      <w:pPr>
        <w:autoSpaceDE w:val="0"/>
        <w:autoSpaceDN w:val="0"/>
        <w:adjustRightInd w:val="0"/>
        <w:rPr>
          <w:bCs/>
        </w:rPr>
      </w:pPr>
      <w:r w:rsidRPr="00F41187">
        <w:t>Isabel García Muñoz, Marian</w:t>
      </w:r>
      <w:r w:rsidRPr="00F41187">
        <w:noBreakHyphen/>
        <w:t>Jean Marinescu, Ryszard Czarnecki, Philippe Chantraine (Comissão Europeia, DG MOVE), Aleksandra Klis (TCE)</w:t>
      </w:r>
    </w:p>
    <w:p w:rsidR="003E67D2" w:rsidRPr="00F41187" w:rsidRDefault="003E67D2" w:rsidP="003E67D2">
      <w:pPr>
        <w:spacing w:before="240"/>
        <w:ind w:left="708" w:hanging="708"/>
      </w:pPr>
      <w:r w:rsidRPr="00F41187">
        <w:rPr>
          <w:b/>
          <w:bCs/>
        </w:rPr>
        <w:t>7.</w:t>
      </w:r>
      <w:r w:rsidRPr="00F41187">
        <w:tab/>
      </w:r>
      <w:r w:rsidRPr="00F41187">
        <w:rPr>
          <w:b/>
          <w:bCs/>
        </w:rPr>
        <w:t>Relatório especial n.º 11/2020 do TCE (quitação 2019): Eficiência energética dos edifícios: ainda é necessária maior ênfase na relação custo-eficácia</w:t>
      </w:r>
    </w:p>
    <w:p w:rsidR="003E67D2" w:rsidRPr="00F41187" w:rsidRDefault="003E67D2" w:rsidP="003E67D2">
      <w:r w:rsidRPr="00F41187">
        <w:tab/>
        <w:t>CONT/9/04334</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F41187" w:rsidTr="007757CE">
        <w:trPr>
          <w:cantSplit/>
          <w:jc w:val="right"/>
        </w:trPr>
        <w:tc>
          <w:tcPr>
            <w:tcW w:w="8539" w:type="dxa"/>
            <w:gridSpan w:val="3"/>
            <w:tcBorders>
              <w:top w:val="nil"/>
              <w:left w:val="nil"/>
              <w:bottom w:val="nil"/>
              <w:right w:val="nil"/>
            </w:tcBorders>
            <w:shd w:val="clear" w:color="auto" w:fill="FFFFFF"/>
          </w:tcPr>
          <w:p w:rsidR="003E67D2" w:rsidRPr="00F41187" w:rsidRDefault="003E67D2" w:rsidP="007757CE">
            <w:r w:rsidRPr="00F41187">
              <w:t>Relator:</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5585" w:type="dxa"/>
            <w:tcBorders>
              <w:top w:val="nil"/>
              <w:left w:val="nil"/>
              <w:bottom w:val="nil"/>
              <w:right w:val="nil"/>
            </w:tcBorders>
            <w:shd w:val="clear" w:color="auto" w:fill="FFFFFF"/>
          </w:tcPr>
          <w:p w:rsidR="003E67D2" w:rsidRPr="00F41187" w:rsidRDefault="003E67D2" w:rsidP="007757CE">
            <w:r w:rsidRPr="00F41187">
              <w:t>Lefteris Christoforou (PPE)</w:t>
            </w:r>
          </w:p>
        </w:tc>
        <w:tc>
          <w:tcPr>
            <w:tcW w:w="2420" w:type="dxa"/>
            <w:tcBorders>
              <w:top w:val="nil"/>
              <w:left w:val="nil"/>
              <w:bottom w:val="nil"/>
              <w:right w:val="nil"/>
            </w:tcBorders>
            <w:shd w:val="clear" w:color="auto" w:fill="FFFFFF"/>
          </w:tcPr>
          <w:p w:rsidR="003E67D2" w:rsidRPr="00F41187" w:rsidRDefault="003E67D2" w:rsidP="007757CE">
            <w:pPr>
              <w:jc w:val="right"/>
            </w:pPr>
            <w:r w:rsidRPr="00F41187">
              <w:t>DT – PE658.933v01-00</w:t>
            </w:r>
          </w:p>
        </w:tc>
      </w:tr>
    </w:tbl>
    <w:p w:rsidR="003E67D2" w:rsidRPr="00F41187" w:rsidRDefault="0070694C" w:rsidP="0070694C">
      <w:pPr>
        <w:tabs>
          <w:tab w:val="left" w:pos="1100"/>
        </w:tabs>
        <w:autoSpaceDE w:val="0"/>
        <w:autoSpaceDN w:val="0"/>
        <w:adjustRightInd w:val="0"/>
        <w:ind w:left="1100" w:hanging="400"/>
      </w:pPr>
      <w:r w:rsidRPr="00F41187">
        <w:rPr>
          <w:rFonts w:ascii="Symbol" w:hAnsi="Symbol"/>
        </w:rPr>
        <w:t></w:t>
      </w:r>
      <w:r w:rsidRPr="00F41187">
        <w:rPr>
          <w:rFonts w:ascii="Symbol" w:hAnsi="Symbol"/>
        </w:rPr>
        <w:tab/>
      </w:r>
      <w:r w:rsidRPr="00F41187">
        <w:t>Apresentação do relatório especial pelo relator do TCE, João Figueiredo</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F41187" w:rsidTr="007757CE">
        <w:trPr>
          <w:cantSplit/>
          <w:jc w:val="right"/>
        </w:trPr>
        <w:tc>
          <w:tcPr>
            <w:tcW w:w="1440" w:type="dxa"/>
            <w:tcBorders>
              <w:top w:val="nil"/>
              <w:left w:val="nil"/>
              <w:bottom w:val="nil"/>
              <w:right w:val="nil"/>
            </w:tcBorders>
            <w:shd w:val="clear" w:color="auto" w:fill="FFFFFF"/>
          </w:tcPr>
          <w:p w:rsidR="003E67D2" w:rsidRPr="00F41187" w:rsidRDefault="003E67D2" w:rsidP="007757CE">
            <w:pPr>
              <w:spacing w:before="120" w:after="240"/>
            </w:pPr>
            <w:r w:rsidRPr="00F41187">
              <w:rPr>
                <w:b/>
                <w:bCs/>
              </w:rPr>
              <w:t>Decisão:</w:t>
            </w:r>
          </w:p>
        </w:tc>
        <w:tc>
          <w:tcPr>
            <w:tcW w:w="7101" w:type="dxa"/>
            <w:tcBorders>
              <w:top w:val="nil"/>
              <w:left w:val="nil"/>
              <w:bottom w:val="nil"/>
              <w:right w:val="nil"/>
            </w:tcBorders>
            <w:shd w:val="clear" w:color="auto" w:fill="FFFFFF"/>
          </w:tcPr>
          <w:p w:rsidR="003E67D2" w:rsidRPr="00F41187" w:rsidRDefault="003E67D2" w:rsidP="007757CE">
            <w:pPr>
              <w:spacing w:before="120" w:after="240"/>
            </w:pPr>
            <w:r w:rsidRPr="00F41187">
              <w:t>Troca de pontos de vista</w:t>
            </w:r>
          </w:p>
        </w:tc>
      </w:tr>
    </w:tbl>
    <w:p w:rsidR="003E67D2" w:rsidRPr="00F41187" w:rsidRDefault="003E67D2" w:rsidP="003E67D2">
      <w:pPr>
        <w:autoSpaceDE w:val="0"/>
        <w:autoSpaceDN w:val="0"/>
        <w:adjustRightInd w:val="0"/>
      </w:pPr>
      <w:r w:rsidRPr="00F41187">
        <w:t xml:space="preserve">Intervenções: </w:t>
      </w:r>
    </w:p>
    <w:p w:rsidR="00AA186A" w:rsidRPr="00F41187" w:rsidRDefault="00AA186A" w:rsidP="003E67D2">
      <w:pPr>
        <w:autoSpaceDE w:val="0"/>
        <w:autoSpaceDN w:val="0"/>
        <w:adjustRightInd w:val="0"/>
      </w:pPr>
    </w:p>
    <w:p w:rsidR="003E67D2" w:rsidRPr="00F41187" w:rsidRDefault="003E67D2" w:rsidP="003E67D2">
      <w:pPr>
        <w:autoSpaceDE w:val="0"/>
        <w:autoSpaceDN w:val="0"/>
        <w:adjustRightInd w:val="0"/>
        <w:rPr>
          <w:bCs/>
        </w:rPr>
      </w:pPr>
      <w:r w:rsidRPr="00F41187">
        <w:t>Isabel García Muñoz, João Figueiredo (TCE), Lefteris Christoforou, Sándor Rónai, Pascal Durand, Mikuláš Peksa, Nicolas De Michelis (Comissão Europeia, DG REGIO)</w:t>
      </w:r>
    </w:p>
    <w:p w:rsidR="003E67D2" w:rsidRPr="00F41187" w:rsidRDefault="003E67D2" w:rsidP="003E67D2">
      <w:pPr>
        <w:autoSpaceDE w:val="0"/>
        <w:autoSpaceDN w:val="0"/>
        <w:adjustRightInd w:val="0"/>
        <w:rPr>
          <w:bCs/>
        </w:rPr>
      </w:pPr>
    </w:p>
    <w:p w:rsidR="003E67D2" w:rsidRPr="00F41187" w:rsidRDefault="003E67D2" w:rsidP="003E67D2">
      <w:pPr>
        <w:tabs>
          <w:tab w:val="left" w:pos="1100"/>
          <w:tab w:val="right" w:pos="9200"/>
        </w:tabs>
      </w:pPr>
      <w:r w:rsidRPr="00F41187">
        <w:t>A reunião é suspensa às 15.31.</w:t>
      </w:r>
    </w:p>
    <w:p w:rsidR="0070694C" w:rsidRPr="00F41187" w:rsidRDefault="0070694C" w:rsidP="0070694C">
      <w:pPr>
        <w:spacing w:before="240"/>
        <w:jc w:val="center"/>
      </w:pPr>
      <w:r w:rsidRPr="00F41187">
        <w:t>* * *</w:t>
      </w:r>
    </w:p>
    <w:p w:rsidR="0070694C" w:rsidRPr="00F41187" w:rsidRDefault="0070694C" w:rsidP="0070694C">
      <w:pPr>
        <w:spacing w:before="240"/>
      </w:pPr>
      <w:r w:rsidRPr="00F41187">
        <w:t>A reunião prossegue às 16.50, sob a presidência de Isabel García Muñoz (primeira vice-presidente).</w:t>
      </w:r>
    </w:p>
    <w:p w:rsidR="003E67D2" w:rsidRPr="00F41187" w:rsidRDefault="003E67D2" w:rsidP="003E67D2">
      <w:pPr>
        <w:spacing w:before="600"/>
        <w:rPr>
          <w:b/>
          <w:bCs/>
        </w:rPr>
      </w:pPr>
      <w:r w:rsidRPr="00F41187">
        <w:rPr>
          <w:b/>
          <w:bCs/>
        </w:rPr>
        <w:t>15 de outubro de 2020, das 16.45 às 16.50</w:t>
      </w:r>
    </w:p>
    <w:p w:rsidR="003E67D2" w:rsidRPr="00F41187" w:rsidRDefault="003E67D2" w:rsidP="003E67D2">
      <w:pPr>
        <w:spacing w:before="240"/>
        <w:ind w:left="708" w:hanging="708"/>
      </w:pPr>
      <w:r w:rsidRPr="00F41187">
        <w:rPr>
          <w:b/>
          <w:bCs/>
        </w:rPr>
        <w:t>8.</w:t>
      </w:r>
      <w:r w:rsidRPr="00F41187">
        <w:tab/>
      </w:r>
      <w:r w:rsidRPr="00F41187">
        <w:rPr>
          <w:b/>
          <w:bCs/>
        </w:rPr>
        <w:t>Comunicações da presidência: resultados das votações do primeiro período de votação</w:t>
      </w:r>
    </w:p>
    <w:p w:rsidR="003E67D2" w:rsidRPr="00F41187" w:rsidRDefault="003E67D2" w:rsidP="003E67D2">
      <w:pPr>
        <w:spacing w:before="240"/>
      </w:pPr>
      <w:r w:rsidRPr="00F41187">
        <w:rPr>
          <w:b/>
          <w:bCs/>
          <w:i/>
          <w:iCs/>
        </w:rPr>
        <w:t>*** Abertura do período de votação à distância: segundo período de votação ***</w:t>
      </w:r>
    </w:p>
    <w:p w:rsidR="003E67D2" w:rsidRPr="00F41187" w:rsidRDefault="003E67D2" w:rsidP="003E67D2">
      <w:pPr>
        <w:spacing w:before="240"/>
        <w:jc w:val="center"/>
      </w:pPr>
      <w:r w:rsidRPr="00F41187">
        <w:t>* * *</w:t>
      </w:r>
    </w:p>
    <w:p w:rsidR="003E67D2" w:rsidRPr="00F41187" w:rsidRDefault="003E67D2" w:rsidP="003E67D2">
      <w:pPr>
        <w:spacing w:before="600"/>
      </w:pPr>
      <w:r w:rsidRPr="00F41187">
        <w:rPr>
          <w:b/>
          <w:bCs/>
        </w:rPr>
        <w:t>15 de outubro de 2020, das 16.50 às 18.15</w:t>
      </w:r>
    </w:p>
    <w:p w:rsidR="003E67D2" w:rsidRPr="00F41187" w:rsidRDefault="003E67D2" w:rsidP="003E67D2">
      <w:pPr>
        <w:spacing w:before="240"/>
      </w:pPr>
      <w:r w:rsidRPr="00F41187">
        <w:rPr>
          <w:b/>
          <w:bCs/>
          <w:i/>
          <w:iCs/>
        </w:rPr>
        <w:t>Ponto conjunto com a Comissão do Ambiente, da Saúde Pública e da Segurança Alimentar (ENVI) e a Comissão da Agricultura (AGRI)</w:t>
      </w:r>
    </w:p>
    <w:p w:rsidR="003E67D2" w:rsidRPr="00F41187" w:rsidRDefault="003E67D2" w:rsidP="003E67D2">
      <w:pPr>
        <w:spacing w:before="240"/>
      </w:pPr>
      <w:r w:rsidRPr="00F41187">
        <w:rPr>
          <w:b/>
          <w:bCs/>
          <w:i/>
          <w:iCs/>
        </w:rPr>
        <w:t>Aplicação da política agrícola comum</w:t>
      </w:r>
    </w:p>
    <w:p w:rsidR="003E67D2" w:rsidRPr="00F41187" w:rsidRDefault="003E67D2" w:rsidP="003E67D2">
      <w:pPr>
        <w:spacing w:before="240"/>
        <w:ind w:left="708" w:hanging="708"/>
      </w:pPr>
      <w:r w:rsidRPr="00F41187">
        <w:rPr>
          <w:b/>
          <w:bCs/>
        </w:rPr>
        <w:t>9.</w:t>
      </w:r>
      <w:r w:rsidRPr="00F41187">
        <w:tab/>
      </w:r>
      <w:r w:rsidRPr="00F41187">
        <w:rPr>
          <w:b/>
          <w:bCs/>
        </w:rPr>
        <w:t xml:space="preserve">Relatório especial n.º 04/2020 do TCE (quitação 2019): Utilização de novas tecnologias de imagem no acompanhamento da Política Agrícola Comum: </w:t>
      </w:r>
      <w:r w:rsidRPr="00F41187">
        <w:rPr>
          <w:b/>
          <w:bCs/>
        </w:rPr>
        <w:lastRenderedPageBreak/>
        <w:t>progresso constante em termos gerais, com maior lentidão no domínio do ambiente e do clima</w:t>
      </w:r>
    </w:p>
    <w:p w:rsidR="003E67D2" w:rsidRPr="00F41187" w:rsidRDefault="003E67D2" w:rsidP="003E67D2">
      <w:r w:rsidRPr="00F41187">
        <w:tab/>
        <w:t>CONT/9/02678</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F41187" w:rsidTr="007757CE">
        <w:trPr>
          <w:cantSplit/>
          <w:jc w:val="right"/>
        </w:trPr>
        <w:tc>
          <w:tcPr>
            <w:tcW w:w="8539" w:type="dxa"/>
            <w:gridSpan w:val="3"/>
            <w:tcBorders>
              <w:top w:val="nil"/>
              <w:left w:val="nil"/>
              <w:bottom w:val="nil"/>
              <w:right w:val="nil"/>
            </w:tcBorders>
            <w:shd w:val="clear" w:color="auto" w:fill="FFFFFF"/>
          </w:tcPr>
          <w:p w:rsidR="003E67D2" w:rsidRPr="00F41187" w:rsidRDefault="003E67D2" w:rsidP="007757CE">
            <w:r w:rsidRPr="00F41187">
              <w:t>Relator:</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5585" w:type="dxa"/>
            <w:tcBorders>
              <w:top w:val="nil"/>
              <w:left w:val="nil"/>
              <w:bottom w:val="nil"/>
              <w:right w:val="nil"/>
            </w:tcBorders>
            <w:shd w:val="clear" w:color="auto" w:fill="FFFFFF"/>
          </w:tcPr>
          <w:p w:rsidR="003E67D2" w:rsidRPr="00F41187" w:rsidRDefault="003E67D2" w:rsidP="007757CE">
            <w:r w:rsidRPr="00F41187">
              <w:t>Luke Ming Flanagan (GUE/NGL)</w:t>
            </w:r>
          </w:p>
        </w:tc>
        <w:tc>
          <w:tcPr>
            <w:tcW w:w="2420" w:type="dxa"/>
            <w:tcBorders>
              <w:top w:val="nil"/>
              <w:left w:val="nil"/>
              <w:bottom w:val="nil"/>
              <w:right w:val="nil"/>
            </w:tcBorders>
            <w:shd w:val="clear" w:color="auto" w:fill="FFFFFF"/>
          </w:tcPr>
          <w:p w:rsidR="003E67D2" w:rsidRPr="00F41187" w:rsidRDefault="003E67D2" w:rsidP="007757CE"/>
        </w:tc>
      </w:tr>
    </w:tbl>
    <w:p w:rsidR="003E67D2" w:rsidRPr="00F41187" w:rsidRDefault="0070694C" w:rsidP="0070694C">
      <w:pPr>
        <w:tabs>
          <w:tab w:val="left" w:pos="1100"/>
        </w:tabs>
        <w:autoSpaceDE w:val="0"/>
        <w:autoSpaceDN w:val="0"/>
        <w:adjustRightInd w:val="0"/>
        <w:ind w:left="1100" w:hanging="400"/>
      </w:pPr>
      <w:r w:rsidRPr="00F41187">
        <w:rPr>
          <w:rFonts w:ascii="Symbol" w:hAnsi="Symbol"/>
        </w:rPr>
        <w:t></w:t>
      </w:r>
      <w:r w:rsidRPr="00F41187">
        <w:rPr>
          <w:rFonts w:ascii="Symbol" w:hAnsi="Symbol"/>
        </w:rPr>
        <w:tab/>
      </w:r>
      <w:r w:rsidRPr="00F41187">
        <w:t>Apresentação do relatório especial pelo relator do TCE, Nikolaos Milionis</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F41187" w:rsidTr="007757CE">
        <w:trPr>
          <w:cantSplit/>
          <w:jc w:val="right"/>
        </w:trPr>
        <w:tc>
          <w:tcPr>
            <w:tcW w:w="1440" w:type="dxa"/>
            <w:tcBorders>
              <w:top w:val="nil"/>
              <w:left w:val="nil"/>
              <w:bottom w:val="nil"/>
              <w:right w:val="nil"/>
            </w:tcBorders>
            <w:shd w:val="clear" w:color="auto" w:fill="FFFFFF"/>
          </w:tcPr>
          <w:p w:rsidR="003E67D2" w:rsidRPr="00F41187" w:rsidRDefault="003E67D2" w:rsidP="007757CE">
            <w:pPr>
              <w:spacing w:before="120" w:after="240"/>
            </w:pPr>
            <w:r w:rsidRPr="00F41187">
              <w:rPr>
                <w:b/>
                <w:bCs/>
              </w:rPr>
              <w:t>Decisão:</w:t>
            </w:r>
          </w:p>
        </w:tc>
        <w:tc>
          <w:tcPr>
            <w:tcW w:w="7102" w:type="dxa"/>
            <w:tcBorders>
              <w:top w:val="nil"/>
              <w:left w:val="nil"/>
              <w:bottom w:val="nil"/>
              <w:right w:val="nil"/>
            </w:tcBorders>
            <w:shd w:val="clear" w:color="auto" w:fill="FFFFFF"/>
          </w:tcPr>
          <w:p w:rsidR="003E67D2" w:rsidRPr="00F41187" w:rsidRDefault="003E67D2" w:rsidP="007757CE">
            <w:pPr>
              <w:spacing w:before="120" w:after="240"/>
            </w:pPr>
            <w:r w:rsidRPr="00F41187">
              <w:t>Troca de pontos de vista</w:t>
            </w:r>
          </w:p>
        </w:tc>
      </w:tr>
    </w:tbl>
    <w:p w:rsidR="003E67D2" w:rsidRPr="00F41187" w:rsidRDefault="003E67D2" w:rsidP="003E67D2">
      <w:pPr>
        <w:spacing w:before="240"/>
        <w:ind w:left="708" w:hanging="708"/>
      </w:pPr>
      <w:r w:rsidRPr="00F41187">
        <w:rPr>
          <w:b/>
          <w:bCs/>
        </w:rPr>
        <w:t>10.</w:t>
      </w:r>
      <w:r w:rsidRPr="00F41187">
        <w:tab/>
      </w:r>
      <w:r w:rsidRPr="00F41187">
        <w:rPr>
          <w:b/>
          <w:bCs/>
        </w:rPr>
        <w:t>Relatório especial n.º 13/2020 do TCE (quitação 2019): Biodiversidade das terras agrícolas: o contributo da PAC não travou o declínio</w:t>
      </w:r>
    </w:p>
    <w:p w:rsidR="003E67D2" w:rsidRPr="00F41187" w:rsidRDefault="003E67D2" w:rsidP="003E67D2">
      <w:r w:rsidRPr="00F41187">
        <w:tab/>
        <w:t>CONT/9/03493</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F41187" w:rsidTr="007757CE">
        <w:trPr>
          <w:cantSplit/>
          <w:jc w:val="right"/>
        </w:trPr>
        <w:tc>
          <w:tcPr>
            <w:tcW w:w="8539" w:type="dxa"/>
            <w:gridSpan w:val="3"/>
            <w:tcBorders>
              <w:top w:val="nil"/>
              <w:left w:val="nil"/>
              <w:bottom w:val="nil"/>
              <w:right w:val="nil"/>
            </w:tcBorders>
            <w:shd w:val="clear" w:color="auto" w:fill="FFFFFF"/>
          </w:tcPr>
          <w:p w:rsidR="003E67D2" w:rsidRPr="00F41187" w:rsidRDefault="003E67D2" w:rsidP="007757CE">
            <w:r w:rsidRPr="00F41187">
              <w:t>Relatora:</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5585" w:type="dxa"/>
            <w:tcBorders>
              <w:top w:val="nil"/>
              <w:left w:val="nil"/>
              <w:bottom w:val="nil"/>
              <w:right w:val="nil"/>
            </w:tcBorders>
            <w:shd w:val="clear" w:color="auto" w:fill="FFFFFF"/>
          </w:tcPr>
          <w:p w:rsidR="003E67D2" w:rsidRPr="00F41187" w:rsidRDefault="003E67D2" w:rsidP="007757CE">
            <w:r w:rsidRPr="00F41187">
              <w:t>Viola Von Cramon-Taubadel (Verts/ALE)</w:t>
            </w:r>
          </w:p>
        </w:tc>
        <w:tc>
          <w:tcPr>
            <w:tcW w:w="2420" w:type="dxa"/>
            <w:tcBorders>
              <w:top w:val="nil"/>
              <w:left w:val="nil"/>
              <w:bottom w:val="nil"/>
              <w:right w:val="nil"/>
            </w:tcBorders>
            <w:shd w:val="clear" w:color="auto" w:fill="FFFFFF"/>
          </w:tcPr>
          <w:p w:rsidR="003E67D2" w:rsidRPr="00F41187" w:rsidRDefault="003E67D2" w:rsidP="007757CE"/>
        </w:tc>
      </w:tr>
    </w:tbl>
    <w:p w:rsidR="003E67D2" w:rsidRPr="00F41187" w:rsidRDefault="0070694C" w:rsidP="0070694C">
      <w:pPr>
        <w:tabs>
          <w:tab w:val="left" w:pos="1100"/>
        </w:tabs>
        <w:autoSpaceDE w:val="0"/>
        <w:autoSpaceDN w:val="0"/>
        <w:adjustRightInd w:val="0"/>
        <w:ind w:left="1100" w:hanging="400"/>
      </w:pPr>
      <w:r w:rsidRPr="00F41187">
        <w:rPr>
          <w:rFonts w:ascii="Symbol" w:hAnsi="Symbol"/>
        </w:rPr>
        <w:t></w:t>
      </w:r>
      <w:r w:rsidRPr="00F41187">
        <w:rPr>
          <w:rFonts w:ascii="Symbol" w:hAnsi="Symbol"/>
        </w:rPr>
        <w:tab/>
      </w:r>
      <w:r w:rsidRPr="00F41187">
        <w:t>Apresentação do relatório especial pelo relator do TCE, Viorel Ștefan</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F41187" w:rsidTr="007757CE">
        <w:trPr>
          <w:cantSplit/>
          <w:jc w:val="right"/>
        </w:trPr>
        <w:tc>
          <w:tcPr>
            <w:tcW w:w="1440" w:type="dxa"/>
            <w:tcBorders>
              <w:top w:val="nil"/>
              <w:left w:val="nil"/>
              <w:bottom w:val="nil"/>
              <w:right w:val="nil"/>
            </w:tcBorders>
            <w:shd w:val="clear" w:color="auto" w:fill="FFFFFF"/>
          </w:tcPr>
          <w:p w:rsidR="003E67D2" w:rsidRPr="00F41187" w:rsidRDefault="003E67D2" w:rsidP="007757CE">
            <w:pPr>
              <w:spacing w:before="120" w:after="240"/>
            </w:pPr>
            <w:r w:rsidRPr="00F41187">
              <w:rPr>
                <w:b/>
                <w:bCs/>
              </w:rPr>
              <w:t>Decisão:</w:t>
            </w:r>
          </w:p>
        </w:tc>
        <w:tc>
          <w:tcPr>
            <w:tcW w:w="7101" w:type="dxa"/>
            <w:tcBorders>
              <w:top w:val="nil"/>
              <w:left w:val="nil"/>
              <w:bottom w:val="nil"/>
              <w:right w:val="nil"/>
            </w:tcBorders>
            <w:shd w:val="clear" w:color="auto" w:fill="FFFFFF"/>
          </w:tcPr>
          <w:p w:rsidR="003E67D2" w:rsidRPr="00F41187" w:rsidRDefault="003E67D2" w:rsidP="007757CE">
            <w:pPr>
              <w:spacing w:before="120" w:after="240"/>
            </w:pPr>
            <w:r w:rsidRPr="00F41187">
              <w:t>Troca de pontos de vista</w:t>
            </w:r>
          </w:p>
        </w:tc>
      </w:tr>
    </w:tbl>
    <w:p w:rsidR="003E67D2" w:rsidRPr="00F41187" w:rsidRDefault="003E67D2" w:rsidP="003E67D2">
      <w:pPr>
        <w:autoSpaceDE w:val="0"/>
        <w:autoSpaceDN w:val="0"/>
        <w:adjustRightInd w:val="0"/>
      </w:pPr>
    </w:p>
    <w:p w:rsidR="003E67D2" w:rsidRPr="00F41187" w:rsidRDefault="003E67D2" w:rsidP="003E67D2">
      <w:pPr>
        <w:autoSpaceDE w:val="0"/>
        <w:autoSpaceDN w:val="0"/>
        <w:adjustRightInd w:val="0"/>
      </w:pPr>
      <w:r w:rsidRPr="00F41187">
        <w:t xml:space="preserve">Intervenções: </w:t>
      </w:r>
    </w:p>
    <w:p w:rsidR="003E67D2" w:rsidRPr="00F41187" w:rsidRDefault="003E67D2" w:rsidP="003E67D2">
      <w:pPr>
        <w:spacing w:before="240"/>
        <w:rPr>
          <w:b/>
          <w:bCs/>
        </w:rPr>
      </w:pPr>
      <w:r w:rsidRPr="00F41187">
        <w:t>Isabel García Muñoz, Pascal Canfin (presidente, ENVI), Daniel Buda (AGRI, segundo vice-presidente), Nikolaos Milionis (TCE), Viorel Stefan (TCE), Sebastian Lakner, Pierre Bascou (Comissão Europeia, DG AGRI), Viola Von Cramon</w:t>
      </w:r>
      <w:r w:rsidRPr="00F41187">
        <w:noBreakHyphen/>
        <w:t xml:space="preserve">Taubadel, Michal Wiezik (ENVI), Simone Schmiedtbauer (AGRI), Isabel Carvalhais (AGRI), Jytte Guteland (ENVI), María Soraya Rodríguez Ramos (ENVI), Irène Tolleret (AGRI), Marco Dreosto (ENVI), Grace O'Sullivan (ENVI), Jutta Paulus (ENVI), Luke Ming Flanagan, Pietro Fiocchi (ENVI), Veronika Vrecionová (AGRI), Mick Wallace (ENVI) </w:t>
      </w:r>
    </w:p>
    <w:p w:rsidR="003E67D2" w:rsidRPr="00F41187" w:rsidRDefault="003E67D2" w:rsidP="003E67D2">
      <w:pPr>
        <w:spacing w:before="240"/>
        <w:jc w:val="center"/>
      </w:pPr>
      <w:r w:rsidRPr="00F41187">
        <w:t>* * *</w:t>
      </w:r>
    </w:p>
    <w:p w:rsidR="003E67D2" w:rsidRPr="00F41187" w:rsidRDefault="003E67D2" w:rsidP="003E67D2">
      <w:pPr>
        <w:spacing w:before="600"/>
        <w:rPr>
          <w:b/>
          <w:bCs/>
        </w:rPr>
      </w:pPr>
      <w:r w:rsidRPr="00F41187">
        <w:rPr>
          <w:b/>
          <w:bCs/>
        </w:rPr>
        <w:t>15 de outubro de 2020, das 18.15 às 18.45</w:t>
      </w:r>
    </w:p>
    <w:p w:rsidR="003E67D2" w:rsidRPr="00F41187" w:rsidRDefault="003E67D2" w:rsidP="003E67D2">
      <w:pPr>
        <w:spacing w:before="240"/>
      </w:pPr>
      <w:r w:rsidRPr="00F41187">
        <w:rPr>
          <w:b/>
          <w:bCs/>
          <w:i/>
          <w:iCs/>
        </w:rPr>
        <w:t>Aplicação da política de coesão</w:t>
      </w:r>
    </w:p>
    <w:p w:rsidR="003E67D2" w:rsidRPr="00F41187" w:rsidRDefault="003E67D2" w:rsidP="003E67D2">
      <w:pPr>
        <w:spacing w:before="240"/>
        <w:ind w:left="708" w:hanging="708"/>
      </w:pPr>
      <w:r w:rsidRPr="00F41187">
        <w:rPr>
          <w:b/>
          <w:bCs/>
        </w:rPr>
        <w:t>11.</w:t>
      </w:r>
      <w:r w:rsidRPr="00F41187">
        <w:tab/>
      </w:r>
      <w:r w:rsidRPr="00F41187">
        <w:rPr>
          <w:b/>
          <w:bCs/>
        </w:rPr>
        <w:t>Relatório especial n.º 7/2020 do TCE (quitação 2019): Execução da política de coesão:  custos comparativamente baixos, mas informações insuficientes para avaliar as poupanças com a simplificação</w:t>
      </w:r>
    </w:p>
    <w:p w:rsidR="003E67D2" w:rsidRPr="00F41187" w:rsidRDefault="003E67D2" w:rsidP="003E67D2">
      <w:r w:rsidRPr="00F41187">
        <w:tab/>
        <w:t>CONT/9/03246</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4"/>
        <w:gridCol w:w="5587"/>
        <w:gridCol w:w="2421"/>
      </w:tblGrid>
      <w:tr w:rsidR="003E67D2" w:rsidRPr="00F41187" w:rsidTr="007757CE">
        <w:trPr>
          <w:cantSplit/>
          <w:jc w:val="right"/>
        </w:trPr>
        <w:tc>
          <w:tcPr>
            <w:tcW w:w="8539" w:type="dxa"/>
            <w:gridSpan w:val="3"/>
            <w:tcBorders>
              <w:top w:val="nil"/>
              <w:left w:val="nil"/>
              <w:bottom w:val="nil"/>
              <w:right w:val="nil"/>
            </w:tcBorders>
            <w:shd w:val="clear" w:color="auto" w:fill="FFFFFF"/>
          </w:tcPr>
          <w:p w:rsidR="003E67D2" w:rsidRPr="00F41187" w:rsidRDefault="003E67D2" w:rsidP="007757CE">
            <w:r w:rsidRPr="00F41187">
              <w:t>Relatora:</w:t>
            </w:r>
          </w:p>
        </w:tc>
      </w:tr>
      <w:tr w:rsidR="003E67D2" w:rsidRPr="00F41187" w:rsidTr="007757CE">
        <w:trPr>
          <w:cantSplit/>
          <w:jc w:val="right"/>
        </w:trPr>
        <w:tc>
          <w:tcPr>
            <w:tcW w:w="534" w:type="dxa"/>
            <w:tcBorders>
              <w:top w:val="nil"/>
              <w:left w:val="nil"/>
              <w:bottom w:val="nil"/>
              <w:right w:val="nil"/>
            </w:tcBorders>
            <w:shd w:val="clear" w:color="auto" w:fill="FFFFFF"/>
          </w:tcPr>
          <w:p w:rsidR="003E67D2" w:rsidRPr="00F41187" w:rsidRDefault="003E67D2" w:rsidP="007757CE"/>
        </w:tc>
        <w:tc>
          <w:tcPr>
            <w:tcW w:w="5585" w:type="dxa"/>
            <w:tcBorders>
              <w:top w:val="nil"/>
              <w:left w:val="nil"/>
              <w:bottom w:val="nil"/>
              <w:right w:val="nil"/>
            </w:tcBorders>
            <w:shd w:val="clear" w:color="auto" w:fill="FFFFFF"/>
          </w:tcPr>
          <w:p w:rsidR="003E67D2" w:rsidRPr="00F41187" w:rsidRDefault="003E67D2" w:rsidP="007757CE">
            <w:r w:rsidRPr="00F41187">
              <w:t>Viola Von Cramon-Taubadel (Verts/ALE)</w:t>
            </w:r>
          </w:p>
        </w:tc>
        <w:tc>
          <w:tcPr>
            <w:tcW w:w="2420" w:type="dxa"/>
            <w:tcBorders>
              <w:top w:val="nil"/>
              <w:left w:val="nil"/>
              <w:bottom w:val="nil"/>
              <w:right w:val="nil"/>
            </w:tcBorders>
            <w:shd w:val="clear" w:color="auto" w:fill="FFFFFF"/>
          </w:tcPr>
          <w:p w:rsidR="003E67D2" w:rsidRPr="00F41187" w:rsidRDefault="003E67D2" w:rsidP="007757CE"/>
        </w:tc>
      </w:tr>
    </w:tbl>
    <w:p w:rsidR="003E67D2" w:rsidRPr="00F41187" w:rsidRDefault="0070694C" w:rsidP="0070694C">
      <w:pPr>
        <w:tabs>
          <w:tab w:val="left" w:pos="1100"/>
        </w:tabs>
        <w:autoSpaceDE w:val="0"/>
        <w:autoSpaceDN w:val="0"/>
        <w:adjustRightInd w:val="0"/>
        <w:ind w:left="1100" w:hanging="400"/>
      </w:pPr>
      <w:r w:rsidRPr="00F41187">
        <w:rPr>
          <w:rFonts w:ascii="Symbol" w:hAnsi="Symbol"/>
        </w:rPr>
        <w:t></w:t>
      </w:r>
      <w:r w:rsidRPr="00F41187">
        <w:rPr>
          <w:rFonts w:ascii="Symbol" w:hAnsi="Symbol"/>
        </w:rPr>
        <w:tab/>
      </w:r>
      <w:r w:rsidRPr="00F41187">
        <w:t>Apresentação do relatório especial pelo relator do TCE, Pietro Russo</w:t>
      </w:r>
    </w:p>
    <w:tbl>
      <w:tblPr>
        <w:tblW w:w="8542"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7102"/>
      </w:tblGrid>
      <w:tr w:rsidR="003E67D2" w:rsidRPr="00F41187" w:rsidTr="007757CE">
        <w:trPr>
          <w:cantSplit/>
          <w:jc w:val="right"/>
        </w:trPr>
        <w:tc>
          <w:tcPr>
            <w:tcW w:w="1440" w:type="dxa"/>
            <w:tcBorders>
              <w:top w:val="nil"/>
              <w:left w:val="nil"/>
              <w:bottom w:val="nil"/>
              <w:right w:val="nil"/>
            </w:tcBorders>
            <w:shd w:val="clear" w:color="auto" w:fill="FFFFFF"/>
          </w:tcPr>
          <w:p w:rsidR="003E67D2" w:rsidRPr="00F41187" w:rsidRDefault="003E67D2" w:rsidP="007757CE">
            <w:pPr>
              <w:spacing w:before="120" w:after="240"/>
            </w:pPr>
            <w:r w:rsidRPr="00F41187">
              <w:rPr>
                <w:b/>
                <w:bCs/>
              </w:rPr>
              <w:t>Decisão:</w:t>
            </w:r>
          </w:p>
        </w:tc>
        <w:tc>
          <w:tcPr>
            <w:tcW w:w="7101" w:type="dxa"/>
            <w:tcBorders>
              <w:top w:val="nil"/>
              <w:left w:val="nil"/>
              <w:bottom w:val="nil"/>
              <w:right w:val="nil"/>
            </w:tcBorders>
            <w:shd w:val="clear" w:color="auto" w:fill="FFFFFF"/>
          </w:tcPr>
          <w:p w:rsidR="003E67D2" w:rsidRPr="00F41187" w:rsidRDefault="003E67D2" w:rsidP="007757CE">
            <w:pPr>
              <w:spacing w:before="120" w:after="240"/>
            </w:pPr>
            <w:r w:rsidRPr="00F41187">
              <w:t>Troca de pontos de vista</w:t>
            </w:r>
          </w:p>
        </w:tc>
      </w:tr>
    </w:tbl>
    <w:p w:rsidR="003E67D2" w:rsidRPr="00F41187" w:rsidRDefault="003E67D2" w:rsidP="003E67D2">
      <w:pPr>
        <w:autoSpaceDE w:val="0"/>
        <w:autoSpaceDN w:val="0"/>
        <w:adjustRightInd w:val="0"/>
      </w:pPr>
      <w:r w:rsidRPr="00F41187">
        <w:t xml:space="preserve">Intervenções: </w:t>
      </w:r>
    </w:p>
    <w:p w:rsidR="003E67D2" w:rsidRPr="00F41187" w:rsidRDefault="003E67D2" w:rsidP="003E67D2">
      <w:pPr>
        <w:autoSpaceDE w:val="0"/>
        <w:autoSpaceDN w:val="0"/>
        <w:adjustRightInd w:val="0"/>
      </w:pPr>
    </w:p>
    <w:p w:rsidR="003E67D2" w:rsidRPr="00F41187" w:rsidRDefault="003E67D2" w:rsidP="003E67D2">
      <w:pPr>
        <w:autoSpaceDE w:val="0"/>
        <w:autoSpaceDN w:val="0"/>
        <w:adjustRightInd w:val="0"/>
        <w:rPr>
          <w:bCs/>
        </w:rPr>
      </w:pPr>
      <w:r w:rsidRPr="00F41187">
        <w:t>Isabel García Muñoz, Pietro Russo (TCE), Viola Von Cramon</w:t>
      </w:r>
      <w:r w:rsidRPr="00F41187">
        <w:noBreakHyphen/>
        <w:t>Taubadel, José Manuel Fernandes, Sándor Rónai, Pierre Karleskind, Ryszard Czarnecki, Nicola De Michelis (Comissão Europeia, DG REGIO)</w:t>
      </w:r>
    </w:p>
    <w:p w:rsidR="003E67D2" w:rsidRPr="00F41187" w:rsidRDefault="003E67D2" w:rsidP="003E67D2">
      <w:pPr>
        <w:spacing w:before="240"/>
        <w:ind w:left="708" w:hanging="708"/>
      </w:pPr>
      <w:r w:rsidRPr="00F41187">
        <w:rPr>
          <w:b/>
          <w:bCs/>
        </w:rPr>
        <w:lastRenderedPageBreak/>
        <w:t>12.</w:t>
      </w:r>
      <w:r w:rsidRPr="00F41187">
        <w:tab/>
      </w:r>
      <w:r w:rsidRPr="00F41187">
        <w:rPr>
          <w:b/>
          <w:bCs/>
        </w:rPr>
        <w:t>Comunicações da presidência: comunicação dos resultados do segundo período de votação</w:t>
      </w:r>
    </w:p>
    <w:p w:rsidR="003E67D2" w:rsidRPr="00F41187" w:rsidRDefault="003E67D2" w:rsidP="003E67D2">
      <w:pPr>
        <w:spacing w:before="240"/>
        <w:ind w:left="708" w:hanging="708"/>
      </w:pPr>
      <w:r w:rsidRPr="00F41187">
        <w:rPr>
          <w:b/>
          <w:bCs/>
        </w:rPr>
        <w:t>13.</w:t>
      </w:r>
      <w:r w:rsidRPr="00F41187">
        <w:tab/>
      </w:r>
      <w:r w:rsidRPr="00F41187">
        <w:rPr>
          <w:b/>
          <w:bCs/>
        </w:rPr>
        <w:t>Diversos</w:t>
      </w:r>
    </w:p>
    <w:p w:rsidR="003E67D2" w:rsidRPr="00F41187" w:rsidRDefault="003E67D2" w:rsidP="003E67D2">
      <w:pPr>
        <w:spacing w:before="240"/>
        <w:ind w:left="708" w:hanging="708"/>
      </w:pPr>
      <w:r w:rsidRPr="00F41187">
        <w:rPr>
          <w:b/>
          <w:bCs/>
        </w:rPr>
        <w:t>14.</w:t>
      </w:r>
      <w:r w:rsidRPr="00F41187">
        <w:tab/>
      </w:r>
      <w:r w:rsidRPr="00F41187">
        <w:rPr>
          <w:b/>
          <w:bCs/>
        </w:rPr>
        <w:t>Próximas reuniões</w:t>
      </w:r>
    </w:p>
    <w:p w:rsidR="003E67D2" w:rsidRPr="00F41187" w:rsidRDefault="0070694C" w:rsidP="0070694C">
      <w:pPr>
        <w:tabs>
          <w:tab w:val="left" w:pos="1100"/>
          <w:tab w:val="right" w:pos="9200"/>
        </w:tabs>
        <w:autoSpaceDE w:val="0"/>
        <w:autoSpaceDN w:val="0"/>
        <w:adjustRightInd w:val="0"/>
        <w:ind w:left="1100" w:hanging="400"/>
      </w:pPr>
      <w:r w:rsidRPr="00F41187">
        <w:rPr>
          <w:rFonts w:ascii="Symbol" w:hAnsi="Symbol"/>
        </w:rPr>
        <w:t></w:t>
      </w:r>
      <w:r w:rsidRPr="00F41187">
        <w:rPr>
          <w:rFonts w:ascii="Symbol" w:hAnsi="Symbol"/>
        </w:rPr>
        <w:tab/>
      </w:r>
      <w:r w:rsidRPr="00F41187">
        <w:t>28 de outubro de 2020, das 13.45 às 15.45 e das 16.45 às 18.45</w:t>
      </w:r>
    </w:p>
    <w:p w:rsidR="003E67D2" w:rsidRPr="00F41187" w:rsidRDefault="0070694C" w:rsidP="0070694C">
      <w:pPr>
        <w:tabs>
          <w:tab w:val="left" w:pos="1100"/>
          <w:tab w:val="right" w:pos="9200"/>
        </w:tabs>
        <w:autoSpaceDE w:val="0"/>
        <w:autoSpaceDN w:val="0"/>
        <w:adjustRightInd w:val="0"/>
        <w:ind w:left="1100" w:hanging="400"/>
      </w:pPr>
      <w:r w:rsidRPr="00F41187">
        <w:rPr>
          <w:rFonts w:ascii="Symbol" w:hAnsi="Symbol"/>
        </w:rPr>
        <w:t></w:t>
      </w:r>
      <w:r w:rsidRPr="00F41187">
        <w:rPr>
          <w:rFonts w:ascii="Symbol" w:hAnsi="Symbol"/>
        </w:rPr>
        <w:tab/>
      </w:r>
      <w:r w:rsidRPr="00F41187">
        <w:t>29 de outubro de 2020, das 9.00 às 11.00 e das 11.30 às 12.30</w:t>
      </w:r>
    </w:p>
    <w:p w:rsidR="003E67D2" w:rsidRPr="00F41187" w:rsidRDefault="0070694C" w:rsidP="0070694C">
      <w:pPr>
        <w:tabs>
          <w:tab w:val="left" w:pos="1100"/>
          <w:tab w:val="right" w:pos="9200"/>
        </w:tabs>
        <w:autoSpaceDE w:val="0"/>
        <w:autoSpaceDN w:val="0"/>
        <w:adjustRightInd w:val="0"/>
        <w:ind w:left="1100" w:hanging="400"/>
      </w:pPr>
      <w:r w:rsidRPr="00F41187">
        <w:rPr>
          <w:rFonts w:ascii="Symbol" w:hAnsi="Symbol"/>
        </w:rPr>
        <w:t></w:t>
      </w:r>
      <w:r w:rsidRPr="00F41187">
        <w:rPr>
          <w:rFonts w:ascii="Symbol" w:hAnsi="Symbol"/>
        </w:rPr>
        <w:tab/>
      </w:r>
      <w:r w:rsidRPr="00F41187">
        <w:t>10 de novembro de 2020, das 9.00 às 11.00, das 11.30 às 12.30, das 13.45 às 15.45 e das 16.45 às 18.45 (Bruxelas)</w:t>
      </w:r>
    </w:p>
    <w:p w:rsidR="003E67D2" w:rsidRPr="00F41187" w:rsidRDefault="003E67D2" w:rsidP="003E67D2"/>
    <w:p w:rsidR="003E67D2" w:rsidRPr="00F41187" w:rsidRDefault="003E67D2" w:rsidP="003E67D2">
      <w:pPr>
        <w:tabs>
          <w:tab w:val="left" w:pos="1100"/>
          <w:tab w:val="right" w:pos="9200"/>
        </w:tabs>
      </w:pPr>
      <w:r w:rsidRPr="00F41187">
        <w:t>A reunião é encerrada às 18.52.</w:t>
      </w:r>
    </w:p>
    <w:p w:rsidR="003E67D2" w:rsidRPr="00F41187" w:rsidRDefault="003E67D2" w:rsidP="003E67D2"/>
    <w:p w:rsidR="003E67D2" w:rsidRPr="00F41187" w:rsidRDefault="003E67D2" w:rsidP="003E67D2"/>
    <w:p w:rsidR="00CA70CB" w:rsidRPr="00F41187" w:rsidRDefault="00CA70CB">
      <w:pPr>
        <w:tabs>
          <w:tab w:val="left" w:pos="-1057"/>
          <w:tab w:val="left" w:pos="-720"/>
          <w:tab w:val="left" w:pos="0"/>
          <w:tab w:val="left" w:pos="720"/>
          <w:tab w:val="left" w:pos="2154"/>
          <w:tab w:val="left" w:pos="2880"/>
        </w:tabs>
        <w:sectPr w:rsidR="00CA70CB" w:rsidRPr="00F41187" w:rsidSect="00311076">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40" w:code="9"/>
          <w:pgMar w:top="1134" w:right="1418" w:bottom="1418" w:left="1418" w:header="1134" w:footer="567" w:gutter="0"/>
          <w:cols w:space="720"/>
          <w:titlePg/>
          <w:docGrid w:linePitch="326"/>
        </w:sectPr>
      </w:pPr>
    </w:p>
    <w:p w:rsidR="00DC63A9" w:rsidRPr="00F41187" w:rsidRDefault="00A65DED" w:rsidP="00DC63A9">
      <w:pPr>
        <w:pStyle w:val="RollCallHeading"/>
      </w:pPr>
      <w:r w:rsidRPr="00F41187">
        <w:lastRenderedPageBreak/>
        <w:t>Resultados das votações nominais</w:t>
      </w:r>
    </w:p>
    <w:p w:rsidR="008D7AD4" w:rsidRPr="00F41187" w:rsidRDefault="00A65DED" w:rsidP="00DC63A9">
      <w:pPr>
        <w:pStyle w:val="RollCallContents"/>
      </w:pPr>
      <w:r w:rsidRPr="00F41187">
        <w:t>Índice</w:t>
      </w:r>
    </w:p>
    <w:p w:rsidR="00F41187" w:rsidRDefault="00A16FC5">
      <w:pPr>
        <w:pStyle w:val="TOC1"/>
        <w:tabs>
          <w:tab w:val="left" w:pos="426"/>
          <w:tab w:val="right" w:leader="dot" w:pos="9061"/>
        </w:tabs>
        <w:rPr>
          <w:rFonts w:asciiTheme="minorHAnsi" w:eastAsiaTheme="minorEastAsia" w:hAnsiTheme="minorHAnsi" w:cstheme="minorBidi"/>
          <w:noProof/>
          <w:snapToGrid/>
          <w:sz w:val="22"/>
          <w:szCs w:val="22"/>
          <w:lang w:val="en-GB" w:eastAsia="en-GB"/>
        </w:rPr>
      </w:pPr>
      <w:r w:rsidRPr="00F41187">
        <w:fldChar w:fldCharType="begin"/>
      </w:r>
      <w:r w:rsidRPr="00F41187">
        <w:instrText xml:space="preserve"> TOC \t "RollCallTitle</w:instrText>
      </w:r>
      <w:r w:rsidR="00CD4116" w:rsidRPr="00F41187">
        <w:instrText>;</w:instrText>
      </w:r>
      <w:r w:rsidRPr="00F41187">
        <w:instrText>1</w:instrText>
      </w:r>
      <w:r w:rsidR="00CD4116" w:rsidRPr="00F41187">
        <w:instrText>;</w:instrText>
      </w:r>
      <w:r w:rsidRPr="00F41187">
        <w:instrText>RollCallSubtitle</w:instrText>
      </w:r>
      <w:r w:rsidR="00CD4116" w:rsidRPr="00F41187">
        <w:instrText>;</w:instrText>
      </w:r>
      <w:r w:rsidRPr="00F41187">
        <w:instrText xml:space="preserve">2" </w:instrText>
      </w:r>
      <w:r w:rsidRPr="00F41187">
        <w:fldChar w:fldCharType="separate"/>
      </w:r>
      <w:r w:rsidR="00F41187" w:rsidRPr="000461E6">
        <w:rPr>
          <w:b/>
          <w:noProof/>
        </w:rPr>
        <w:t>3.</w:t>
      </w:r>
      <w:r w:rsidR="00F41187">
        <w:rPr>
          <w:rFonts w:asciiTheme="minorHAnsi" w:eastAsiaTheme="minorEastAsia" w:hAnsiTheme="minorHAnsi" w:cstheme="minorBidi"/>
          <w:noProof/>
          <w:snapToGrid/>
          <w:sz w:val="22"/>
          <w:szCs w:val="22"/>
          <w:lang w:val="en-GB" w:eastAsia="en-GB"/>
        </w:rPr>
        <w:tab/>
      </w:r>
      <w:r w:rsidR="00F41187" w:rsidRPr="000461E6">
        <w:rPr>
          <w:b/>
          <w:noProof/>
        </w:rPr>
        <w:t>Criação de um Mecanismo de Recuperação e Resiliência</w:t>
      </w:r>
      <w:r w:rsidR="00F41187">
        <w:rPr>
          <w:noProof/>
        </w:rPr>
        <w:t xml:space="preserve"> – CONT/9/03552</w:t>
      </w:r>
      <w:r w:rsidR="00F41187">
        <w:rPr>
          <w:noProof/>
        </w:rPr>
        <w:tab/>
      </w:r>
      <w:r w:rsidR="00F41187">
        <w:rPr>
          <w:noProof/>
        </w:rPr>
        <w:fldChar w:fldCharType="begin"/>
      </w:r>
      <w:r w:rsidR="00F41187">
        <w:rPr>
          <w:noProof/>
        </w:rPr>
        <w:instrText xml:space="preserve"> PAGEREF _Toc59470507 \h </w:instrText>
      </w:r>
      <w:r w:rsidR="00F41187">
        <w:rPr>
          <w:noProof/>
        </w:rPr>
      </w:r>
      <w:r w:rsidR="00F41187">
        <w:rPr>
          <w:noProof/>
        </w:rPr>
        <w:fldChar w:fldCharType="separate"/>
      </w:r>
      <w:r w:rsidR="00F41187">
        <w:rPr>
          <w:noProof/>
        </w:rPr>
        <w:t>7</w:t>
      </w:r>
      <w:r w:rsidR="00F41187">
        <w:rPr>
          <w:noProof/>
        </w:rPr>
        <w:fldChar w:fldCharType="end"/>
      </w:r>
    </w:p>
    <w:p w:rsidR="00F41187" w:rsidRDefault="00F41187">
      <w:pPr>
        <w:pStyle w:val="TOC2"/>
        <w:tabs>
          <w:tab w:val="left" w:pos="1100"/>
          <w:tab w:val="right" w:leader="dot" w:pos="9061"/>
        </w:tabs>
        <w:rPr>
          <w:rFonts w:asciiTheme="minorHAnsi" w:eastAsiaTheme="minorEastAsia" w:hAnsiTheme="minorHAnsi" w:cstheme="minorBidi"/>
          <w:noProof/>
          <w:snapToGrid/>
          <w:sz w:val="22"/>
          <w:szCs w:val="22"/>
          <w:lang w:val="en-GB" w:eastAsia="en-GB"/>
        </w:rPr>
      </w:pPr>
      <w:r>
        <w:rPr>
          <w:noProof/>
        </w:rPr>
        <w:t>3.1.</w:t>
      </w:r>
      <w:r>
        <w:rPr>
          <w:rFonts w:asciiTheme="minorHAnsi" w:eastAsiaTheme="minorEastAsia" w:hAnsiTheme="minorHAnsi" w:cstheme="minorBidi"/>
          <w:noProof/>
          <w:snapToGrid/>
          <w:sz w:val="22"/>
          <w:szCs w:val="22"/>
          <w:lang w:val="en-GB" w:eastAsia="en-GB"/>
        </w:rPr>
        <w:tab/>
      </w:r>
      <w:r>
        <w:rPr>
          <w:noProof/>
        </w:rPr>
        <w:t>Votação final</w:t>
      </w:r>
      <w:r>
        <w:rPr>
          <w:noProof/>
        </w:rPr>
        <w:tab/>
      </w:r>
      <w:r>
        <w:rPr>
          <w:noProof/>
        </w:rPr>
        <w:fldChar w:fldCharType="begin"/>
      </w:r>
      <w:r>
        <w:rPr>
          <w:noProof/>
        </w:rPr>
        <w:instrText xml:space="preserve"> PAGEREF _Toc59470508 \h </w:instrText>
      </w:r>
      <w:r>
        <w:rPr>
          <w:noProof/>
        </w:rPr>
      </w:r>
      <w:r>
        <w:rPr>
          <w:noProof/>
        </w:rPr>
        <w:fldChar w:fldCharType="separate"/>
      </w:r>
      <w:r>
        <w:rPr>
          <w:noProof/>
        </w:rPr>
        <w:t>7</w:t>
      </w:r>
      <w:r>
        <w:rPr>
          <w:noProof/>
        </w:rPr>
        <w:fldChar w:fldCharType="end"/>
      </w:r>
    </w:p>
    <w:p w:rsidR="00F41187" w:rsidRDefault="00F41187">
      <w:pPr>
        <w:pStyle w:val="TOC1"/>
        <w:tabs>
          <w:tab w:val="left" w:pos="426"/>
          <w:tab w:val="right" w:leader="dot" w:pos="9061"/>
        </w:tabs>
        <w:rPr>
          <w:rFonts w:asciiTheme="minorHAnsi" w:eastAsiaTheme="minorEastAsia" w:hAnsiTheme="minorHAnsi" w:cstheme="minorBidi"/>
          <w:noProof/>
          <w:snapToGrid/>
          <w:sz w:val="22"/>
          <w:szCs w:val="22"/>
          <w:lang w:val="en-GB" w:eastAsia="en-GB"/>
        </w:rPr>
      </w:pPr>
      <w:r w:rsidRPr="000461E6">
        <w:rPr>
          <w:b/>
          <w:noProof/>
        </w:rPr>
        <w:t>4.</w:t>
      </w:r>
      <w:r>
        <w:rPr>
          <w:rFonts w:asciiTheme="minorHAnsi" w:eastAsiaTheme="minorEastAsia" w:hAnsiTheme="minorHAnsi" w:cstheme="minorBidi"/>
          <w:noProof/>
          <w:snapToGrid/>
          <w:sz w:val="22"/>
          <w:szCs w:val="22"/>
          <w:lang w:val="en-GB" w:eastAsia="en-GB"/>
        </w:rPr>
        <w:tab/>
      </w:r>
      <w:r w:rsidRPr="000461E6">
        <w:rPr>
          <w:b/>
          <w:noProof/>
        </w:rPr>
        <w:t>Inquéritos efetuados pelo Organismo Europeu de Luta Antifraude (OLAF) no que respeita à cooperação com a Procuradoria Europeia e à eficácia dos inquéritos do OLAF</w:t>
      </w:r>
      <w:r>
        <w:rPr>
          <w:noProof/>
        </w:rPr>
        <w:t xml:space="preserve"> -  CONT/9/01460</w:t>
      </w:r>
      <w:r>
        <w:rPr>
          <w:noProof/>
        </w:rPr>
        <w:tab/>
      </w:r>
      <w:r>
        <w:rPr>
          <w:noProof/>
        </w:rPr>
        <w:fldChar w:fldCharType="begin"/>
      </w:r>
      <w:r>
        <w:rPr>
          <w:noProof/>
        </w:rPr>
        <w:instrText xml:space="preserve"> PAGEREF _Toc59470509 \h </w:instrText>
      </w:r>
      <w:r>
        <w:rPr>
          <w:noProof/>
        </w:rPr>
      </w:r>
      <w:r>
        <w:rPr>
          <w:noProof/>
        </w:rPr>
        <w:fldChar w:fldCharType="separate"/>
      </w:r>
      <w:r>
        <w:rPr>
          <w:noProof/>
        </w:rPr>
        <w:t>8</w:t>
      </w:r>
      <w:r>
        <w:rPr>
          <w:noProof/>
        </w:rPr>
        <w:fldChar w:fldCharType="end"/>
      </w:r>
    </w:p>
    <w:p w:rsidR="00F41187" w:rsidRDefault="00F41187">
      <w:pPr>
        <w:pStyle w:val="TOC2"/>
        <w:tabs>
          <w:tab w:val="left" w:pos="1100"/>
          <w:tab w:val="right" w:leader="dot" w:pos="9061"/>
        </w:tabs>
        <w:rPr>
          <w:rFonts w:asciiTheme="minorHAnsi" w:eastAsiaTheme="minorEastAsia" w:hAnsiTheme="minorHAnsi" w:cstheme="minorBidi"/>
          <w:noProof/>
          <w:snapToGrid/>
          <w:sz w:val="22"/>
          <w:szCs w:val="22"/>
          <w:lang w:val="en-GB" w:eastAsia="en-GB"/>
        </w:rPr>
      </w:pPr>
      <w:r>
        <w:rPr>
          <w:noProof/>
        </w:rPr>
        <w:t>4.1.</w:t>
      </w:r>
      <w:r>
        <w:rPr>
          <w:rFonts w:asciiTheme="minorHAnsi" w:eastAsiaTheme="minorEastAsia" w:hAnsiTheme="minorHAnsi" w:cstheme="minorBidi"/>
          <w:noProof/>
          <w:snapToGrid/>
          <w:sz w:val="22"/>
          <w:szCs w:val="22"/>
          <w:lang w:val="en-GB" w:eastAsia="en-GB"/>
        </w:rPr>
        <w:tab/>
      </w:r>
      <w:r>
        <w:rPr>
          <w:noProof/>
        </w:rPr>
        <w:t>Votação final</w:t>
      </w:r>
      <w:r>
        <w:rPr>
          <w:noProof/>
        </w:rPr>
        <w:tab/>
      </w:r>
      <w:r>
        <w:rPr>
          <w:noProof/>
        </w:rPr>
        <w:fldChar w:fldCharType="begin"/>
      </w:r>
      <w:r>
        <w:rPr>
          <w:noProof/>
        </w:rPr>
        <w:instrText xml:space="preserve"> PAGEREF _Toc59470510 \h </w:instrText>
      </w:r>
      <w:r>
        <w:rPr>
          <w:noProof/>
        </w:rPr>
      </w:r>
      <w:r>
        <w:rPr>
          <w:noProof/>
        </w:rPr>
        <w:fldChar w:fldCharType="separate"/>
      </w:r>
      <w:r>
        <w:rPr>
          <w:noProof/>
        </w:rPr>
        <w:t>8</w:t>
      </w:r>
      <w:r>
        <w:rPr>
          <w:noProof/>
        </w:rPr>
        <w:fldChar w:fldCharType="end"/>
      </w:r>
    </w:p>
    <w:p w:rsidR="002659A2" w:rsidRPr="00F41187" w:rsidRDefault="00A16FC5" w:rsidP="00A16FC5">
      <w:r w:rsidRPr="00F41187">
        <w:fldChar w:fldCharType="end"/>
      </w:r>
    </w:p>
    <w:p w:rsidR="008D7AD4" w:rsidRPr="00F41187" w:rsidRDefault="008D7AD4" w:rsidP="00AD4CEB">
      <w:pPr>
        <w:pStyle w:val="Normal12a"/>
      </w:pPr>
    </w:p>
    <w:p w:rsidR="008D7AD4" w:rsidRPr="00F41187" w:rsidRDefault="00A65DED" w:rsidP="00C36FC4">
      <w:r w:rsidRPr="00F41187">
        <w:t>Legenda dos símbolos utilizados:</w:t>
      </w:r>
    </w:p>
    <w:p w:rsidR="00C36FC4" w:rsidRPr="00F41187" w:rsidRDefault="00A65DED" w:rsidP="000A769E">
      <w:pPr>
        <w:pStyle w:val="RollCallTabs"/>
      </w:pPr>
      <w:r w:rsidRPr="00F41187">
        <w:t>+</w:t>
      </w:r>
      <w:r w:rsidRPr="00F41187">
        <w:tab/>
        <w:t>:</w:t>
      </w:r>
      <w:r w:rsidRPr="00F41187">
        <w:tab/>
        <w:t>votos a favor</w:t>
      </w:r>
    </w:p>
    <w:p w:rsidR="00C36FC4" w:rsidRPr="00F41187" w:rsidRDefault="00A65DED" w:rsidP="000A769E">
      <w:pPr>
        <w:pStyle w:val="RollCallTabs"/>
      </w:pPr>
      <w:r w:rsidRPr="00F41187">
        <w:t>-</w:t>
      </w:r>
      <w:r w:rsidRPr="00F41187">
        <w:tab/>
        <w:t>:</w:t>
      </w:r>
      <w:r w:rsidRPr="00F41187">
        <w:tab/>
        <w:t>votos contra</w:t>
      </w:r>
    </w:p>
    <w:p w:rsidR="00C36FC4" w:rsidRPr="00F41187" w:rsidRDefault="00A65DED" w:rsidP="000A769E">
      <w:pPr>
        <w:pStyle w:val="RollCallTabs"/>
      </w:pPr>
      <w:r w:rsidRPr="00F41187">
        <w:t>0</w:t>
      </w:r>
      <w:r w:rsidRPr="00F41187">
        <w:tab/>
        <w:t>:</w:t>
      </w:r>
      <w:r w:rsidRPr="00F41187">
        <w:tab/>
        <w:t>abstenções</w:t>
      </w:r>
    </w:p>
    <w:p w:rsidR="008D7AD4" w:rsidRPr="00F41187" w:rsidRDefault="008D7AD4" w:rsidP="00D6668F">
      <w:pPr>
        <w:pStyle w:val="RollCallTitle"/>
      </w:pPr>
      <w:r w:rsidRPr="00F41187">
        <w:br w:type="page"/>
      </w:r>
    </w:p>
    <w:p w:rsidR="005C25B9" w:rsidRPr="00F41187" w:rsidRDefault="005C25B9" w:rsidP="005C25B9">
      <w:pPr>
        <w:pStyle w:val="RollCallTitle"/>
        <w:ind w:left="720" w:hanging="720"/>
        <w:rPr>
          <w:b/>
          <w:bCs/>
          <w:szCs w:val="24"/>
        </w:rPr>
      </w:pPr>
      <w:bookmarkStart w:id="1" w:name="_Toc53651548"/>
      <w:bookmarkStart w:id="2" w:name="_Toc39762018"/>
      <w:bookmarkStart w:id="3" w:name="_Toc59470507"/>
      <w:r w:rsidRPr="00F41187">
        <w:rPr>
          <w:b/>
          <w:szCs w:val="24"/>
        </w:rPr>
        <w:lastRenderedPageBreak/>
        <w:t>3.</w:t>
      </w:r>
      <w:r w:rsidRPr="00F41187">
        <w:rPr>
          <w:b/>
          <w:szCs w:val="24"/>
        </w:rPr>
        <w:tab/>
      </w:r>
      <w:r w:rsidRPr="00F41187">
        <w:rPr>
          <w:b/>
        </w:rPr>
        <w:t>Criação de um Mecanismo de Recuperação e Resiliência</w:t>
      </w:r>
      <w:r w:rsidRPr="00F41187">
        <w:t xml:space="preserve"> – CONT/9/03552</w:t>
      </w:r>
      <w:bookmarkEnd w:id="1"/>
      <w:bookmarkEnd w:id="3"/>
    </w:p>
    <w:p w:rsidR="005C25B9" w:rsidRPr="00F41187" w:rsidRDefault="005C25B9" w:rsidP="005C25B9">
      <w:pPr>
        <w:pStyle w:val="RollCallSubtitle"/>
        <w:rPr>
          <w:szCs w:val="24"/>
        </w:rPr>
      </w:pPr>
      <w:bookmarkStart w:id="4" w:name="_Toc53651549"/>
      <w:bookmarkStart w:id="5" w:name="_Toc59470508"/>
      <w:bookmarkEnd w:id="2"/>
      <w:r w:rsidRPr="00F41187">
        <w:t>3.1.</w:t>
      </w:r>
      <w:r w:rsidRPr="00F41187">
        <w:tab/>
      </w:r>
      <w:bookmarkStart w:id="6" w:name="_Toc39762019"/>
      <w:r w:rsidRPr="00F41187">
        <w:t>Votação final</w:t>
      </w:r>
      <w:bookmarkEnd w:id="6"/>
      <w:bookmarkEnd w:id="4"/>
      <w:bookmarkEnd w:id="5"/>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1358"/>
        <w:gridCol w:w="7697"/>
      </w:tblGrid>
      <w:tr w:rsidR="005C25B9" w:rsidRPr="00F41187" w:rsidTr="00666667">
        <w:tc>
          <w:tcPr>
            <w:tcW w:w="750" w:type="pct"/>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22</w:t>
            </w:r>
          </w:p>
        </w:tc>
        <w:tc>
          <w:tcPr>
            <w:tcW w:w="4250" w:type="pct"/>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PPE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Lefteris CHRISTOFOROU, José Manuel FERNANDES, Monika HOHLMEIER, Marian-Jean MARINESCU, Angelika WINZIG, Tomáš ZDECHOVSKÝ</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S&amp;D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Caterina CHINNICI, Corina CREȚU, Isabel GARCÍA MUÑOZ, Maria GRAPINI, Tsvetelina PENKOVA, Lara WOLTERS</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RENEW</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Olivier CHASTEL, Martina DLABAJOVÁ, Pierre KARLESKIND, Ramona STRUGARIU</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Verts/ALE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Daniel FREUND, Mikuláš PEKSA, Viola VON CRAMON-TAUBADEL</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EUL/NGL</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Luke Ming FLANAGAN, Younous OMARJEE</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NI</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Sabrina PIGNEDOLI</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3</w:t>
            </w:r>
          </w:p>
        </w:tc>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PPE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Tamás DEUTSCH</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ID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Joachim KUHS</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ECR</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Ryszard CZARNECKI</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2</w:t>
            </w:r>
          </w:p>
        </w:tc>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0</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ID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Matteo ADINOLFI, Jean-François JALKH</w:t>
            </w:r>
          </w:p>
        </w:tc>
      </w:tr>
    </w:tbl>
    <w:p w:rsidR="005C25B9" w:rsidRPr="00F41187" w:rsidRDefault="005C25B9" w:rsidP="005C25B9">
      <w:pPr>
        <w:rPr>
          <w:szCs w:val="24"/>
        </w:rPr>
      </w:pPr>
    </w:p>
    <w:p w:rsidR="005C25B9" w:rsidRPr="00F41187" w:rsidRDefault="005C25B9" w:rsidP="005C25B9">
      <w:pPr>
        <w:rPr>
          <w:szCs w:val="24"/>
        </w:rPr>
      </w:pPr>
      <w:r w:rsidRPr="00F41187">
        <w:br w:type="page"/>
      </w:r>
    </w:p>
    <w:p w:rsidR="005C25B9" w:rsidRPr="00F41187" w:rsidRDefault="005C25B9" w:rsidP="005C25B9">
      <w:pPr>
        <w:pStyle w:val="RollCallTitle"/>
        <w:ind w:left="720" w:hanging="720"/>
        <w:rPr>
          <w:bCs/>
          <w:szCs w:val="24"/>
        </w:rPr>
      </w:pPr>
      <w:bookmarkStart w:id="7" w:name="_Toc53651550"/>
      <w:bookmarkStart w:id="8" w:name="_Toc59470509"/>
      <w:r w:rsidRPr="00F41187">
        <w:rPr>
          <w:b/>
          <w:szCs w:val="24"/>
        </w:rPr>
        <w:lastRenderedPageBreak/>
        <w:t>4.</w:t>
      </w:r>
      <w:r w:rsidRPr="00F41187">
        <w:rPr>
          <w:b/>
          <w:szCs w:val="24"/>
        </w:rPr>
        <w:tab/>
        <w:t>Inquéritos efetuados pelo Organismo Europeu de Luta Antifraude (OLAF) no que respeita à cooperação com a Procuradoria Europeia e à eficácia dos inquéritos do OLAF</w:t>
      </w:r>
      <w:r w:rsidRPr="00F41187">
        <w:t xml:space="preserve"> -  CONT/9/01460</w:t>
      </w:r>
      <w:bookmarkEnd w:id="7"/>
      <w:bookmarkEnd w:id="8"/>
    </w:p>
    <w:p w:rsidR="005C25B9" w:rsidRPr="00F41187" w:rsidRDefault="005C25B9" w:rsidP="005C25B9">
      <w:pPr>
        <w:pStyle w:val="RollCallSubtitle"/>
        <w:rPr>
          <w:szCs w:val="24"/>
        </w:rPr>
      </w:pPr>
      <w:bookmarkStart w:id="9" w:name="_Toc53651551"/>
      <w:bookmarkStart w:id="10" w:name="_Toc59470510"/>
      <w:r w:rsidRPr="00F41187">
        <w:t>4.1.</w:t>
      </w:r>
      <w:r w:rsidRPr="00F41187">
        <w:tab/>
        <w:t>Votação final</w:t>
      </w:r>
      <w:bookmarkEnd w:id="9"/>
      <w:bookmarkEnd w:id="10"/>
    </w:p>
    <w:tbl>
      <w:tblPr>
        <w:tblW w:w="5000" w:type="pct"/>
        <w:tblBorders>
          <w:top w:val="single" w:sz="6" w:space="0" w:color="000000"/>
          <w:left w:val="single" w:sz="6" w:space="0" w:color="000000"/>
          <w:bottom w:val="single" w:sz="6" w:space="0" w:color="000000"/>
          <w:right w:val="single" w:sz="6" w:space="0" w:color="000000"/>
        </w:tblBorders>
        <w:tblCellMar>
          <w:top w:w="75" w:type="dxa"/>
          <w:left w:w="75" w:type="dxa"/>
          <w:bottom w:w="75" w:type="dxa"/>
          <w:right w:w="75" w:type="dxa"/>
        </w:tblCellMar>
        <w:tblLook w:val="04A0" w:firstRow="1" w:lastRow="0" w:firstColumn="1" w:lastColumn="0" w:noHBand="0" w:noVBand="1"/>
      </w:tblPr>
      <w:tblGrid>
        <w:gridCol w:w="1358"/>
        <w:gridCol w:w="7697"/>
      </w:tblGrid>
      <w:tr w:rsidR="005C25B9" w:rsidRPr="00F41187" w:rsidTr="00666667">
        <w:tc>
          <w:tcPr>
            <w:tcW w:w="750" w:type="pct"/>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25</w:t>
            </w:r>
          </w:p>
        </w:tc>
        <w:tc>
          <w:tcPr>
            <w:tcW w:w="4250" w:type="pct"/>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PPE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Lefteris CHRISTOFOROU, Tamás DEUTSCH, José Manuel FERNANDES, Niclas HERBST, Monika HOHLMEIER, Marian-Jean MARINESCU, Angelika WINZIG, Tomáš ZDECHOVSKÝ</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S&amp;D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Caterina CHINNICI, Corina CREȚU, Isabel GARCÍA MUÑOZ, Maria GRAPINI, Tsvetelina PENKOVA, Lara WOLTERS</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RENEW</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Olivier CHASTEL, Martina DLABAJOVÁ, Cristian GHINEA, Pierre KARLESKIND</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Verts/ALE</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Gwendoline DELBOS-CORFIELD, Mikuláš PEKSA, Viola VON CRAMON-TAUBADEL</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ECR</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Ryszard CZARNECKI</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EUL/NGL</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Luke Ming FLANAGAN, Younous OMARJEE</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NI</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Sabrina PIGNEDOLI</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3</w:t>
            </w:r>
          </w:p>
        </w:tc>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ID</w:t>
            </w:r>
          </w:p>
        </w:tc>
        <w:tc>
          <w:tcPr>
            <w:tcW w:w="0" w:type="auto"/>
            <w:tcBorders>
              <w:top w:val="single" w:sz="6" w:space="0" w:color="000000"/>
              <w:left w:val="single" w:sz="6" w:space="0" w:color="000000"/>
              <w:bottom w:val="single" w:sz="6" w:space="0" w:color="000000"/>
              <w:right w:val="single" w:sz="6" w:space="0" w:color="000000"/>
            </w:tcBorders>
            <w:hideMark/>
          </w:tcPr>
          <w:p w:rsidR="005C25B9" w:rsidRPr="00F41187" w:rsidRDefault="005C25B9" w:rsidP="00666667">
            <w:r w:rsidRPr="00F41187">
              <w:t>Matteo ADINOLFI, Jean-François JALKH, Joachim KUHS</w:t>
            </w:r>
          </w:p>
        </w:tc>
      </w:tr>
      <w:tr w:rsidR="005C25B9" w:rsidRPr="00F41187" w:rsidTr="00666667">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0</w:t>
            </w:r>
          </w:p>
        </w:tc>
        <w:tc>
          <w:tcPr>
            <w:tcW w:w="0" w:type="auto"/>
            <w:tcBorders>
              <w:top w:val="single" w:sz="6" w:space="0" w:color="000000"/>
              <w:left w:val="single" w:sz="6" w:space="0" w:color="000000"/>
              <w:bottom w:val="single" w:sz="6" w:space="0" w:color="000000"/>
              <w:right w:val="single" w:sz="6" w:space="0" w:color="000000"/>
            </w:tcBorders>
            <w:shd w:val="clear" w:color="auto" w:fill="C0C0C0"/>
            <w:hideMark/>
          </w:tcPr>
          <w:p w:rsidR="005C25B9" w:rsidRPr="00F41187" w:rsidRDefault="005C25B9" w:rsidP="00666667">
            <w:pPr>
              <w:jc w:val="center"/>
              <w:rPr>
                <w:b/>
                <w:bCs/>
              </w:rPr>
            </w:pPr>
            <w:r w:rsidRPr="00F41187">
              <w:rPr>
                <w:b/>
                <w:bCs/>
              </w:rPr>
              <w:t>0</w:t>
            </w:r>
          </w:p>
        </w:tc>
      </w:tr>
    </w:tbl>
    <w:p w:rsidR="005C25B9" w:rsidRPr="00F41187" w:rsidRDefault="005C25B9" w:rsidP="005C25B9">
      <w:pPr>
        <w:rPr>
          <w:szCs w:val="24"/>
        </w:rPr>
      </w:pPr>
    </w:p>
    <w:p w:rsidR="005C25B9" w:rsidRPr="00F41187" w:rsidRDefault="005C25B9" w:rsidP="005C25B9">
      <w:pPr>
        <w:pStyle w:val="RollCallSubtitle"/>
        <w:jc w:val="center"/>
      </w:pPr>
    </w:p>
    <w:p w:rsidR="001E4EBD" w:rsidRPr="00F41187" w:rsidRDefault="005C25B9" w:rsidP="005C25B9">
      <w:pPr>
        <w:tabs>
          <w:tab w:val="center" w:pos="4535"/>
        </w:tabs>
        <w:sectPr w:rsidR="001E4EBD" w:rsidRPr="00F41187" w:rsidSect="001E4EBD">
          <w:footnotePr>
            <w:numRestart w:val="eachSect"/>
          </w:footnotePr>
          <w:pgSz w:w="11907" w:h="16840" w:code="9"/>
          <w:pgMar w:top="1134" w:right="1418" w:bottom="1418" w:left="1418" w:header="567" w:footer="567" w:gutter="0"/>
          <w:cols w:space="720"/>
          <w:docGrid w:linePitch="326"/>
        </w:sectPr>
      </w:pPr>
      <w:r w:rsidRPr="00F41187">
        <w:tab/>
      </w:r>
    </w:p>
    <w:p w:rsidR="008452E8" w:rsidRPr="00F41187" w:rsidRDefault="00CC6E1E" w:rsidP="00E2660A">
      <w:pPr>
        <w:pStyle w:val="AttendancePVTitle"/>
      </w:pPr>
      <w:r w:rsidRPr="00F41187">
        <w:lastRenderedPageBreak/>
        <w:t>ПРИСЪСТВЕН ЛИСТ/LISTA DE ASISTENCIA/PREZENČNÍ LISTINA/DELTAGERLISTE/ ANWESENHEITSLISTE/KOHALOLIJATE NIMEKIRI/ΚΑΤΑΣΤΑΣΗ ΠΑΡΟΝΤΩΝ/RECORD OF ATTENDANCE/ LISTE DE PRÉSENCE/POPIS NAZOČNIH/ELENCO DI PRESENZA/APMEKLĒJUMU REĢISTRS/DALYVIŲ SĄRAŠAS/ JELENLÉTI ÍV/REĠISTRU TA' ATTENDENZA/PRESENTIELIJST/LISTA OBECNOŚCI/LISTA DE PRESENÇAS/ LISTĂ DE PREZENŢĂ/PREZENČNÁ LISTINA/SEZNAM NAVZOČIH/LÄSNÄOLOLISTA/NÄRVAROLISTA</w:t>
      </w: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auto"/>
          <w:insideV w:val="single" w:sz="4" w:space="0" w:color="auto"/>
        </w:tblBorders>
        <w:tblLayout w:type="fixed"/>
        <w:tblCellMar>
          <w:left w:w="153" w:type="dxa"/>
          <w:right w:w="153" w:type="dxa"/>
        </w:tblCellMar>
        <w:tblLook w:val="0000" w:firstRow="0" w:lastRow="0" w:firstColumn="0" w:lastColumn="0" w:noHBand="0" w:noVBand="0"/>
      </w:tblPr>
      <w:tblGrid>
        <w:gridCol w:w="9072"/>
      </w:tblGrid>
      <w:tr w:rsidR="008452E8" w:rsidRPr="00F41187">
        <w:trPr>
          <w:cantSplit/>
        </w:trPr>
        <w:tc>
          <w:tcPr>
            <w:tcW w:w="9072" w:type="dxa"/>
            <w:shd w:val="pct10" w:color="000000" w:fill="FFFFFF"/>
          </w:tcPr>
          <w:p w:rsidR="008452E8" w:rsidRPr="00F41187" w:rsidRDefault="00CC6E1E" w:rsidP="00AD4CEB">
            <w:pPr>
              <w:pStyle w:val="AttendancePVTable"/>
            </w:pPr>
            <w:r w:rsidRPr="00F41187">
              <w:t>Бюро/Mesa/Předsednictvo/Formandskabet/Vorstand/Juhatus/Προεδρείο/Bureau/Predsjedništvo/Ufficio di presidenza/Prezidijs/ Biuras/Elnökség/Prezydium/Birou/Predsedníctvo/Predsedstvo/Puheenjohtajisto/Presidiet (*)</w:t>
            </w:r>
          </w:p>
        </w:tc>
      </w:tr>
      <w:tr w:rsidR="008452E8" w:rsidRPr="00F41187">
        <w:trPr>
          <w:cantSplit/>
          <w:trHeight w:val="720"/>
        </w:trPr>
        <w:tc>
          <w:tcPr>
            <w:tcW w:w="9072" w:type="dxa"/>
            <w:shd w:val="clear" w:color="000000" w:fill="FFFFFF"/>
          </w:tcPr>
          <w:p w:rsidR="008452E8" w:rsidRPr="00F41187" w:rsidRDefault="00BE20BF" w:rsidP="005C25B9">
            <w:pPr>
              <w:pStyle w:val="AttendancePVTable"/>
            </w:pPr>
            <w:r w:rsidRPr="00F41187">
              <w:t>Isabel García Muñoz (1stVP), Caterina Chinnici (2</w:t>
            </w:r>
            <w:r w:rsidRPr="00F41187">
              <w:rPr>
                <w:vertAlign w:val="superscript"/>
              </w:rPr>
              <w:t>nd</w:t>
            </w:r>
            <w:r w:rsidRPr="00F41187">
              <w:t xml:space="preserve"> VP)</w:t>
            </w:r>
          </w:p>
        </w:tc>
      </w:tr>
      <w:tr w:rsidR="008452E8" w:rsidRPr="00F41187">
        <w:trPr>
          <w:cantSplit/>
        </w:trPr>
        <w:tc>
          <w:tcPr>
            <w:tcW w:w="9072" w:type="dxa"/>
            <w:shd w:val="pct10" w:color="000000" w:fill="FFFFFF"/>
          </w:tcPr>
          <w:p w:rsidR="008452E8" w:rsidRPr="00F41187" w:rsidRDefault="00CC6E1E" w:rsidP="00AD4CEB">
            <w:pPr>
              <w:pStyle w:val="AttendancePVTable"/>
            </w:pPr>
            <w:r w:rsidRPr="00F41187">
              <w:t>Членове/Diputados/Poslanci/Medlemmer/Mitglieder/Parlamendiliikmed/Βουλευτές/Members/Députés/Zastupnici/Deputati/Deputāti/ Nariai/Képviselõk/Membri/Leden/Posłowie/Deputados/Deputaţi/Jäsenet/Ledamöter</w:t>
            </w:r>
          </w:p>
        </w:tc>
      </w:tr>
      <w:tr w:rsidR="008452E8" w:rsidRPr="00F41187">
        <w:trPr>
          <w:cantSplit/>
          <w:trHeight w:val="1200"/>
        </w:trPr>
        <w:tc>
          <w:tcPr>
            <w:tcW w:w="9072" w:type="dxa"/>
            <w:shd w:val="clear" w:color="000000" w:fill="FFFFFF"/>
          </w:tcPr>
          <w:p w:rsidR="008452E8" w:rsidRPr="00F41187" w:rsidRDefault="00BE20BF" w:rsidP="00115496">
            <w:pPr>
              <w:pStyle w:val="AttendancePVTable"/>
            </w:pPr>
            <w:r w:rsidRPr="00F41187">
              <w:t>Lefteris Christoforou, Ryszard Czarnecki,  José Manuel Fernandes,, Luke Ming Flanagan, Michèle Rivasi, Angelika Winzig, Lara Wolters, Tomáš Zdechovský</w:t>
            </w:r>
          </w:p>
        </w:tc>
      </w:tr>
      <w:tr w:rsidR="008452E8" w:rsidRPr="00F41187">
        <w:trPr>
          <w:cantSplit/>
        </w:trPr>
        <w:tc>
          <w:tcPr>
            <w:tcW w:w="9072" w:type="dxa"/>
            <w:shd w:val="pct10" w:color="000000" w:fill="FFFFFF"/>
          </w:tcPr>
          <w:p w:rsidR="008452E8" w:rsidRPr="00F41187" w:rsidRDefault="00CC6E1E" w:rsidP="00AD4CEB">
            <w:pPr>
              <w:pStyle w:val="AttendancePVTable"/>
            </w:pPr>
            <w:r w:rsidRPr="00F41187">
              <w:t>Заместници/Suplentes/Náhradníci/Stedfortrædere/Stellvertreter/Asendusliikmed/Αναπληρωτές/Substitutes/Suppléants/Zamjenici/ Supplenti/Aizstājēji/Pavaduojantysnariai/Póttagok/Sostituti/Plaatsvervangers/Zastępcy/Membros suplentes/Supleanţi/Náhradníci/ Namestniki/Varajäsenet/Suppleanter</w:t>
            </w:r>
          </w:p>
        </w:tc>
      </w:tr>
      <w:tr w:rsidR="008452E8" w:rsidRPr="00F41187">
        <w:trPr>
          <w:cantSplit/>
          <w:trHeight w:val="1200"/>
        </w:trPr>
        <w:tc>
          <w:tcPr>
            <w:tcW w:w="9072" w:type="dxa"/>
            <w:shd w:val="clear" w:color="000000" w:fill="FFFFFF"/>
          </w:tcPr>
          <w:p w:rsidR="008452E8" w:rsidRPr="00F41187" w:rsidRDefault="002B7C53" w:rsidP="002B7C53">
            <w:pPr>
              <w:pStyle w:val="AttendancePVTable"/>
            </w:pPr>
            <w:r w:rsidRPr="00F41187">
              <w:t>Katalin Cseh, Pascal Durand, Maria Grapini, Marian</w:t>
            </w:r>
            <w:r w:rsidRPr="00F41187">
              <w:noBreakHyphen/>
              <w:t>Jean Marinescu,, Andrey Novakov, Mikuláš Peksa, Ramona Strugariu, Viola Von Cramon</w:t>
            </w:r>
            <w:r w:rsidRPr="00F41187">
              <w:noBreakHyphen/>
              <w:t xml:space="preserve">Taubadel </w:t>
            </w:r>
          </w:p>
        </w:tc>
      </w:tr>
    </w:tbl>
    <w:p w:rsidR="008452E8" w:rsidRPr="00F41187" w:rsidRDefault="008452E8" w:rsidP="005D5A08">
      <w:pPr>
        <w:pStyle w:val="AttendancePV"/>
      </w:pPr>
    </w:p>
    <w:p w:rsidR="008452E8" w:rsidRPr="00F41187" w:rsidRDefault="008452E8" w:rsidP="005D5A08">
      <w:pPr>
        <w:pStyle w:val="AttendancePV"/>
      </w:pPr>
    </w:p>
    <w:p w:rsidR="00714F25" w:rsidRPr="00F41187" w:rsidRDefault="00714F25" w:rsidP="005D5A08">
      <w:pPr>
        <w:pStyle w:val="AttendancePV"/>
      </w:pP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53" w:type="dxa"/>
          <w:right w:w="153" w:type="dxa"/>
        </w:tblCellMar>
        <w:tblLook w:val="0000" w:firstRow="0" w:lastRow="0" w:firstColumn="0" w:lastColumn="0" w:noHBand="0" w:noVBand="0"/>
      </w:tblPr>
      <w:tblGrid>
        <w:gridCol w:w="7513"/>
        <w:gridCol w:w="1559"/>
      </w:tblGrid>
      <w:tr w:rsidR="008452E8" w:rsidRPr="00F41187">
        <w:trPr>
          <w:cantSplit/>
        </w:trPr>
        <w:tc>
          <w:tcPr>
            <w:tcW w:w="9072" w:type="dxa"/>
            <w:gridSpan w:val="2"/>
            <w:shd w:val="pct10" w:color="000000" w:fill="FFFFFF"/>
          </w:tcPr>
          <w:p w:rsidR="008452E8" w:rsidRPr="00F41187" w:rsidRDefault="006D2283" w:rsidP="00467244">
            <w:pPr>
              <w:pStyle w:val="AttendancePVTable"/>
            </w:pPr>
            <w:r w:rsidRPr="00F41187">
              <w:t>209 (7)</w:t>
            </w:r>
          </w:p>
        </w:tc>
      </w:tr>
      <w:tr w:rsidR="008452E8" w:rsidRPr="00F41187">
        <w:trPr>
          <w:cantSplit/>
          <w:trHeight w:val="720"/>
        </w:trPr>
        <w:tc>
          <w:tcPr>
            <w:tcW w:w="9072" w:type="dxa"/>
            <w:gridSpan w:val="2"/>
          </w:tcPr>
          <w:p w:rsidR="008452E8" w:rsidRPr="00F41187" w:rsidRDefault="008452E8" w:rsidP="00AD4CEB">
            <w:pPr>
              <w:pStyle w:val="AttendancePVTable"/>
            </w:pPr>
          </w:p>
        </w:tc>
      </w:tr>
      <w:tr w:rsidR="008452E8" w:rsidRPr="00F41187">
        <w:trPr>
          <w:cantSplit/>
        </w:trPr>
        <w:tc>
          <w:tcPr>
            <w:tcW w:w="9072" w:type="dxa"/>
            <w:gridSpan w:val="2"/>
            <w:shd w:val="pct10" w:color="000000" w:fill="FFFFFF"/>
          </w:tcPr>
          <w:p w:rsidR="008452E8" w:rsidRPr="00F41187" w:rsidRDefault="00467244" w:rsidP="00AD4CEB">
            <w:pPr>
              <w:pStyle w:val="AttendancePVTable"/>
            </w:pPr>
            <w:r w:rsidRPr="00F41187">
              <w:t>216 (3)</w:t>
            </w:r>
          </w:p>
        </w:tc>
      </w:tr>
      <w:tr w:rsidR="000C1967" w:rsidRPr="00F41187">
        <w:trPr>
          <w:cantSplit/>
          <w:trHeight w:val="720"/>
        </w:trPr>
        <w:tc>
          <w:tcPr>
            <w:tcW w:w="9072" w:type="dxa"/>
            <w:gridSpan w:val="2"/>
          </w:tcPr>
          <w:p w:rsidR="000C1967" w:rsidRPr="00F41187" w:rsidRDefault="000C1967" w:rsidP="000C1967">
            <w:pPr>
              <w:pStyle w:val="AttendancePVTable"/>
            </w:pPr>
            <w:r w:rsidRPr="00F41187">
              <w:t>Carmen Avram, Franc Bogovič, Pascal Canfin, Isabel Carvalhais, Anna Deparnay</w:t>
            </w:r>
            <w:r w:rsidRPr="00F41187">
              <w:noBreakHyphen/>
              <w:t>Grunenberg, Marco Dreosto, Pietro Fiocchi, Jytte Guteland, Martin Hojsík, Petros Kokkalis,  Chris MacManus, Tilly Metz, Maria Noichl, Peter Liese, Mauri Pekkarinen, Sirpa Pietikäinen, Dragoș Pîslaru,Bronis Ropė, Simone Schmiedtbauer, Róża Thun und Hohenstein,Ruža Tomašić, Irène Tolleret, Inese Vaidere, Pernille Weiss</w:t>
            </w:r>
          </w:p>
        </w:tc>
      </w:tr>
      <w:tr w:rsidR="008452E8" w:rsidRPr="00F41187">
        <w:trPr>
          <w:cantSplit/>
        </w:trPr>
        <w:tc>
          <w:tcPr>
            <w:tcW w:w="9072" w:type="dxa"/>
            <w:gridSpan w:val="2"/>
            <w:shd w:val="pct10" w:color="000000" w:fill="FFFFFF"/>
          </w:tcPr>
          <w:p w:rsidR="008452E8" w:rsidRPr="00F41187" w:rsidRDefault="006D2283" w:rsidP="00467244">
            <w:pPr>
              <w:pStyle w:val="AttendancePVTable"/>
            </w:pPr>
            <w:r w:rsidRPr="00F41187">
              <w:t>56 (8) (Точка от дневния ред/Punto del orden del día/Bod pořadu jednání (OJ)/Punkt på dagsordenen/Tagesordnungspunkt/ Päevakorra punkt/Σημείο της ημερήσιας διάταξης/Agenda item/Point OJ/Točka dnevnog reda/Punto all'ordine del giorno/Darba kārtības punkts/Darbotvarkės punktas/Napirendi pont/Punt Aġenda/Agendapunt/Punkt porządku dziennego/Ponto OD/Punct de pe ordinea de zi/Bod programu schôdze/Točka UL/Esityslistan kohta/Punkt på föredragningslistan)</w:t>
            </w:r>
          </w:p>
        </w:tc>
      </w:tr>
      <w:tr w:rsidR="008452E8" w:rsidRPr="00F41187">
        <w:trPr>
          <w:trHeight w:val="720"/>
        </w:trPr>
        <w:tc>
          <w:tcPr>
            <w:tcW w:w="7513" w:type="dxa"/>
          </w:tcPr>
          <w:p w:rsidR="008452E8" w:rsidRPr="00F41187" w:rsidRDefault="008452E8" w:rsidP="00AD4CEB">
            <w:pPr>
              <w:pStyle w:val="AttendancePVTable"/>
            </w:pPr>
            <w:bookmarkStart w:id="11" w:name="DocEPLastPosition"/>
            <w:bookmarkEnd w:id="11"/>
          </w:p>
        </w:tc>
        <w:tc>
          <w:tcPr>
            <w:tcW w:w="1559" w:type="dxa"/>
          </w:tcPr>
          <w:p w:rsidR="008452E8" w:rsidRPr="00F41187" w:rsidRDefault="008452E8" w:rsidP="00AD4CEB">
            <w:pPr>
              <w:pStyle w:val="AttendancePVTable"/>
            </w:pPr>
          </w:p>
        </w:tc>
      </w:tr>
    </w:tbl>
    <w:p w:rsidR="008452E8" w:rsidRPr="00F41187" w:rsidRDefault="008452E8" w:rsidP="005D5A08">
      <w:pPr>
        <w:pStyle w:val="AttendancePV"/>
      </w:pPr>
    </w:p>
    <w:p w:rsidR="0083601E" w:rsidRPr="00F41187" w:rsidRDefault="0083601E" w:rsidP="005D5A08">
      <w:pPr>
        <w:pStyle w:val="AttendancePV"/>
      </w:pPr>
    </w:p>
    <w:p w:rsidR="0083601E" w:rsidRPr="00F41187" w:rsidRDefault="0083601E" w:rsidP="005D5A08">
      <w:pPr>
        <w:pStyle w:val="AttendancePV"/>
      </w:pPr>
    </w:p>
    <w:p w:rsidR="0083601E" w:rsidRPr="00F41187" w:rsidRDefault="0076749D" w:rsidP="005D5A08">
      <w:pPr>
        <w:pStyle w:val="AttendancePV"/>
      </w:pPr>
      <w:r w:rsidRPr="00F41187">
        <w:br w:type="page"/>
      </w: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53" w:type="dxa"/>
          <w:right w:w="153" w:type="dxa"/>
        </w:tblCellMar>
        <w:tblLook w:val="0000" w:firstRow="0" w:lastRow="0" w:firstColumn="0" w:lastColumn="0" w:noHBand="0" w:noVBand="0"/>
      </w:tblPr>
      <w:tblGrid>
        <w:gridCol w:w="9072"/>
      </w:tblGrid>
      <w:tr w:rsidR="0083601E" w:rsidRPr="00F41187" w:rsidTr="00B15084">
        <w:trPr>
          <w:cantSplit/>
        </w:trPr>
        <w:tc>
          <w:tcPr>
            <w:tcW w:w="9072" w:type="dxa"/>
            <w:shd w:val="pct10" w:color="000000" w:fill="FFFFFF"/>
          </w:tcPr>
          <w:p w:rsidR="0083601E" w:rsidRPr="00F41187" w:rsidRDefault="0083601E" w:rsidP="00AD4CEB">
            <w:pPr>
              <w:pStyle w:val="AttendancePVTable"/>
            </w:pPr>
            <w:r w:rsidRPr="00F41187">
              <w:lastRenderedPageBreak/>
              <w:t>Наблюдатели/Observadores/Pozorovatelé/Observatører/Beobachter/Vaatlejad/Παρατηρητές/Observers/Observateurs/Promatrači/ Osservatori/Novērotāji/Stebėtojai/Megfigyelők/Osservaturi/Waarnemers/Obserwatorzy/Observadores/Observatori/Pozorovatelia/ Opazovalci/Tarkkailijat/Observatörer</w:t>
            </w:r>
          </w:p>
        </w:tc>
      </w:tr>
      <w:tr w:rsidR="0083601E" w:rsidRPr="00F41187" w:rsidTr="00B15084">
        <w:trPr>
          <w:cantSplit/>
          <w:trHeight w:val="720"/>
        </w:trPr>
        <w:tc>
          <w:tcPr>
            <w:tcW w:w="9072" w:type="dxa"/>
          </w:tcPr>
          <w:p w:rsidR="0083601E" w:rsidRPr="00F41187" w:rsidRDefault="0083601E" w:rsidP="00CD4116">
            <w:pPr>
              <w:pStyle w:val="AttendancePVTable"/>
            </w:pPr>
          </w:p>
        </w:tc>
      </w:tr>
    </w:tbl>
    <w:p w:rsidR="008452E8" w:rsidRPr="00F41187" w:rsidRDefault="008452E8" w:rsidP="005D5A08">
      <w:pPr>
        <w:pStyle w:val="AttendancePV"/>
      </w:pPr>
    </w:p>
    <w:p w:rsidR="0083601E" w:rsidRPr="00F41187" w:rsidRDefault="0083601E" w:rsidP="005D5A08">
      <w:pPr>
        <w:pStyle w:val="AttendancePV"/>
      </w:pPr>
    </w:p>
    <w:p w:rsidR="00DB5CC6" w:rsidRPr="00F41187" w:rsidRDefault="00DB5CC6" w:rsidP="005D5A08">
      <w:pPr>
        <w:pStyle w:val="AttendancePV"/>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77" w:type="dxa"/>
          <w:right w:w="177" w:type="dxa"/>
        </w:tblCellMar>
        <w:tblLook w:val="0000" w:firstRow="0" w:lastRow="0" w:firstColumn="0" w:lastColumn="0" w:noHBand="0" w:noVBand="0"/>
      </w:tblPr>
      <w:tblGrid>
        <w:gridCol w:w="9072"/>
      </w:tblGrid>
      <w:tr w:rsidR="008452E8" w:rsidRPr="00F41187">
        <w:tc>
          <w:tcPr>
            <w:tcW w:w="9072" w:type="dxa"/>
            <w:shd w:val="pct10" w:color="000000" w:fill="FFFFFF"/>
          </w:tcPr>
          <w:p w:rsidR="008452E8" w:rsidRPr="00F41187" w:rsidRDefault="00CC6E1E" w:rsidP="00F51C97">
            <w:pPr>
              <w:pStyle w:val="AttendancePVTable"/>
            </w:pPr>
            <w:r w:rsidRPr="00F41187">
              <w:t>По покана на председателя/Por invitación del presidente/Na pozvání předsedy/Efter indbydelse fra formanden/Auf Einladung des Vorsitzenden/Esimehe kutsel/Με πρόσκληση του Προέδρου/At the invitation of the Chair/Sur l’invitation du président/ Na poziv predsjednika/Su invito del presidente/Pēc priekšsēdētāja uzaicinājuma/Pirmininkui pakvietus/Az elnök meghívására/ Fuq stedina taċ</w:t>
            </w:r>
            <w:r w:rsidRPr="00F41187">
              <w:noBreakHyphen/>
              <w:t>'Chairman'/Op uitnodiging van de voorzitter/Na zaproszenie Przewodniczącego/A convite do Presidente/La invitaţia preşedintelui/ Na pozvanie predsedu/Na povabilo predsednika/Puheenjohtajan kutsusta/På ordförandens inbjudan</w:t>
            </w:r>
          </w:p>
        </w:tc>
      </w:tr>
      <w:tr w:rsidR="008452E8" w:rsidRPr="00F41187">
        <w:trPr>
          <w:trHeight w:val="720"/>
        </w:trPr>
        <w:tc>
          <w:tcPr>
            <w:tcW w:w="9072" w:type="dxa"/>
          </w:tcPr>
          <w:p w:rsidR="008452E8" w:rsidRPr="00F41187" w:rsidRDefault="008452E8" w:rsidP="00AD4CEB">
            <w:pPr>
              <w:pStyle w:val="AttendancePVTable"/>
            </w:pPr>
          </w:p>
        </w:tc>
      </w:tr>
    </w:tbl>
    <w:p w:rsidR="008452E8" w:rsidRPr="00F41187" w:rsidRDefault="008452E8" w:rsidP="005D5A08">
      <w:pPr>
        <w:pStyle w:val="AttendancePV"/>
      </w:pPr>
    </w:p>
    <w:p w:rsidR="0083601E" w:rsidRPr="00F41187" w:rsidRDefault="0083601E" w:rsidP="005D5A08">
      <w:pPr>
        <w:pStyle w:val="AttendancePV"/>
      </w:pPr>
    </w:p>
    <w:p w:rsidR="008452E8" w:rsidRPr="00F41187" w:rsidRDefault="008452E8" w:rsidP="005D5A08">
      <w:pPr>
        <w:pStyle w:val="AttendancePV"/>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77" w:type="dxa"/>
          <w:right w:w="177" w:type="dxa"/>
        </w:tblCellMar>
        <w:tblLook w:val="0000" w:firstRow="0" w:lastRow="0" w:firstColumn="0" w:lastColumn="0" w:noHBand="0" w:noVBand="0"/>
      </w:tblPr>
      <w:tblGrid>
        <w:gridCol w:w="1701"/>
        <w:gridCol w:w="7371"/>
      </w:tblGrid>
      <w:tr w:rsidR="008452E8" w:rsidRPr="00F41187">
        <w:tc>
          <w:tcPr>
            <w:tcW w:w="9072" w:type="dxa"/>
            <w:gridSpan w:val="2"/>
            <w:shd w:val="pct10" w:color="000000" w:fill="FFFFFF"/>
          </w:tcPr>
          <w:p w:rsidR="008452E8" w:rsidRPr="00F41187" w:rsidRDefault="00CC6E1E" w:rsidP="00AD4CEB">
            <w:pPr>
              <w:pStyle w:val="AttendancePVTable"/>
            </w:pPr>
            <w:r w:rsidRPr="00F41187">
              <w:t>Съвет/Consejo/Rada/Rådet/Rat/Nõukogu/Συμβούλιο/Council/Conseil/Vijeće/Consiglio/Padome/Taryba/Tanács/Kunsill/Raad/ Conselho/Consiliu/Svet/Neuvosto/Rådet (*)</w:t>
            </w:r>
          </w:p>
        </w:tc>
      </w:tr>
      <w:tr w:rsidR="008452E8" w:rsidRPr="00F41187">
        <w:trPr>
          <w:trHeight w:val="720"/>
        </w:trPr>
        <w:tc>
          <w:tcPr>
            <w:tcW w:w="9072" w:type="dxa"/>
            <w:gridSpan w:val="2"/>
          </w:tcPr>
          <w:p w:rsidR="008452E8" w:rsidRPr="00F41187" w:rsidRDefault="008452E8" w:rsidP="00AD4CEB">
            <w:pPr>
              <w:pStyle w:val="AttendancePVTable"/>
            </w:pPr>
          </w:p>
        </w:tc>
      </w:tr>
      <w:tr w:rsidR="008452E8" w:rsidRPr="00F41187">
        <w:tc>
          <w:tcPr>
            <w:tcW w:w="9072" w:type="dxa"/>
            <w:gridSpan w:val="2"/>
            <w:shd w:val="pct10" w:color="000000" w:fill="FFFFFF"/>
          </w:tcPr>
          <w:p w:rsidR="008452E8" w:rsidRPr="00F41187" w:rsidRDefault="00CC6E1E" w:rsidP="002E2B09">
            <w:pPr>
              <w:pStyle w:val="AttendancePVTable"/>
            </w:pPr>
            <w:r w:rsidRPr="00F41187">
              <w:t>Комисия/Comisión/Komise/Kommissionen/Kommission/Komisjon/Επιτροπή/Commission/Komisija/Commissione/Bizottság/ Kummissjoni/Commissie/Komisja/Comissão/Comisie/Komisia/Komissio/Kommissionen (*)</w:t>
            </w:r>
          </w:p>
        </w:tc>
      </w:tr>
      <w:tr w:rsidR="008452E8" w:rsidRPr="00F41187">
        <w:trPr>
          <w:trHeight w:val="720"/>
        </w:trPr>
        <w:tc>
          <w:tcPr>
            <w:tcW w:w="9072" w:type="dxa"/>
            <w:gridSpan w:val="2"/>
          </w:tcPr>
          <w:p w:rsidR="008452E8" w:rsidRPr="00F41187" w:rsidRDefault="004176E2" w:rsidP="00BB057F">
            <w:pPr>
              <w:pStyle w:val="AttendancePVTable"/>
            </w:pPr>
            <w:r w:rsidRPr="00F41187">
              <w:t>Giorgio Chiarion Casoni (DG ECFIN), Philippe Chantraine ( DG MOVE), Nicolas De Michelis (DG REGIO)</w:t>
            </w:r>
          </w:p>
        </w:tc>
      </w:tr>
      <w:tr w:rsidR="008452E8" w:rsidRPr="00F41187">
        <w:tc>
          <w:tcPr>
            <w:tcW w:w="9072" w:type="dxa"/>
            <w:gridSpan w:val="2"/>
            <w:shd w:val="pct10" w:color="000000" w:fill="FFFFFF"/>
          </w:tcPr>
          <w:p w:rsidR="008452E8" w:rsidRPr="00F41187" w:rsidRDefault="00F0068D" w:rsidP="00F0068D">
            <w:pPr>
              <w:pStyle w:val="AttendancePVTable"/>
            </w:pPr>
            <w:r w:rsidRPr="00F41187">
              <w:t>Други институции и органи/Otras instituciones y organismos/Ostatní orgány a instituce/Andre institutioner og organer/Andere Organe und Einrichtungen/Muud institutsioonid ja organid/Λοιπά θεσμικά όργανα και οργανισμοί/Other institutions and bodies/Autres institutions et organes/Druge institucije i tijela/Altre istituzioni e altri organi/Citas iestādes un struktūras/Kitos institucijos ir įstaigos/ Más intézmények és szervek/Istituzzjonijiet u korpi oħra/Andere instellingen en organen/Inne instytucje i organy/Outras instituições e outros órgãos/Alte instituții și organe/Iné inštitúcie a orgány/Muut toimielimet ja elimet/Andra institutioner och organ</w:t>
            </w:r>
          </w:p>
        </w:tc>
      </w:tr>
      <w:tr w:rsidR="008452E8" w:rsidRPr="00F41187">
        <w:trPr>
          <w:cantSplit/>
          <w:trHeight w:val="720"/>
        </w:trPr>
        <w:tc>
          <w:tcPr>
            <w:tcW w:w="1701" w:type="dxa"/>
          </w:tcPr>
          <w:p w:rsidR="008452E8" w:rsidRPr="00F41187" w:rsidRDefault="00115EB1" w:rsidP="00AD4CEB">
            <w:pPr>
              <w:pStyle w:val="AttendancePVTable"/>
            </w:pPr>
            <w:r w:rsidRPr="00F41187">
              <w:t>ECA</w:t>
            </w:r>
          </w:p>
          <w:p w:rsidR="004176E2" w:rsidRPr="00F41187" w:rsidRDefault="004176E2" w:rsidP="00AD4CEB">
            <w:pPr>
              <w:pStyle w:val="AttendancePVTable"/>
            </w:pPr>
          </w:p>
          <w:p w:rsidR="004176E2" w:rsidRPr="00F41187" w:rsidRDefault="004176E2" w:rsidP="00AD4CEB">
            <w:pPr>
              <w:pStyle w:val="AttendancePVTable"/>
            </w:pPr>
            <w:r w:rsidRPr="00F41187">
              <w:t>EIB</w:t>
            </w:r>
          </w:p>
        </w:tc>
        <w:tc>
          <w:tcPr>
            <w:tcW w:w="7371" w:type="dxa"/>
          </w:tcPr>
          <w:p w:rsidR="004176E2" w:rsidRPr="00F41187" w:rsidRDefault="004176E2" w:rsidP="004176E2">
            <w:pPr>
              <w:pStyle w:val="AttendancePVTable"/>
            </w:pPr>
            <w:r w:rsidRPr="00F41187">
              <w:t>Annemie Turtleboom, Joâo Figueiredo, Nikolaos Milionis, Viorel Stefan, Pietro Russo, Ladislav Balko</w:t>
            </w:r>
          </w:p>
          <w:p w:rsidR="004176E2" w:rsidRPr="00F41187" w:rsidRDefault="004176E2" w:rsidP="004176E2">
            <w:pPr>
              <w:pStyle w:val="AttendancePVTable"/>
            </w:pPr>
            <w:r w:rsidRPr="00F41187">
              <w:t xml:space="preserve">Aleksandra Klis </w:t>
            </w:r>
          </w:p>
          <w:p w:rsidR="004176E2" w:rsidRPr="00F41187" w:rsidRDefault="004176E2" w:rsidP="004176E2">
            <w:pPr>
              <w:pStyle w:val="AttendancePVTable"/>
            </w:pPr>
            <w:r w:rsidRPr="00F41187">
              <w:t xml:space="preserve">Frank Lee </w:t>
            </w:r>
          </w:p>
          <w:p w:rsidR="008452E8" w:rsidRPr="00F41187" w:rsidRDefault="008452E8" w:rsidP="00AD4CEB">
            <w:pPr>
              <w:pStyle w:val="AttendancePVTable"/>
            </w:pPr>
          </w:p>
        </w:tc>
      </w:tr>
    </w:tbl>
    <w:p w:rsidR="008452E8" w:rsidRPr="00F41187" w:rsidRDefault="008452E8" w:rsidP="005D5A08">
      <w:pPr>
        <w:pStyle w:val="AttendancePV"/>
      </w:pPr>
    </w:p>
    <w:p w:rsidR="008452E8" w:rsidRPr="00F41187" w:rsidRDefault="008452E8" w:rsidP="005D5A08">
      <w:pPr>
        <w:pStyle w:val="AttendancePV"/>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8452E8" w:rsidRPr="00F41187">
        <w:trPr>
          <w:cantSplit/>
        </w:trPr>
        <w:tc>
          <w:tcPr>
            <w:tcW w:w="9072" w:type="dxa"/>
            <w:shd w:val="pct10" w:color="000000" w:fill="FFFFFF"/>
          </w:tcPr>
          <w:p w:rsidR="008452E8" w:rsidRPr="00F41187" w:rsidRDefault="00007788" w:rsidP="00AD4CEB">
            <w:pPr>
              <w:pStyle w:val="AttendancePVTable"/>
            </w:pPr>
            <w:r w:rsidRPr="00F41187">
              <w:t>Други участници/Otros participantes/Ostatní účastníci/Endvidere deltog/Andere Teilnehmer/Muud osalejad/Επίσης παρόντες/Other participants/Autres participants/Drugi sudionici/Altri partecipanti/Citi klātesošie/Kiti dalyviai/Más résztvevők/Parteċipanti ohra/Andere aanwezigen/Inni uczestnicy/Outros participantes/Alţi participanţi/Iní účastníci/Drugi udeleženci/Muut osallistujat/Övriga deltagare</w:t>
            </w:r>
          </w:p>
        </w:tc>
      </w:tr>
      <w:tr w:rsidR="008452E8" w:rsidRPr="00F41187">
        <w:trPr>
          <w:cantSplit/>
          <w:trHeight w:val="1200"/>
        </w:trPr>
        <w:tc>
          <w:tcPr>
            <w:tcW w:w="9072" w:type="dxa"/>
          </w:tcPr>
          <w:p w:rsidR="008452E8" w:rsidRPr="00F41187" w:rsidRDefault="008452E8" w:rsidP="00AD4CEB">
            <w:pPr>
              <w:pStyle w:val="AttendancePVTable"/>
            </w:pPr>
          </w:p>
        </w:tc>
      </w:tr>
    </w:tbl>
    <w:p w:rsidR="0083601E" w:rsidRPr="00F41187" w:rsidRDefault="0083601E" w:rsidP="005D5A08">
      <w:pPr>
        <w:pStyle w:val="AttendancePV"/>
      </w:pPr>
      <w:r w:rsidRPr="00F41187">
        <w:br w:type="page"/>
      </w: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8452E8" w:rsidRPr="00F41187">
        <w:trPr>
          <w:cantSplit/>
        </w:trPr>
        <w:tc>
          <w:tcPr>
            <w:tcW w:w="9072" w:type="dxa"/>
            <w:gridSpan w:val="2"/>
            <w:shd w:val="pct10" w:color="000000" w:fill="FFFFFF"/>
          </w:tcPr>
          <w:p w:rsidR="008452E8" w:rsidRPr="00F41187" w:rsidRDefault="00C634EF" w:rsidP="005F6C89">
            <w:pPr>
              <w:pStyle w:val="AttendancePVTable"/>
            </w:pPr>
            <w:r w:rsidRPr="00F41187">
              <w:lastRenderedPageBreak/>
              <w:t>Секретариат на политическите групи/Secretaría de los Grupos políticos/Sekretariát politických skupin/Gruppernes sekretariat/ Sekretariat der Fraktionen/Fraktsioonide sekretariaat/Γραμματεία των Πολιτικών Ομάδων/Secretariats of political groups/Secrétariat des groupes politiques/Tajništva klubova zastupnika/Segreteria gruppi politici/Politisko grupu sekretariāts/Frakcijų sekretoriai/ Képviselőcsoportok titkársága/Segretarjat gruppi politiċi/Fractiesecretariaten/Sekretariat Grup Politycznych/Secretariado dos grupos políticos/Secretariate grupuri politice/Sekretariát politických skupín/Sekretariat političnih skupin/Poliittisten ryhmien sihteeristöt/ De politiska gruppernas sekretariat</w:t>
            </w:r>
          </w:p>
        </w:tc>
      </w:tr>
      <w:tr w:rsidR="008452E8" w:rsidRPr="00F41187">
        <w:trPr>
          <w:cantSplit/>
        </w:trPr>
        <w:tc>
          <w:tcPr>
            <w:tcW w:w="1701" w:type="dxa"/>
            <w:shd w:val="clear" w:color="auto" w:fill="FFFFFF"/>
          </w:tcPr>
          <w:p w:rsidR="008452E8" w:rsidRPr="00F41187" w:rsidRDefault="008452E8" w:rsidP="00A66B35">
            <w:pPr>
              <w:pStyle w:val="AttendancePVTable"/>
            </w:pPr>
            <w:r w:rsidRPr="00F41187">
              <w:t>PPE</w:t>
            </w:r>
          </w:p>
          <w:p w:rsidR="008452E8" w:rsidRPr="00F41187" w:rsidRDefault="00CE5AEB" w:rsidP="00A66B35">
            <w:pPr>
              <w:pStyle w:val="AttendancePVTable"/>
            </w:pPr>
            <w:r w:rsidRPr="00F41187">
              <w:t>S&amp;D</w:t>
            </w:r>
          </w:p>
          <w:p w:rsidR="00A5325A" w:rsidRPr="00F41187" w:rsidRDefault="00A5325A" w:rsidP="00A66B35">
            <w:pPr>
              <w:pStyle w:val="AttendancePVTable"/>
            </w:pPr>
            <w:r w:rsidRPr="00F41187">
              <w:t>Renew</w:t>
            </w:r>
          </w:p>
          <w:p w:rsidR="008452E8" w:rsidRPr="00F41187" w:rsidRDefault="006D6EB9" w:rsidP="00A66B35">
            <w:pPr>
              <w:pStyle w:val="AttendancePVTable"/>
            </w:pPr>
            <w:r w:rsidRPr="00F41187">
              <w:t>ID</w:t>
            </w:r>
          </w:p>
          <w:p w:rsidR="00A5325A" w:rsidRPr="00F41187" w:rsidRDefault="006D6EB9" w:rsidP="006D6EB9">
            <w:pPr>
              <w:pStyle w:val="AttendancePVTable"/>
            </w:pPr>
            <w:r w:rsidRPr="00F41187">
              <w:t>Verts/ALE</w:t>
            </w:r>
          </w:p>
          <w:p w:rsidR="00A5325A" w:rsidRPr="00F41187" w:rsidRDefault="00A5325A" w:rsidP="00A5325A">
            <w:pPr>
              <w:pStyle w:val="AttendancePVTable"/>
            </w:pPr>
            <w:r w:rsidRPr="00F41187">
              <w:t>ECR</w:t>
            </w:r>
          </w:p>
          <w:p w:rsidR="008452E8" w:rsidRPr="00F41187" w:rsidRDefault="00926DB0" w:rsidP="00A66B35">
            <w:pPr>
              <w:pStyle w:val="AttendancePVTable"/>
            </w:pPr>
            <w:r w:rsidRPr="00F41187">
              <w:t>GUE/NGL</w:t>
            </w:r>
          </w:p>
          <w:p w:rsidR="008452E8" w:rsidRPr="00F41187" w:rsidRDefault="008452E8" w:rsidP="00A66B35">
            <w:pPr>
              <w:pStyle w:val="AttendancePVTable"/>
            </w:pPr>
            <w:r w:rsidRPr="00F41187">
              <w:t>NI</w:t>
            </w:r>
          </w:p>
        </w:tc>
        <w:tc>
          <w:tcPr>
            <w:tcW w:w="7371" w:type="dxa"/>
            <w:shd w:val="clear" w:color="auto" w:fill="FFFFFF"/>
          </w:tcPr>
          <w:p w:rsidR="0006514D" w:rsidRPr="00F41187" w:rsidRDefault="0006514D" w:rsidP="00374A20">
            <w:pPr>
              <w:pStyle w:val="AttendancePVTable"/>
            </w:pPr>
          </w:p>
        </w:tc>
      </w:tr>
    </w:tbl>
    <w:p w:rsidR="00DB5CC6" w:rsidRPr="00F41187" w:rsidRDefault="00DB5CC6" w:rsidP="005D5A08">
      <w:pPr>
        <w:pStyle w:val="AttendancePV"/>
      </w:pPr>
    </w:p>
    <w:p w:rsidR="0083601E" w:rsidRPr="00F41187" w:rsidRDefault="0083601E" w:rsidP="005D5A08">
      <w:pPr>
        <w:pStyle w:val="AttendancePV"/>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8452E8" w:rsidRPr="00F41187">
        <w:trPr>
          <w:cantSplit/>
        </w:trPr>
        <w:tc>
          <w:tcPr>
            <w:tcW w:w="9072" w:type="dxa"/>
            <w:gridSpan w:val="2"/>
            <w:shd w:val="pct10" w:color="000000" w:fill="FFFFFF"/>
          </w:tcPr>
          <w:p w:rsidR="008452E8" w:rsidRPr="00F41187" w:rsidRDefault="00DC629C" w:rsidP="00AD4CEB">
            <w:pPr>
              <w:pStyle w:val="AttendancePVTable"/>
            </w:pPr>
            <w:r w:rsidRPr="00F41187">
              <w:br w:type="page"/>
              <w:t>Кабинет на председателя/Gabinete del Presidente/Kancelář předsedy/Formandens Kabinet/Kabinett des Präsidenten/Presidendi kantselei/Γραφείο του Προέδρου/President's Office/Cabinet du Président/Ured predsjednika/Gabinetto del Presidente/Priekšsēdētāja kabinets/Pirmininko kabinetas/Elnöki hivatal/Kabinett tal-President/Kabinet van de Voorzitter/Gabinet Przewodniczącego/Gabinete do Presidente/Cabinet Preşedinte/Kancelária predsedu/Urad predsednika/Puhemiehen kabinetti/Talmannens kansli</w:t>
            </w:r>
          </w:p>
        </w:tc>
      </w:tr>
      <w:tr w:rsidR="008452E8" w:rsidRPr="00F41187" w:rsidTr="003C7A12">
        <w:trPr>
          <w:cantSplit/>
          <w:trHeight w:val="510"/>
        </w:trPr>
        <w:tc>
          <w:tcPr>
            <w:tcW w:w="9072" w:type="dxa"/>
            <w:gridSpan w:val="2"/>
            <w:shd w:val="clear" w:color="auto" w:fill="FFFFFF"/>
          </w:tcPr>
          <w:p w:rsidR="008452E8" w:rsidRPr="00F41187" w:rsidRDefault="008452E8" w:rsidP="00175A4C">
            <w:pPr>
              <w:pStyle w:val="AttendancePVTable"/>
            </w:pPr>
          </w:p>
        </w:tc>
      </w:tr>
      <w:tr w:rsidR="008452E8" w:rsidRPr="00F41187">
        <w:trPr>
          <w:cantSplit/>
        </w:trPr>
        <w:tc>
          <w:tcPr>
            <w:tcW w:w="9072" w:type="dxa"/>
            <w:gridSpan w:val="2"/>
            <w:shd w:val="pct10" w:color="000000" w:fill="FFFFFF"/>
          </w:tcPr>
          <w:p w:rsidR="008452E8" w:rsidRPr="00F41187" w:rsidRDefault="00C634EF" w:rsidP="00AD4CEB">
            <w:pPr>
              <w:pStyle w:val="AttendancePVTable"/>
            </w:pPr>
            <w:r w:rsidRPr="00F41187">
              <w:t>Кабинет на генералния секретар/Gabinete del Secretario General/Kancelář generálního tajemníka/Generalsekretærens Kabinet/ Kabinett des Generalsekretärs/Peasekretäri büroo/Γραφείο του Γενικού Γραμματέα/Secretary-General's Office/Cabinet du Secrétaire général/Ured glavnog tajnika/Gabinetto del Segretario generale/Ģenerālsekretāra kabinets/Generalinio sekretoriaus kabinetas/ Főtitkári hivatal/Kabinett tas-Segretarju Ġenerali/Kabinet van de secretaris-generaal/Gabinet Sekretarza Generalnego/Gabinete do Secretário-Geral/Cabinet Secretar General/Kancelária generálneho tajomníka/Urad generalnega sekretarja/Pääsihteerin kabinetti/ Generalsekreterarens kansli</w:t>
            </w:r>
          </w:p>
        </w:tc>
      </w:tr>
      <w:tr w:rsidR="008452E8" w:rsidRPr="00F41187" w:rsidTr="003C7A12">
        <w:trPr>
          <w:cantSplit/>
          <w:trHeight w:val="510"/>
        </w:trPr>
        <w:tc>
          <w:tcPr>
            <w:tcW w:w="9072" w:type="dxa"/>
            <w:gridSpan w:val="2"/>
            <w:shd w:val="clear" w:color="auto" w:fill="FFFFFF"/>
          </w:tcPr>
          <w:p w:rsidR="008452E8" w:rsidRPr="00F41187" w:rsidRDefault="008452E8" w:rsidP="00AD4CEB">
            <w:pPr>
              <w:pStyle w:val="AttendancePVTable"/>
            </w:pPr>
          </w:p>
        </w:tc>
      </w:tr>
      <w:tr w:rsidR="008452E8" w:rsidRPr="00F41187">
        <w:trPr>
          <w:cantSplit/>
        </w:trPr>
        <w:tc>
          <w:tcPr>
            <w:tcW w:w="9072" w:type="dxa"/>
            <w:gridSpan w:val="2"/>
            <w:shd w:val="pct10" w:color="000000" w:fill="FFFFFF"/>
          </w:tcPr>
          <w:p w:rsidR="008452E8" w:rsidRPr="00F41187" w:rsidRDefault="00C634EF" w:rsidP="00AD4CEB">
            <w:pPr>
              <w:pStyle w:val="AttendancePVTable"/>
            </w:pPr>
            <w:r w:rsidRPr="00F41187">
              <w:t>Генерална дирекция/Dirección General/Generální ředitelství/Generaldirektorat/Generaldirektion/Peadirektoraat/Γενική Διεύθυνση/ Directorate-General/Direction générale/Glavna uprava/Direzione generale/Ģenerāldirektorāts/Generalinis direktoratas/Főigazgatóság/ Direttorat Ġenerali/Directoraten</w:t>
            </w:r>
            <w:r w:rsidRPr="00F41187">
              <w:noBreakHyphen/>
              <w:t>generaal/Dyrekcja Generalna/Direcção-Geral/Direcţii Generale/Generálne riaditeľstvo/Generalni direktorat/Pääosasto/Generaldirektorat</w:t>
            </w:r>
          </w:p>
        </w:tc>
      </w:tr>
      <w:tr w:rsidR="008452E8" w:rsidRPr="00F41187">
        <w:trPr>
          <w:cantSplit/>
          <w:trHeight w:val="720"/>
        </w:trPr>
        <w:tc>
          <w:tcPr>
            <w:tcW w:w="1701" w:type="dxa"/>
            <w:shd w:val="clear" w:color="auto" w:fill="FFFFFF"/>
          </w:tcPr>
          <w:p w:rsidR="008452E8" w:rsidRPr="00F41187" w:rsidRDefault="008452E8" w:rsidP="00A66B35">
            <w:pPr>
              <w:pStyle w:val="AttendancePVTable"/>
            </w:pPr>
            <w:r w:rsidRPr="00F41187">
              <w:t>DG PRES</w:t>
            </w:r>
          </w:p>
          <w:p w:rsidR="008452E8" w:rsidRPr="00F41187" w:rsidRDefault="008452E8" w:rsidP="00A66B35">
            <w:pPr>
              <w:pStyle w:val="AttendancePVTable"/>
            </w:pPr>
            <w:r w:rsidRPr="00F41187">
              <w:t>DG IPOL</w:t>
            </w:r>
          </w:p>
          <w:p w:rsidR="008452E8" w:rsidRPr="00F41187" w:rsidRDefault="008452E8" w:rsidP="00A66B35">
            <w:pPr>
              <w:pStyle w:val="AttendancePVTable"/>
            </w:pPr>
            <w:r w:rsidRPr="00F41187">
              <w:t>DG EXPO</w:t>
            </w:r>
          </w:p>
          <w:p w:rsidR="00CA53ED" w:rsidRPr="00F41187" w:rsidRDefault="00CA53ED" w:rsidP="00A66B35">
            <w:pPr>
              <w:pStyle w:val="AttendancePVTable"/>
            </w:pPr>
            <w:r w:rsidRPr="00F41187">
              <w:t>DG EPRS</w:t>
            </w:r>
          </w:p>
          <w:p w:rsidR="008452E8" w:rsidRPr="00F41187" w:rsidRDefault="008452E8" w:rsidP="00A66B35">
            <w:pPr>
              <w:pStyle w:val="AttendancePVTable"/>
            </w:pPr>
            <w:r w:rsidRPr="00F41187">
              <w:t>DG COMM</w:t>
            </w:r>
          </w:p>
          <w:p w:rsidR="008452E8" w:rsidRPr="00F41187" w:rsidRDefault="008452E8" w:rsidP="00A66B35">
            <w:pPr>
              <w:pStyle w:val="AttendancePVTable"/>
            </w:pPr>
            <w:r w:rsidRPr="00F41187">
              <w:t>DG PERS</w:t>
            </w:r>
          </w:p>
          <w:p w:rsidR="008452E8" w:rsidRPr="00F41187" w:rsidRDefault="007C674A" w:rsidP="00A66B35">
            <w:pPr>
              <w:pStyle w:val="AttendancePVTable"/>
            </w:pPr>
            <w:r w:rsidRPr="00F41187">
              <w:t>DG INLO</w:t>
            </w:r>
          </w:p>
          <w:p w:rsidR="008452E8" w:rsidRPr="00F41187" w:rsidRDefault="008452E8" w:rsidP="00A66B35">
            <w:pPr>
              <w:pStyle w:val="AttendancePVTable"/>
            </w:pPr>
            <w:r w:rsidRPr="00F41187">
              <w:t>DG TRAD</w:t>
            </w:r>
          </w:p>
          <w:p w:rsidR="007C674A" w:rsidRPr="00F41187" w:rsidRDefault="007C674A" w:rsidP="00A66B35">
            <w:pPr>
              <w:pStyle w:val="AttendancePVTable"/>
            </w:pPr>
            <w:r w:rsidRPr="00F41187">
              <w:t>DG LINC</w:t>
            </w:r>
          </w:p>
          <w:p w:rsidR="008452E8" w:rsidRPr="00F41187" w:rsidRDefault="008452E8" w:rsidP="00A66B35">
            <w:pPr>
              <w:pStyle w:val="AttendancePVTable"/>
            </w:pPr>
            <w:r w:rsidRPr="00F41187">
              <w:t>DG FINS</w:t>
            </w:r>
          </w:p>
          <w:p w:rsidR="00CA53ED" w:rsidRPr="00F41187" w:rsidRDefault="00CA53ED" w:rsidP="00A66B35">
            <w:pPr>
              <w:pStyle w:val="AttendancePVTable"/>
            </w:pPr>
            <w:r w:rsidRPr="00F41187">
              <w:t>DG ITEC</w:t>
            </w:r>
          </w:p>
          <w:p w:rsidR="007C674A" w:rsidRPr="00F41187" w:rsidRDefault="00CA53ED" w:rsidP="00A66B35">
            <w:pPr>
              <w:pStyle w:val="AttendancePVTable"/>
            </w:pPr>
            <w:r w:rsidRPr="00F41187">
              <w:t>DG SAFE</w:t>
            </w:r>
          </w:p>
        </w:tc>
        <w:tc>
          <w:tcPr>
            <w:tcW w:w="7371" w:type="dxa"/>
            <w:shd w:val="clear" w:color="auto" w:fill="FFFFFF"/>
          </w:tcPr>
          <w:p w:rsidR="00CD4116" w:rsidRPr="00F41187" w:rsidRDefault="00CD4116" w:rsidP="00A66B35">
            <w:pPr>
              <w:pStyle w:val="AttendancePVTable"/>
            </w:pPr>
          </w:p>
          <w:p w:rsidR="008452E8" w:rsidRPr="00F41187" w:rsidRDefault="008E68DC" w:rsidP="00A66B35">
            <w:pPr>
              <w:pStyle w:val="AttendancePVTable"/>
            </w:pPr>
            <w:r w:rsidRPr="00F41187">
              <w:t>Monika Strasser</w:t>
            </w:r>
          </w:p>
          <w:p w:rsidR="008452E8" w:rsidRPr="00F41187" w:rsidRDefault="008452E8" w:rsidP="00A66B35">
            <w:pPr>
              <w:pStyle w:val="AttendancePVTable"/>
            </w:pPr>
          </w:p>
          <w:p w:rsidR="008452E8" w:rsidRPr="00F41187" w:rsidRDefault="008452E8" w:rsidP="00CD4116">
            <w:pPr>
              <w:pStyle w:val="AttendancePVTable"/>
            </w:pPr>
          </w:p>
          <w:p w:rsidR="00CD4116" w:rsidRPr="00F41187" w:rsidRDefault="00CD4116" w:rsidP="00CD4116">
            <w:pPr>
              <w:pStyle w:val="AttendancePVTable"/>
            </w:pPr>
          </w:p>
          <w:p w:rsidR="00CA53ED" w:rsidRPr="00F41187" w:rsidRDefault="00CA53ED" w:rsidP="00AD4CEB">
            <w:pPr>
              <w:pStyle w:val="AttendancePVTable"/>
            </w:pPr>
          </w:p>
        </w:tc>
      </w:tr>
    </w:tbl>
    <w:p w:rsidR="0083601E" w:rsidRPr="00F41187" w:rsidRDefault="0083601E" w:rsidP="005D5A08">
      <w:pPr>
        <w:pStyle w:val="AttendancePV"/>
      </w:pPr>
      <w:r w:rsidRPr="00F41187">
        <w:br w:type="page"/>
      </w: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A13D65" w:rsidRPr="00F41187">
        <w:trPr>
          <w:cantSplit/>
        </w:trPr>
        <w:tc>
          <w:tcPr>
            <w:tcW w:w="9072" w:type="dxa"/>
            <w:shd w:val="pct10" w:color="000000" w:fill="FFFFFF"/>
          </w:tcPr>
          <w:p w:rsidR="00A13D65" w:rsidRPr="00F41187" w:rsidRDefault="00A13D65" w:rsidP="00AD4CEB">
            <w:pPr>
              <w:pStyle w:val="AttendancePVTable"/>
            </w:pPr>
            <w:r w:rsidRPr="00F41187">
              <w:lastRenderedPageBreak/>
              <w:t>Правна служба/Servicio Jurídico/Právní služba/Juridisk Tjeneste/Juristischer Dienst/Õigusteenistus/Νομική Υπηρεσία/Legal Service/ Service juridique/Pravna služba/Servizio giuridico/Juridiskais dienests/Teisės tarnyba/Jogi szolgálat/Servizz legali/Juridische Dienst/ Wydział prawny/Serviço Jurídico/Serviciu Juridic/Právny servis/Oikeudellinen yksikkö/Rättstjänsten</w:t>
            </w:r>
          </w:p>
        </w:tc>
      </w:tr>
      <w:tr w:rsidR="00A13D65" w:rsidRPr="00F41187" w:rsidTr="003C7A12">
        <w:trPr>
          <w:cantSplit/>
          <w:trHeight w:val="510"/>
        </w:trPr>
        <w:tc>
          <w:tcPr>
            <w:tcW w:w="9072" w:type="dxa"/>
            <w:shd w:val="clear" w:color="auto" w:fill="FFFFFF"/>
          </w:tcPr>
          <w:p w:rsidR="00A13D65" w:rsidRPr="00F41187" w:rsidRDefault="00A13D65" w:rsidP="00AD4CEB">
            <w:pPr>
              <w:pStyle w:val="AttendancePVTable"/>
            </w:pPr>
          </w:p>
        </w:tc>
      </w:tr>
      <w:tr w:rsidR="00A13D65" w:rsidRPr="00F41187">
        <w:trPr>
          <w:cantSplit/>
        </w:trPr>
        <w:tc>
          <w:tcPr>
            <w:tcW w:w="9072" w:type="dxa"/>
            <w:shd w:val="pct10" w:color="000000" w:fill="FFFFFF"/>
          </w:tcPr>
          <w:p w:rsidR="00A13D65" w:rsidRPr="00F41187" w:rsidRDefault="00A13D65" w:rsidP="00E2213D">
            <w:pPr>
              <w:pStyle w:val="AttendancePVTable"/>
            </w:pPr>
            <w:r w:rsidRPr="00F41187">
              <w:t>Секретариат на комисията/Secretaría de la comisión/Sekretariát výboru/Udvalgssekretariatet/Ausschusssekretariat/Komisjoni sekretariaat/Γραμματεία της επιτροπής/Committee secretariat/Secrétariat de la commission/Tajništvo odbora/Segreteria della commissione/Komitejas sekretariāts/Komiteto sekretoriatas/A bizottság titkársága/Segretarjat tal-kumitat/Commissiesecretariaat/ Sekretariat komisji/Secretariado da comissão/Secretariat comisie/Sekretariat odbora/Valiokunnan sihteeristö/Utskottssekretariatet</w:t>
            </w:r>
          </w:p>
        </w:tc>
      </w:tr>
      <w:tr w:rsidR="00A13D65" w:rsidRPr="00F41187" w:rsidTr="003C7A12">
        <w:trPr>
          <w:cantSplit/>
          <w:trHeight w:val="510"/>
        </w:trPr>
        <w:tc>
          <w:tcPr>
            <w:tcW w:w="9072" w:type="dxa"/>
            <w:shd w:val="clear" w:color="auto" w:fill="FFFFFF"/>
          </w:tcPr>
          <w:p w:rsidR="00A13D65" w:rsidRPr="00F41187" w:rsidRDefault="008E68DC" w:rsidP="00AD4CEB">
            <w:pPr>
              <w:pStyle w:val="AttendancePVTable"/>
            </w:pPr>
            <w:r w:rsidRPr="00F41187">
              <w:t>Evelyn Waldherr</w:t>
            </w:r>
          </w:p>
        </w:tc>
      </w:tr>
      <w:tr w:rsidR="00A13D65" w:rsidRPr="00F41187">
        <w:trPr>
          <w:cantSplit/>
        </w:trPr>
        <w:tc>
          <w:tcPr>
            <w:tcW w:w="9072" w:type="dxa"/>
            <w:shd w:val="pct10" w:color="000000" w:fill="FFFFFF"/>
          </w:tcPr>
          <w:p w:rsidR="00A13D65" w:rsidRPr="00F41187" w:rsidRDefault="00A13D65" w:rsidP="00AD4CEB">
            <w:pPr>
              <w:pStyle w:val="AttendancePVTable"/>
            </w:pPr>
            <w:r w:rsidRPr="00F41187">
              <w:t>Сътрудник/Asistente/Asistent/Assistent/Assistenz/Βοηθός/Assistant/Assistente/Palīgs/Padėjėjas/Asszisztens/Asystent/Pomočnik/ Avustaja/Assistenter</w:t>
            </w:r>
          </w:p>
        </w:tc>
      </w:tr>
      <w:tr w:rsidR="00A13D65" w:rsidRPr="00F41187" w:rsidTr="003C7A12">
        <w:trPr>
          <w:cantSplit/>
          <w:trHeight w:val="510"/>
        </w:trPr>
        <w:tc>
          <w:tcPr>
            <w:tcW w:w="9072" w:type="dxa"/>
            <w:shd w:val="clear" w:color="auto" w:fill="FFFFFF"/>
          </w:tcPr>
          <w:p w:rsidR="00A13D65" w:rsidRPr="00F41187" w:rsidRDefault="008E68DC" w:rsidP="00AD4CEB">
            <w:pPr>
              <w:pStyle w:val="AttendancePVTable"/>
            </w:pPr>
            <w:r w:rsidRPr="00F41187">
              <w:t>Kameliya Velcheva</w:t>
            </w:r>
          </w:p>
        </w:tc>
      </w:tr>
    </w:tbl>
    <w:p w:rsidR="008452E8" w:rsidRPr="00F41187" w:rsidRDefault="008452E8" w:rsidP="005D5A08">
      <w:pPr>
        <w:pStyle w:val="AttendancePV"/>
      </w:pPr>
    </w:p>
    <w:p w:rsidR="00801684" w:rsidRPr="00F41187" w:rsidRDefault="00801684" w:rsidP="005D5A08">
      <w:pPr>
        <w:pStyle w:val="AttendancePV"/>
      </w:pPr>
    </w:p>
    <w:p w:rsidR="00801684" w:rsidRPr="00F41187" w:rsidRDefault="00801684" w:rsidP="005D5A08">
      <w:pPr>
        <w:pStyle w:val="AttendancePV"/>
      </w:pPr>
    </w:p>
    <w:p w:rsidR="00C634EF" w:rsidRPr="00F41187" w:rsidRDefault="00C634EF" w:rsidP="00AD4CEB">
      <w:pPr>
        <w:pStyle w:val="AttendancePVFootnote"/>
      </w:pPr>
      <w:r w:rsidRPr="00F41187">
        <w:t xml:space="preserve">* </w:t>
      </w:r>
      <w:r w:rsidRPr="00F41187">
        <w:tab/>
        <w:t>(P)</w:t>
      </w:r>
      <w:r w:rsidRPr="00F41187">
        <w:tab/>
        <w:t>=</w:t>
      </w:r>
      <w:r w:rsidRPr="00F41187">
        <w:tab/>
        <w:t>Председател/Presidente/Předseda/Formand/Vorsitzender/Esimees/Πρόεδρος/Chair/Président/Predsjednik/Priekšsēdētājs/ Pirmininkas/Elnök/'Chairman'/Voorzitter/Przewodniczący/Preşedinte/Predseda/Predsednik/Puheenjohtaja/Ordförande</w:t>
      </w:r>
    </w:p>
    <w:p w:rsidR="00C634EF" w:rsidRPr="00F41187" w:rsidRDefault="00C634EF" w:rsidP="00AD4CEB">
      <w:pPr>
        <w:pStyle w:val="AttendancePVFootnote"/>
      </w:pPr>
      <w:r w:rsidRPr="00F41187">
        <w:tab/>
        <w:t>(VP) =</w:t>
      </w:r>
      <w:r w:rsidRPr="00F41187">
        <w:tab/>
        <w:t>Заместник-председател/Vicepresidente/Místopředseda/Næstformand/Stellvertretender Vorsitzender/Aseesimees/Αντιπρόεδρος/ Vice</w:t>
      </w:r>
      <w:r w:rsidRPr="00F41187">
        <w:noBreakHyphen/>
        <w:t>Chair/Potpredsjednik/Vice</w:t>
      </w:r>
      <w:r w:rsidRPr="00F41187">
        <w:noBreakHyphen/>
        <w:t>Président/Potpredsjednik/Priekšsēdētāja vietnieks/Pirmininko pavaduotojas/Alelnök/ Viċi 'Chairman'/Ondervoorzitter/Wiceprzewodniczący/Vice-Presidente/Vicepreşedinte/Podpredseda/Podpredsednik/ Varapuheenjohtaja/Vice ordförande</w:t>
      </w:r>
    </w:p>
    <w:p w:rsidR="00C634EF" w:rsidRPr="00F41187" w:rsidRDefault="00C634EF" w:rsidP="00AD4CEB">
      <w:pPr>
        <w:pStyle w:val="AttendancePVFootnote"/>
      </w:pPr>
      <w:r w:rsidRPr="00F41187">
        <w:tab/>
        <w:t>(M)</w:t>
      </w:r>
      <w:r w:rsidRPr="00F41187">
        <w:tab/>
        <w:t>=</w:t>
      </w:r>
      <w:r w:rsidRPr="00F41187">
        <w:tab/>
        <w:t>Член/Miembro/Člen/Medlem./Mitglied/Parlamendiliige/Βουλευτής/Member/Membre/Član/Membro/Deputāts/Narys/Képviselő/ Membru/Lid/Członek/Membro/Membru/Člen/Poslanec/Jäsen/Ledamot</w:t>
      </w:r>
    </w:p>
    <w:p w:rsidR="006275CD" w:rsidRPr="00F41187" w:rsidRDefault="00C634EF" w:rsidP="00AD4CEB">
      <w:pPr>
        <w:pStyle w:val="AttendancePVFootnote"/>
      </w:pPr>
      <w:r w:rsidRPr="00F41187">
        <w:tab/>
        <w:t>(F)</w:t>
      </w:r>
      <w:r w:rsidRPr="00F41187">
        <w:tab/>
        <w:t>=</w:t>
      </w:r>
      <w:r w:rsidRPr="00F41187">
        <w:tab/>
        <w:t>Длъжностно лице/Funcionario/Úředník/Tjenestemand/Beamter/Ametnik/Υπάλληλος/Official/Fonctionnaire/Dužnosnik/ Funzionario/Ierēdnis/Pareigūnas/Tisztviselő/Uffiċjal/Ambtenaar/Urzędnik/Funcionário/Funcţionar/Úradník/Uradnik/Virkamies/ Tjänsteman</w:t>
      </w:r>
    </w:p>
    <w:p w:rsidR="0022027F" w:rsidRPr="00F41187" w:rsidRDefault="0022027F"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3B11A6" w:rsidRPr="00F41187" w:rsidRDefault="003B11A6"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22027F">
      <w:pPr>
        <w:pStyle w:val="AttendancePV"/>
      </w:pPr>
    </w:p>
    <w:p w:rsidR="00777D87" w:rsidRPr="00F41187" w:rsidRDefault="00777D87" w:rsidP="00726BB4">
      <w:pPr>
        <w:widowControl/>
        <w:tabs>
          <w:tab w:val="left" w:pos="1985"/>
          <w:tab w:val="left" w:pos="2124"/>
        </w:tabs>
        <w:jc w:val="right"/>
        <w:rPr>
          <w:rFonts w:ascii="Myriad Pro" w:eastAsia="Calibri" w:hAnsi="Myriad Pro"/>
          <w:b/>
          <w:smallCaps/>
          <w:snapToGrid/>
          <w:color w:val="709047"/>
          <w:sz w:val="22"/>
          <w:szCs w:val="22"/>
        </w:rPr>
      </w:pPr>
      <w:r w:rsidRPr="00F41187">
        <w:rPr>
          <w:rFonts w:ascii="Myriad Pro" w:hAnsi="Myriad Pro"/>
          <w:b/>
          <w:smallCaps/>
          <w:snapToGrid/>
          <w:color w:val="709047"/>
          <w:sz w:val="22"/>
          <w:szCs w:val="22"/>
        </w:rPr>
        <w:t>Issue N°12 - 15 O</w:t>
      </w:r>
      <w:r w:rsidRPr="00F41187">
        <w:rPr>
          <w:rFonts w:ascii="Myriad Pro" w:hAnsi="Myriad Pro"/>
          <w:b/>
          <w:smallCaps/>
          <w:snapToGrid/>
          <w:color w:val="709047"/>
          <w:sz w:val="20"/>
          <w:szCs w:val="22"/>
        </w:rPr>
        <w:t>CTO</w:t>
      </w:r>
      <w:r w:rsidRPr="00F41187">
        <w:rPr>
          <w:rFonts w:ascii="Myriad Pro" w:hAnsi="Myriad Pro"/>
          <w:b/>
          <w:smallCaps/>
          <w:snapToGrid/>
          <w:color w:val="709047"/>
          <w:sz w:val="22"/>
          <w:szCs w:val="22"/>
        </w:rPr>
        <w:t>ber 2020</w:t>
      </w:r>
    </w:p>
    <w:p w:rsidR="00777D87" w:rsidRPr="00F41187" w:rsidRDefault="00777D87" w:rsidP="00726BB4">
      <w:pPr>
        <w:widowControl/>
        <w:tabs>
          <w:tab w:val="left" w:pos="1985"/>
          <w:tab w:val="left" w:pos="2127"/>
        </w:tabs>
        <w:ind w:left="-709" w:firstLine="283"/>
        <w:jc w:val="center"/>
        <w:rPr>
          <w:rFonts w:ascii="Myriad Pro" w:eastAsia="Calibri" w:hAnsi="Myriad Pro"/>
          <w:b/>
          <w:smallCaps/>
          <w:snapToGrid/>
          <w:color w:val="709047"/>
          <w:spacing w:val="-20"/>
          <w:sz w:val="48"/>
          <w:szCs w:val="48"/>
        </w:rPr>
      </w:pPr>
      <w:r w:rsidRPr="00F41187">
        <w:rPr>
          <w:rFonts w:ascii="Myriad Pro" w:hAnsi="Myriad Pro"/>
          <w:b/>
          <w:smallCaps/>
          <w:snapToGrid/>
          <w:color w:val="709047"/>
          <w:sz w:val="48"/>
          <w:szCs w:val="48"/>
        </w:rPr>
        <w:t>NEWSLETTER</w:t>
      </w:r>
    </w:p>
    <w:p w:rsidR="00777D87" w:rsidRPr="00F41187" w:rsidRDefault="00777D87" w:rsidP="00726BB4">
      <w:pPr>
        <w:widowControl/>
        <w:tabs>
          <w:tab w:val="left" w:pos="1985"/>
          <w:tab w:val="left" w:pos="2127"/>
        </w:tabs>
        <w:ind w:left="-709" w:firstLine="283"/>
        <w:rPr>
          <w:rFonts w:ascii="Myriad Pro" w:eastAsia="Calibri" w:hAnsi="Myriad Pro"/>
          <w:smallCaps/>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897" w:firstLine="283"/>
        <w:jc w:val="both"/>
        <w:rPr>
          <w:rFonts w:ascii="Myriad Pro" w:hAnsi="Myriad Pro" w:cs="Arial"/>
          <w:snapToGrid/>
          <w:sz w:val="20"/>
        </w:rPr>
      </w:pPr>
      <w:r w:rsidRPr="00F41187">
        <w:rPr>
          <w:rFonts w:ascii="Myriad Pro" w:hAnsi="Myriad Pro"/>
          <w:snapToGrid/>
          <w:sz w:val="20"/>
          <w:lang w:eastAsia="en-GB"/>
        </w:rPr>
        <mc:AlternateContent>
          <mc:Choice Requires="wps">
            <w:drawing>
              <wp:inline distT="0" distB="0" distL="0" distR="0" wp14:anchorId="53CA00E5" wp14:editId="07913BD1">
                <wp:extent cx="6748145" cy="3973731"/>
                <wp:effectExtent l="0" t="0" r="0" b="825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145" cy="3973731"/>
                        </a:xfrm>
                        <a:prstGeom prst="rect">
                          <a:avLst/>
                        </a:prstGeom>
                        <a:solidFill>
                          <a:srgbClr val="709047">
                            <a:alpha val="20000"/>
                          </a:srgbClr>
                        </a:solidFill>
                        <a:ln>
                          <a:noFill/>
                        </a:ln>
                      </wps:spPr>
                      <wps:txbx>
                        <w:txbxContent>
                          <w:p w:rsidR="00A901EA" w:rsidRPr="00311076" w:rsidRDefault="00A901EA" w:rsidP="00777D87">
                            <w:pPr>
                              <w:autoSpaceDE w:val="0"/>
                              <w:autoSpaceDN w:val="0"/>
                              <w:adjustRightInd w:val="0"/>
                              <w:spacing w:before="360" w:after="60"/>
                              <w:jc w:val="center"/>
                              <w:rPr>
                                <w:rFonts w:ascii="Myriad Pro" w:hAnsi="Myriad Pro" w:cs="Microsoft New Tai Lue"/>
                                <w:b/>
                                <w:smallCaps/>
                                <w:color w:val="525252"/>
                                <w:sz w:val="32"/>
                                <w:szCs w:val="32"/>
                              </w:rPr>
                            </w:pPr>
                            <w:r w:rsidRPr="00311076">
                              <w:rPr>
                                <w:rFonts w:ascii="Myriad Pro" w:hAnsi="Myriad Pro"/>
                                <w:b/>
                                <w:smallCaps/>
                                <w:color w:val="525252"/>
                                <w:sz w:val="32"/>
                                <w:szCs w:val="32"/>
                              </w:rPr>
                              <w:t>EXTRAORDINARY COMMITTEE MEETING</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311076">
                              <w:rPr>
                                <w:rFonts w:ascii="Myriad Pro" w:hAnsi="Myriad Pro"/>
                                <w:b/>
                                <w:smallCaps/>
                                <w:color w:val="709047"/>
                                <w:sz w:val="32"/>
                                <w:szCs w:val="32"/>
                              </w:rPr>
                              <w:t>T</w:t>
                            </w:r>
                            <w:r w:rsidRPr="00311076">
                              <w:rPr>
                                <w:rFonts w:ascii="Myriad Pro" w:hAnsi="Myriad Pro"/>
                                <w:b/>
                                <w:smallCaps/>
                                <w:color w:val="709047"/>
                                <w:sz w:val="28"/>
                                <w:szCs w:val="32"/>
                              </w:rPr>
                              <w:t>HURSDAY</w:t>
                            </w:r>
                            <w:r w:rsidRPr="00311076">
                              <w:rPr>
                                <w:rFonts w:ascii="Myriad Pro" w:hAnsi="Myriad Pro"/>
                                <w:b/>
                                <w:smallCaps/>
                                <w:color w:val="709047"/>
                                <w:sz w:val="32"/>
                                <w:szCs w:val="32"/>
                              </w:rPr>
                              <w:t xml:space="preserve">, 15 </w:t>
                            </w:r>
                            <w:r w:rsidRPr="00311076">
                              <w:rPr>
                                <w:rFonts w:ascii="Myriad Pro" w:hAnsi="Myriad Pro"/>
                                <w:b/>
                                <w:smallCaps/>
                                <w:color w:val="709047"/>
                                <w:sz w:val="40"/>
                                <w:szCs w:val="32"/>
                              </w:rPr>
                              <w:t>o</w:t>
                            </w:r>
                            <w:r w:rsidRPr="00311076">
                              <w:rPr>
                                <w:rFonts w:ascii="Myriad Pro" w:hAnsi="Myriad Pro"/>
                                <w:b/>
                                <w:smallCaps/>
                                <w:color w:val="709047"/>
                                <w:sz w:val="28"/>
                                <w:szCs w:val="32"/>
                              </w:rPr>
                              <w:t>CTOBER</w:t>
                            </w:r>
                            <w:r w:rsidRPr="00311076">
                              <w:rPr>
                                <w:rFonts w:ascii="Myriad Pro" w:hAnsi="Myriad Pro"/>
                                <w:b/>
                                <w:smallCaps/>
                                <w:color w:val="709047"/>
                                <w:sz w:val="32"/>
                                <w:szCs w:val="32"/>
                              </w:rPr>
                              <w:t xml:space="preserve"> 2020</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311076">
                              <w:rPr>
                                <w:rFonts w:ascii="Myriad Pro" w:hAnsi="Myriad Pro"/>
                                <w:bCs/>
                                <w:color w:val="000000"/>
                                <w:sz w:val="28"/>
                              </w:rPr>
                              <w:t>13:45 to 15:45</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rPr>
                            </w:pPr>
                            <w:r w:rsidRPr="00311076">
                              <w:rPr>
                                <w:rFonts w:ascii="Myriad Pro" w:hAnsi="Myriad Pro"/>
                                <w:bCs/>
                                <w:color w:val="000000"/>
                                <w:sz w:val="28"/>
                              </w:rPr>
                              <w:t>Remote participation of Members</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311076">
                              <w:rPr>
                                <w:rFonts w:ascii="Myriad Pro" w:hAnsi="Myriad Pro"/>
                                <w:b/>
                                <w:smallCaps/>
                                <w:color w:val="709047"/>
                                <w:sz w:val="32"/>
                                <w:szCs w:val="32"/>
                              </w:rPr>
                              <w:t>T</w:t>
                            </w:r>
                            <w:r w:rsidRPr="00311076">
                              <w:rPr>
                                <w:rFonts w:ascii="Myriad Pro" w:hAnsi="Myriad Pro"/>
                                <w:b/>
                                <w:smallCaps/>
                                <w:color w:val="709047"/>
                                <w:sz w:val="28"/>
                                <w:szCs w:val="32"/>
                              </w:rPr>
                              <w:t>HURSDAY</w:t>
                            </w:r>
                            <w:r w:rsidRPr="00311076">
                              <w:rPr>
                                <w:rFonts w:ascii="Myriad Pro" w:hAnsi="Myriad Pro"/>
                                <w:b/>
                                <w:smallCaps/>
                                <w:color w:val="709047"/>
                                <w:sz w:val="32"/>
                                <w:szCs w:val="32"/>
                              </w:rPr>
                              <w:t xml:space="preserve">, 15 </w:t>
                            </w:r>
                            <w:r w:rsidRPr="00311076">
                              <w:rPr>
                                <w:rFonts w:ascii="Myriad Pro" w:hAnsi="Myriad Pro"/>
                                <w:b/>
                                <w:smallCaps/>
                                <w:color w:val="709047"/>
                                <w:sz w:val="40"/>
                                <w:szCs w:val="32"/>
                              </w:rPr>
                              <w:t>o</w:t>
                            </w:r>
                            <w:r w:rsidRPr="00311076">
                              <w:rPr>
                                <w:rFonts w:ascii="Myriad Pro" w:hAnsi="Myriad Pro"/>
                                <w:b/>
                                <w:smallCaps/>
                                <w:color w:val="709047"/>
                                <w:sz w:val="28"/>
                                <w:szCs w:val="32"/>
                              </w:rPr>
                              <w:t>CTOBER</w:t>
                            </w:r>
                            <w:r w:rsidRPr="00311076">
                              <w:rPr>
                                <w:rFonts w:ascii="Myriad Pro" w:hAnsi="Myriad Pro"/>
                                <w:b/>
                                <w:smallCaps/>
                                <w:color w:val="709047"/>
                                <w:sz w:val="32"/>
                                <w:szCs w:val="32"/>
                              </w:rPr>
                              <w:t xml:space="preserve"> 2020</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311076">
                              <w:rPr>
                                <w:rFonts w:ascii="Myriad Pro" w:hAnsi="Myriad Pro"/>
                                <w:bCs/>
                                <w:color w:val="000000"/>
                                <w:sz w:val="28"/>
                              </w:rPr>
                              <w:t xml:space="preserve">16:45 to 18:15 - </w:t>
                            </w:r>
                            <w:r w:rsidRPr="00311076">
                              <w:rPr>
                                <w:rFonts w:ascii="Myriad Pro" w:hAnsi="Myriad Pro"/>
                                <w:b/>
                                <w:bCs/>
                                <w:color w:val="000000"/>
                                <w:sz w:val="28"/>
                              </w:rPr>
                              <w:t>Joint meeting with ENVI and AGRI</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311076">
                              <w:rPr>
                                <w:rFonts w:ascii="Myriad Pro" w:hAnsi="Myriad Pro"/>
                                <w:bCs/>
                                <w:color w:val="000000"/>
                                <w:sz w:val="28"/>
                              </w:rPr>
                              <w:t>Remote participation of Members</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311076">
                              <w:rPr>
                                <w:rFonts w:ascii="Myriad Pro" w:hAnsi="Myriad Pro"/>
                                <w:b/>
                                <w:smallCaps/>
                                <w:color w:val="709047"/>
                                <w:sz w:val="32"/>
                                <w:szCs w:val="32"/>
                              </w:rPr>
                              <w:t>T</w:t>
                            </w:r>
                            <w:r w:rsidRPr="00311076">
                              <w:rPr>
                                <w:rFonts w:ascii="Myriad Pro" w:hAnsi="Myriad Pro"/>
                                <w:b/>
                                <w:smallCaps/>
                                <w:color w:val="709047"/>
                                <w:sz w:val="28"/>
                                <w:szCs w:val="32"/>
                              </w:rPr>
                              <w:t>HURSDAY</w:t>
                            </w:r>
                            <w:r w:rsidRPr="00311076">
                              <w:rPr>
                                <w:rFonts w:ascii="Myriad Pro" w:hAnsi="Myriad Pro"/>
                                <w:b/>
                                <w:smallCaps/>
                                <w:color w:val="709047"/>
                                <w:sz w:val="32"/>
                                <w:szCs w:val="32"/>
                              </w:rPr>
                              <w:t xml:space="preserve">, 15 </w:t>
                            </w:r>
                            <w:r w:rsidRPr="00311076">
                              <w:rPr>
                                <w:rFonts w:ascii="Myriad Pro" w:hAnsi="Myriad Pro"/>
                                <w:b/>
                                <w:smallCaps/>
                                <w:color w:val="709047"/>
                                <w:sz w:val="40"/>
                                <w:szCs w:val="32"/>
                              </w:rPr>
                              <w:t>o</w:t>
                            </w:r>
                            <w:r w:rsidRPr="00311076">
                              <w:rPr>
                                <w:rFonts w:ascii="Myriad Pro" w:hAnsi="Myriad Pro"/>
                                <w:b/>
                                <w:smallCaps/>
                                <w:color w:val="709047"/>
                                <w:sz w:val="28"/>
                                <w:szCs w:val="32"/>
                              </w:rPr>
                              <w:t>CTOBER</w:t>
                            </w:r>
                            <w:r w:rsidRPr="00311076">
                              <w:rPr>
                                <w:rFonts w:ascii="Myriad Pro" w:hAnsi="Myriad Pro"/>
                                <w:b/>
                                <w:smallCaps/>
                                <w:color w:val="709047"/>
                                <w:sz w:val="32"/>
                                <w:szCs w:val="32"/>
                              </w:rPr>
                              <w:t xml:space="preserve"> 2020</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311076">
                              <w:rPr>
                                <w:rFonts w:ascii="Myriad Pro" w:hAnsi="Myriad Pro"/>
                                <w:bCs/>
                                <w:color w:val="000000"/>
                                <w:sz w:val="28"/>
                              </w:rPr>
                              <w:t>18:15 to 18:45</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rPr>
                            </w:pPr>
                            <w:r w:rsidRPr="00311076">
                              <w:rPr>
                                <w:rFonts w:ascii="Myriad Pro" w:hAnsi="Myriad Pro"/>
                                <w:bCs/>
                                <w:color w:val="000000"/>
                                <w:sz w:val="28"/>
                              </w:rPr>
                              <w:t>Remote participation of Members</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5" w:right="57"/>
                              <w:jc w:val="center"/>
                              <w:rPr>
                                <w:rFonts w:ascii="Myriad Pro" w:eastAsia="ヒラギノ角ゴ Pro W3" w:hAnsi="Myriad Pro"/>
                                <w:b/>
                                <w:i/>
                                <w:color w:val="000000"/>
                              </w:rPr>
                            </w:pPr>
                            <w:r w:rsidRPr="00311076">
                              <w:rPr>
                                <w:rFonts w:ascii="Myriad Pro" w:hAnsi="Myriad Pro"/>
                                <w:i/>
                                <w:color w:val="000000"/>
                              </w:rPr>
                              <w:t xml:space="preserve">Any Members present in Brussels can attend the meeting in room </w:t>
                            </w:r>
                            <w:r w:rsidRPr="00311076">
                              <w:rPr>
                                <w:rFonts w:ascii="Myriad Pro" w:hAnsi="Myriad Pro"/>
                                <w:b/>
                                <w:i/>
                                <w:color w:val="000000"/>
                              </w:rPr>
                              <w:t>József Antall (JAN) 4Q1</w:t>
                            </w:r>
                          </w:p>
                        </w:txbxContent>
                      </wps:txbx>
                      <wps:bodyPr rot="0" vert="horz" wrap="square" lIns="91440" tIns="45720" rIns="91440" bIns="45720" anchor="t" anchorCtr="0" upright="1">
                        <a:noAutofit/>
                      </wps:bodyPr>
                    </wps:wsp>
                  </a:graphicData>
                </a:graphic>
              </wp:inline>
            </w:drawing>
          </mc:Choice>
          <mc:Fallback>
            <w:pict>
              <v:shapetype w14:anchorId="53CA00E5" id="_x0000_t202" coordsize="21600,21600" o:spt="202" path="m,l,21600r21600,l21600,xe">
                <v:stroke joinstyle="miter"/>
                <v:path gradientshapeok="t" o:connecttype="rect"/>
              </v:shapetype>
              <v:shape id="Text Box 2" o:spid="_x0000_s1026" type="#_x0000_t202" style="width:531.35pt;height:3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W2GQIAABEEAAAOAAAAZHJzL2Uyb0RvYy54bWysU11v0zAUfUfiP1h+p0nbbF2jptPoNIQ0&#10;BtLGD3AcJ7FwfI3tNim/nmu7KwXeEC+W74fPvffc483tNChyENZJ0BWdz3JKhObQSN1V9OvLw7sb&#10;SpxnumEKtKjoUTh6u337ZjOaUiygB9UISxBEu3I0Fe29N2WWOd6LgbkZGKEx2IIdmEfTdllj2Yjo&#10;g8oWeX6djWAbY4EL59B7n4J0G/HbVnD/uW2d8ERVFHvz8bTxrMOZbTes7CwzveSnNtg/dDEwqbHo&#10;GeqeeUb2Vv4FNUhuwUHrZxyGDNpWchFnwGnm+R/TPPfMiDgLkuPMmSb3/2D50+GLJbKp6IISzQZc&#10;0YuYPHkPE1kEdkbjSkx6NpjmJ3TjluOkzjwC/+aIhl3PdCfurIWxF6zB7ubhZXbxNOG4AFKPn6DB&#10;MmzvIQJNrR0CdUgGQXTc0vG8mdAKR+f1qriZF1eUcIwt16vlaplqsPL1ubHOfxAwkHCpqMXVR3h2&#10;eHQ+tMPK15RQzYGSzYNUKhq2q3fKkgNDmazydV6s0ltlepa8KLY8ygVxXEqPmL/hKB3QNATcVDJ4&#10;IhFh9sSCn+rpRGwNzREpsZB0if8ILz3YH5SMqMmKuu97ZgUl6qNGWtfzoggijkZxtVqgYS8j9WWE&#10;aY5QFfWUpOvOJ+HvjZVdj5XSIjXc4SpaGUkKO0tdnfpG3cU5T38kCPvSjlm/fvL2JwAAAP//AwBQ&#10;SwMEFAAGAAgAAAAhAHZEBLPaAAAABgEAAA8AAABkcnMvZG93bnJldi54bWxMj8FOwzAQRO9I/IO1&#10;SNyoTaSGKsSpEFKRCieSfsA23sQR8TqK3Tb8PS4XuKw0mtHM23K7uFGcaQ6DZw2PKwWCuPVm4F7D&#10;odk9bECEiGxw9EwavinAtrq9KbEw/sKfdK5jL1IJhwI12BinQsrQWnIYVn4iTl7nZ4cxybmXZsZL&#10;KnejzJTKpcOB04LFiV4ttV/1yWlwQ77DBt+yj71arG1iV7/7Tuv7u+XlGUSkJf6F4Yqf0KFKTEd/&#10;YhPEqCE9En/v1VN59gTiqCHP1huQVSn/41c/AAAA//8DAFBLAQItABQABgAIAAAAIQC2gziS/gAA&#10;AOEBAAATAAAAAAAAAAAAAAAAAAAAAABbQ29udGVudF9UeXBlc10ueG1sUEsBAi0AFAAGAAgAAAAh&#10;ADj9If/WAAAAlAEAAAsAAAAAAAAAAAAAAAAALwEAAF9yZWxzLy5yZWxzUEsBAi0AFAAGAAgAAAAh&#10;AJ6RtbYZAgAAEQQAAA4AAAAAAAAAAAAAAAAALgIAAGRycy9lMm9Eb2MueG1sUEsBAi0AFAAGAAgA&#10;AAAhAHZEBLPaAAAABgEAAA8AAAAAAAAAAAAAAAAAcwQAAGRycy9kb3ducmV2LnhtbFBLBQYAAAAA&#10;BAAEAPMAAAB6BQAAAAA=&#10;" fillcolor="#709047" stroked="f">
                <v:fill opacity="13107f"/>
                <v:textbox>
                  <w:txbxContent>
                    <w:p w:rsidR="00A901EA" w:rsidRPr="00311076" w:rsidRDefault="00A901EA" w:rsidP="00777D87">
                      <w:pPr>
                        <w:autoSpaceDE w:val="0"/>
                        <w:autoSpaceDN w:val="0"/>
                        <w:adjustRightInd w:val="0"/>
                        <w:spacing w:before="360" w:after="60"/>
                        <w:jc w:val="center"/>
                        <w:rPr>
                          <w:rFonts w:ascii="Myriad Pro" w:hAnsi="Myriad Pro" w:cs="Microsoft New Tai Lue"/>
                          <w:b/>
                          <w:smallCaps/>
                          <w:color w:val="525252"/>
                          <w:sz w:val="32"/>
                          <w:szCs w:val="32"/>
                        </w:rPr>
                      </w:pPr>
                      <w:r w:rsidRPr="00311076">
                        <w:rPr>
                          <w:rFonts w:ascii="Myriad Pro" w:hAnsi="Myriad Pro"/>
                          <w:b/>
                          <w:smallCaps/>
                          <w:color w:val="525252"/>
                          <w:sz w:val="32"/>
                          <w:szCs w:val="32"/>
                        </w:rPr>
                        <w:t>EXTRAORDINARY COMMITTEE MEETING</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311076">
                        <w:rPr>
                          <w:rFonts w:ascii="Myriad Pro" w:hAnsi="Myriad Pro"/>
                          <w:b/>
                          <w:smallCaps/>
                          <w:color w:val="709047"/>
                          <w:sz w:val="32"/>
                          <w:szCs w:val="32"/>
                        </w:rPr>
                        <w:t>T</w:t>
                      </w:r>
                      <w:r w:rsidRPr="00311076">
                        <w:rPr>
                          <w:rFonts w:ascii="Myriad Pro" w:hAnsi="Myriad Pro"/>
                          <w:b/>
                          <w:smallCaps/>
                          <w:color w:val="709047"/>
                          <w:sz w:val="28"/>
                          <w:szCs w:val="32"/>
                        </w:rPr>
                        <w:t>HURSDAY</w:t>
                      </w:r>
                      <w:r w:rsidRPr="00311076">
                        <w:rPr>
                          <w:rFonts w:ascii="Myriad Pro" w:hAnsi="Myriad Pro"/>
                          <w:b/>
                          <w:smallCaps/>
                          <w:color w:val="709047"/>
                          <w:sz w:val="32"/>
                          <w:szCs w:val="32"/>
                        </w:rPr>
                        <w:t xml:space="preserve">, 15 </w:t>
                      </w:r>
                      <w:r w:rsidRPr="00311076">
                        <w:rPr>
                          <w:rFonts w:ascii="Myriad Pro" w:hAnsi="Myriad Pro"/>
                          <w:b/>
                          <w:smallCaps/>
                          <w:color w:val="709047"/>
                          <w:sz w:val="40"/>
                          <w:szCs w:val="32"/>
                        </w:rPr>
                        <w:t>o</w:t>
                      </w:r>
                      <w:r w:rsidRPr="00311076">
                        <w:rPr>
                          <w:rFonts w:ascii="Myriad Pro" w:hAnsi="Myriad Pro"/>
                          <w:b/>
                          <w:smallCaps/>
                          <w:color w:val="709047"/>
                          <w:sz w:val="28"/>
                          <w:szCs w:val="32"/>
                        </w:rPr>
                        <w:t>CTOBER</w:t>
                      </w:r>
                      <w:r w:rsidRPr="00311076">
                        <w:rPr>
                          <w:rFonts w:ascii="Myriad Pro" w:hAnsi="Myriad Pro"/>
                          <w:b/>
                          <w:smallCaps/>
                          <w:color w:val="709047"/>
                          <w:sz w:val="32"/>
                          <w:szCs w:val="32"/>
                        </w:rPr>
                        <w:t xml:space="preserve"> 2020</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311076">
                        <w:rPr>
                          <w:rFonts w:ascii="Myriad Pro" w:hAnsi="Myriad Pro"/>
                          <w:bCs/>
                          <w:color w:val="000000"/>
                          <w:sz w:val="28"/>
                        </w:rPr>
                        <w:t>13:45 to 15:45</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rPr>
                      </w:pPr>
                      <w:r w:rsidRPr="00311076">
                        <w:rPr>
                          <w:rFonts w:ascii="Myriad Pro" w:hAnsi="Myriad Pro"/>
                          <w:bCs/>
                          <w:color w:val="000000"/>
                          <w:sz w:val="28"/>
                        </w:rPr>
                        <w:t>Remote participation of Members</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311076">
                        <w:rPr>
                          <w:rFonts w:ascii="Myriad Pro" w:hAnsi="Myriad Pro"/>
                          <w:b/>
                          <w:smallCaps/>
                          <w:color w:val="709047"/>
                          <w:sz w:val="32"/>
                          <w:szCs w:val="32"/>
                        </w:rPr>
                        <w:t>T</w:t>
                      </w:r>
                      <w:r w:rsidRPr="00311076">
                        <w:rPr>
                          <w:rFonts w:ascii="Myriad Pro" w:hAnsi="Myriad Pro"/>
                          <w:b/>
                          <w:smallCaps/>
                          <w:color w:val="709047"/>
                          <w:sz w:val="28"/>
                          <w:szCs w:val="32"/>
                        </w:rPr>
                        <w:t>HURSDAY</w:t>
                      </w:r>
                      <w:r w:rsidRPr="00311076">
                        <w:rPr>
                          <w:rFonts w:ascii="Myriad Pro" w:hAnsi="Myriad Pro"/>
                          <w:b/>
                          <w:smallCaps/>
                          <w:color w:val="709047"/>
                          <w:sz w:val="32"/>
                          <w:szCs w:val="32"/>
                        </w:rPr>
                        <w:t xml:space="preserve">, 15 </w:t>
                      </w:r>
                      <w:r w:rsidRPr="00311076">
                        <w:rPr>
                          <w:rFonts w:ascii="Myriad Pro" w:hAnsi="Myriad Pro"/>
                          <w:b/>
                          <w:smallCaps/>
                          <w:color w:val="709047"/>
                          <w:sz w:val="40"/>
                          <w:szCs w:val="32"/>
                        </w:rPr>
                        <w:t>o</w:t>
                      </w:r>
                      <w:r w:rsidRPr="00311076">
                        <w:rPr>
                          <w:rFonts w:ascii="Myriad Pro" w:hAnsi="Myriad Pro"/>
                          <w:b/>
                          <w:smallCaps/>
                          <w:color w:val="709047"/>
                          <w:sz w:val="28"/>
                          <w:szCs w:val="32"/>
                        </w:rPr>
                        <w:t>CTOBER</w:t>
                      </w:r>
                      <w:r w:rsidRPr="00311076">
                        <w:rPr>
                          <w:rFonts w:ascii="Myriad Pro" w:hAnsi="Myriad Pro"/>
                          <w:b/>
                          <w:smallCaps/>
                          <w:color w:val="709047"/>
                          <w:sz w:val="32"/>
                          <w:szCs w:val="32"/>
                        </w:rPr>
                        <w:t xml:space="preserve"> 2020</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311076">
                        <w:rPr>
                          <w:rFonts w:ascii="Myriad Pro" w:hAnsi="Myriad Pro"/>
                          <w:bCs/>
                          <w:color w:val="000000"/>
                          <w:sz w:val="28"/>
                        </w:rPr>
                        <w:t xml:space="preserve">16:45 to 18:15 - </w:t>
                      </w:r>
                      <w:r w:rsidRPr="00311076">
                        <w:rPr>
                          <w:rFonts w:ascii="Myriad Pro" w:hAnsi="Myriad Pro"/>
                          <w:b/>
                          <w:bCs/>
                          <w:color w:val="000000"/>
                          <w:sz w:val="28"/>
                        </w:rPr>
                        <w:t>Joint meeting with ENVI and AGRI</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311076">
                        <w:rPr>
                          <w:rFonts w:ascii="Myriad Pro" w:hAnsi="Myriad Pro"/>
                          <w:bCs/>
                          <w:color w:val="000000"/>
                          <w:sz w:val="28"/>
                        </w:rPr>
                        <w:t>Remote participation of Members</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311076">
                        <w:rPr>
                          <w:rFonts w:ascii="Myriad Pro" w:hAnsi="Myriad Pro"/>
                          <w:b/>
                          <w:smallCaps/>
                          <w:color w:val="709047"/>
                          <w:sz w:val="32"/>
                          <w:szCs w:val="32"/>
                        </w:rPr>
                        <w:t>T</w:t>
                      </w:r>
                      <w:r w:rsidRPr="00311076">
                        <w:rPr>
                          <w:rFonts w:ascii="Myriad Pro" w:hAnsi="Myriad Pro"/>
                          <w:b/>
                          <w:smallCaps/>
                          <w:color w:val="709047"/>
                          <w:sz w:val="28"/>
                          <w:szCs w:val="32"/>
                        </w:rPr>
                        <w:t>HURSDAY</w:t>
                      </w:r>
                      <w:r w:rsidRPr="00311076">
                        <w:rPr>
                          <w:rFonts w:ascii="Myriad Pro" w:hAnsi="Myriad Pro"/>
                          <w:b/>
                          <w:smallCaps/>
                          <w:color w:val="709047"/>
                          <w:sz w:val="32"/>
                          <w:szCs w:val="32"/>
                        </w:rPr>
                        <w:t xml:space="preserve">, 15 </w:t>
                      </w:r>
                      <w:r w:rsidRPr="00311076">
                        <w:rPr>
                          <w:rFonts w:ascii="Myriad Pro" w:hAnsi="Myriad Pro"/>
                          <w:b/>
                          <w:smallCaps/>
                          <w:color w:val="709047"/>
                          <w:sz w:val="40"/>
                          <w:szCs w:val="32"/>
                        </w:rPr>
                        <w:t>o</w:t>
                      </w:r>
                      <w:r w:rsidRPr="00311076">
                        <w:rPr>
                          <w:rFonts w:ascii="Myriad Pro" w:hAnsi="Myriad Pro"/>
                          <w:b/>
                          <w:smallCaps/>
                          <w:color w:val="709047"/>
                          <w:sz w:val="28"/>
                          <w:szCs w:val="32"/>
                        </w:rPr>
                        <w:t>CTOBER</w:t>
                      </w:r>
                      <w:r w:rsidRPr="00311076">
                        <w:rPr>
                          <w:rFonts w:ascii="Myriad Pro" w:hAnsi="Myriad Pro"/>
                          <w:b/>
                          <w:smallCaps/>
                          <w:color w:val="709047"/>
                          <w:sz w:val="32"/>
                          <w:szCs w:val="32"/>
                        </w:rPr>
                        <w:t xml:space="preserve"> 2020</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311076">
                        <w:rPr>
                          <w:rFonts w:ascii="Myriad Pro" w:hAnsi="Myriad Pro"/>
                          <w:bCs/>
                          <w:color w:val="000000"/>
                          <w:sz w:val="28"/>
                        </w:rPr>
                        <w:t>18:15 to 18:45</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rPr>
                      </w:pPr>
                      <w:r w:rsidRPr="00311076">
                        <w:rPr>
                          <w:rFonts w:ascii="Myriad Pro" w:hAnsi="Myriad Pro"/>
                          <w:bCs/>
                          <w:color w:val="000000"/>
                          <w:sz w:val="28"/>
                        </w:rPr>
                        <w:t>Remote participation of Members</w:t>
                      </w:r>
                    </w:p>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5" w:right="57"/>
                        <w:jc w:val="center"/>
                        <w:rPr>
                          <w:rFonts w:ascii="Myriad Pro" w:eastAsia="ヒラギノ角ゴ Pro W3" w:hAnsi="Myriad Pro"/>
                          <w:b/>
                          <w:i/>
                          <w:color w:val="000000"/>
                        </w:rPr>
                      </w:pPr>
                      <w:r w:rsidRPr="00311076">
                        <w:rPr>
                          <w:rFonts w:ascii="Myriad Pro" w:hAnsi="Myriad Pro"/>
                          <w:i/>
                          <w:color w:val="000000"/>
                        </w:rPr>
                        <w:t xml:space="preserve">Any Members present in Brussels can attend the meeting in room </w:t>
                      </w:r>
                      <w:r w:rsidRPr="00311076">
                        <w:rPr>
                          <w:rFonts w:ascii="Myriad Pro" w:hAnsi="Myriad Pro"/>
                          <w:b/>
                          <w:i/>
                          <w:color w:val="000000"/>
                        </w:rPr>
                        <w:t>József Antall (JAN) 4Q1</w:t>
                      </w:r>
                    </w:p>
                  </w:txbxContent>
                </v:textbox>
                <w10:anchorlock/>
              </v:shape>
            </w:pict>
          </mc:Fallback>
        </mc:AlternateConten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line="259" w:lineRule="auto"/>
        <w:ind w:left="-125" w:right="57" w:firstLine="283"/>
        <w:rPr>
          <w:rFonts w:ascii="Myriad Pro" w:eastAsia="Calibri" w:hAnsi="Myriad Pro"/>
          <w:b/>
          <w:bCs/>
          <w:i/>
          <w:snapToGrid/>
          <w:color w:val="709047"/>
          <w:szCs w:val="24"/>
        </w:rPr>
      </w:pPr>
      <w:r w:rsidRPr="00F41187">
        <w:rPr>
          <w:rFonts w:ascii="Myriad Pro" w:hAnsi="Myriad Pro"/>
          <w:b/>
          <w:bCs/>
          <w:i/>
          <w:snapToGrid/>
          <w:color w:val="709047"/>
          <w:szCs w:val="24"/>
        </w:rPr>
        <w:t>13:45 - 15:45</w:t>
      </w:r>
    </w:p>
    <w:p w:rsidR="00777D87" w:rsidRPr="00F41187" w:rsidRDefault="00777D87" w:rsidP="00726BB4">
      <w:pPr>
        <w:widowControl/>
        <w:ind w:left="-224" w:firstLine="283"/>
        <w:rPr>
          <w:rFonts w:ascii="Myriad Pro" w:eastAsia="Calibri" w:hAnsi="Myriad Pro"/>
          <w:b/>
          <w:smallCaps/>
          <w:snapToGrid/>
          <w:color w:val="595959"/>
          <w:sz w:val="28"/>
          <w:szCs w:val="28"/>
        </w:rPr>
      </w:pPr>
    </w:p>
    <w:p w:rsidR="00777D87" w:rsidRPr="00F41187" w:rsidRDefault="00777D87" w:rsidP="00726BB4">
      <w:pPr>
        <w:widowControl/>
        <w:ind w:left="-224" w:firstLine="283"/>
        <w:rPr>
          <w:rFonts w:ascii="Myriad Pro" w:eastAsia="Calibri" w:hAnsi="Myriad Pro"/>
          <w:b/>
          <w:smallCaps/>
          <w:snapToGrid/>
          <w:color w:val="595959"/>
          <w:sz w:val="20"/>
        </w:rPr>
      </w:pPr>
      <w:r w:rsidRPr="00F41187">
        <w:rPr>
          <w:rFonts w:ascii="Myriad Pro" w:hAnsi="Myriad Pro"/>
          <w:b/>
          <w:smallCaps/>
          <w:snapToGrid/>
          <w:color w:val="595959"/>
          <w:sz w:val="28"/>
          <w:szCs w:val="28"/>
        </w:rPr>
        <w:t>1.</w:t>
      </w:r>
      <w:r w:rsidRPr="00F41187">
        <w:rPr>
          <w:rFonts w:ascii="Myriad Pro" w:hAnsi="Myriad Pro"/>
          <w:b/>
          <w:smallCaps/>
          <w:snapToGrid/>
          <w:color w:val="595959"/>
          <w:sz w:val="28"/>
          <w:szCs w:val="28"/>
        </w:rPr>
        <w:tab/>
        <w:t>Adoption of the agenda</w:t>
      </w:r>
    </w:p>
    <w:p w:rsidR="00777D87" w:rsidRPr="00F41187" w:rsidRDefault="00777D87" w:rsidP="00726BB4">
      <w:pPr>
        <w:widowControl/>
        <w:tabs>
          <w:tab w:val="left" w:pos="3326"/>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ヒラギノ角ゴ Pro W3" w:hAnsi="Myriad Pro"/>
          <w:snapToGrid/>
          <w:color w:val="000000"/>
          <w:sz w:val="20"/>
        </w:rPr>
      </w:pPr>
    </w:p>
    <w:p w:rsidR="00777D87" w:rsidRPr="00F41187" w:rsidRDefault="00777D87" w:rsidP="00726BB4">
      <w:pPr>
        <w:widowControl/>
        <w:tabs>
          <w:tab w:val="left" w:pos="3326"/>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ヒラギノ角ゴ Pro W3" w:hAnsi="Myriad Pro"/>
          <w:snapToGrid/>
          <w:color w:val="000000"/>
          <w:sz w:val="20"/>
          <w:u w:val="single"/>
        </w:rPr>
      </w:pPr>
      <w:r w:rsidRPr="00F41187">
        <w:rPr>
          <w:rFonts w:ascii="Myriad Pro" w:hAnsi="Myriad Pro"/>
          <w:snapToGrid/>
          <w:color w:val="000000"/>
          <w:sz w:val="20"/>
        </w:rPr>
        <w:t xml:space="preserve">The draft agenda and meeting documents are available in the </w:t>
      </w:r>
      <w:hyperlink r:id="rId15" w:history="1">
        <w:r w:rsidRPr="00F41187">
          <w:rPr>
            <w:rFonts w:ascii="Myriad Pro" w:hAnsi="Myriad Pro"/>
            <w:snapToGrid/>
            <w:color w:val="0000FF"/>
            <w:sz w:val="20"/>
            <w:u w:val="single"/>
          </w:rPr>
          <w:t>meeting file.</w:t>
        </w:r>
      </w:hyperlink>
    </w:p>
    <w:p w:rsidR="00777D87" w:rsidRPr="00F41187" w:rsidRDefault="00777D87" w:rsidP="00726BB4">
      <w:pPr>
        <w:widowControl/>
        <w:tabs>
          <w:tab w:val="left" w:pos="3326"/>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ヒラギノ角ゴ Pro W3" w:hAnsi="Myriad Pro"/>
          <w:snapToGrid/>
          <w:sz w:val="20"/>
        </w:rPr>
      </w:pPr>
    </w:p>
    <w:p w:rsidR="00777D87" w:rsidRPr="00F41187" w:rsidRDefault="00777D87" w:rsidP="00726BB4">
      <w:pPr>
        <w:widowControl/>
        <w:tabs>
          <w:tab w:val="left" w:pos="3326"/>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ヒラギノ角ゴ Pro W3" w:hAnsi="Myriad Pro"/>
          <w:snapToGrid/>
          <w:sz w:val="20"/>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2.</w:t>
      </w:r>
      <w:r w:rsidRPr="00F41187">
        <w:rPr>
          <w:rFonts w:ascii="Myriad Pro" w:hAnsi="Myriad Pro"/>
          <w:b/>
          <w:smallCaps/>
          <w:snapToGrid/>
          <w:color w:val="595959"/>
          <w:sz w:val="28"/>
          <w:szCs w:val="28"/>
        </w:rPr>
        <w:tab/>
        <w:t>Chair’s announcements</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 xml:space="preserve">The Chair draws attention to the following points: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0"/>
        </w:rPr>
      </w:pPr>
      <w:r w:rsidRPr="00F41187">
        <w:rPr>
          <w:rFonts w:ascii="Myriad Pro" w:hAnsi="Myriad Pro"/>
          <w:b/>
          <w:snapToGrid/>
          <w:color w:val="709047"/>
          <w:sz w:val="20"/>
        </w:rPr>
        <w:t>Languages available</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bCs/>
          <w:snapToGrid/>
          <w:sz w:val="22"/>
          <w:szCs w:val="22"/>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bCs/>
          <w:snapToGrid/>
          <w:sz w:val="22"/>
          <w:szCs w:val="22"/>
        </w:rPr>
      </w:pPr>
      <w:r w:rsidRPr="00F41187">
        <w:rPr>
          <w:rFonts w:ascii="Calibri" w:hAnsi="Calibri"/>
          <w:bCs/>
          <w:snapToGrid/>
          <w:sz w:val="22"/>
          <w:szCs w:val="22"/>
        </w:rPr>
        <w:t xml:space="preserve">FR DE IT EN ES CS HU PL RO </w:t>
      </w:r>
      <w:r w:rsidRPr="00F41187">
        <w:rPr>
          <w:rFonts w:ascii="Calibri" w:hAnsi="Calibri"/>
          <w:snapToGrid/>
          <w:sz w:val="22"/>
          <w:szCs w:val="22"/>
        </w:rPr>
        <w:t>plus PT for the session with AGRI and ENVI</w:t>
      </w:r>
    </w:p>
    <w:p w:rsidR="00777D87" w:rsidRPr="00F41187" w:rsidRDefault="00777D87" w:rsidP="00726BB4">
      <w:pPr>
        <w:widowControl/>
        <w:autoSpaceDE w:val="0"/>
        <w:autoSpaceDN w:val="0"/>
        <w:adjustRightInd w:val="0"/>
        <w:ind w:left="-224" w:firstLine="283"/>
        <w:jc w:val="both"/>
        <w:rPr>
          <w:rFonts w:ascii="Myriad Pro" w:hAnsi="Myriad Pro" w:cs="Garamond"/>
          <w:snapToGrid/>
          <w:color w:val="000000"/>
          <w:sz w:val="20"/>
          <w:lang w:eastAsia="fr-FR"/>
        </w:rPr>
      </w:pPr>
    </w:p>
    <w:p w:rsidR="00777D87" w:rsidRPr="00F41187" w:rsidRDefault="00F411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0000FF"/>
          <w:sz w:val="20"/>
          <w:u w:val="single"/>
        </w:rPr>
      </w:pPr>
      <w:hyperlink r:id="rId16" w:history="1">
        <w:r w:rsidR="00C826D6" w:rsidRPr="00F41187">
          <w:rPr>
            <w:rFonts w:ascii="Myriad Pro" w:hAnsi="Myriad Pro"/>
            <w:b/>
            <w:snapToGrid/>
            <w:color w:val="0000FF"/>
            <w:sz w:val="20"/>
            <w:u w:val="single"/>
          </w:rPr>
          <w:t>Webstreaming</w:t>
        </w:r>
      </w:hyperlink>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hAnsi="Calibri"/>
          <w:snapToGrid/>
          <w:sz w:val="22"/>
          <w:szCs w:val="22"/>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 xml:space="preserve">The meeting will be webstreamed and can be followed live via the </w:t>
      </w:r>
      <w:hyperlink r:id="rId17" w:history="1">
        <w:r w:rsidRPr="00F41187">
          <w:rPr>
            <w:rFonts w:ascii="Myriad Pro" w:hAnsi="Myriad Pro"/>
            <w:snapToGrid/>
            <w:color w:val="0000FF"/>
            <w:sz w:val="20"/>
            <w:u w:val="single"/>
          </w:rPr>
          <w:t>CONT webpage</w:t>
        </w:r>
      </w:hyperlink>
      <w:r w:rsidRPr="00F41187">
        <w:rPr>
          <w:rFonts w:ascii="Myriad Pro" w:hAnsi="Myriad Pro"/>
          <w:snapToGrid/>
          <w:sz w:val="20"/>
        </w:rPr>
        <w:t>.</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jc w:val="center"/>
        <w:rPr>
          <w:rFonts w:ascii="Myriad Pro" w:eastAsia="Calibri" w:hAnsi="Myriad Pro"/>
          <w:b/>
          <w:i/>
          <w:snapToGrid/>
          <w:color w:val="709047"/>
          <w:sz w:val="22"/>
          <w:szCs w:val="22"/>
        </w:rPr>
      </w:pPr>
      <w:r w:rsidRPr="00F41187">
        <w:rPr>
          <w:rFonts w:ascii="Myriad Pro" w:hAnsi="Myriad Pro"/>
          <w:b/>
          <w:bCs/>
          <w:i/>
          <w:iCs/>
          <w:snapToGrid/>
          <w:color w:val="709047"/>
          <w:sz w:val="22"/>
          <w:szCs w:val="22"/>
        </w:rPr>
        <w:t>Opening of the remote voting procedure: first voting session</w:t>
      </w:r>
    </w:p>
    <w:p w:rsidR="00777D87" w:rsidRPr="00F41187" w:rsidRDefault="00777D87" w:rsidP="00726BB4">
      <w:pPr>
        <w:widowControl/>
        <w:ind w:left="-224" w:firstLine="283"/>
        <w:jc w:val="center"/>
        <w:rPr>
          <w:rFonts w:ascii="Myriad Pro" w:eastAsia="Calibri" w:hAnsi="Myriad Pro"/>
          <w:b/>
          <w:bCs/>
          <w:i/>
          <w:iCs/>
          <w:snapToGrid/>
          <w:color w:val="709047"/>
          <w:sz w:val="22"/>
          <w:szCs w:val="22"/>
          <w:lang w:eastAsia="en-GB"/>
        </w:rPr>
      </w:pPr>
    </w:p>
    <w:p w:rsidR="00777D87" w:rsidRPr="00F41187" w:rsidRDefault="00777D87" w:rsidP="00726BB4">
      <w:pPr>
        <w:widowControl/>
        <w:ind w:left="-224" w:firstLine="283"/>
        <w:jc w:val="center"/>
        <w:rPr>
          <w:rFonts w:ascii="Myriad Pro" w:eastAsia="Calibri" w:hAnsi="Myriad Pro"/>
          <w:b/>
          <w:i/>
          <w:snapToGrid/>
          <w:color w:val="709047"/>
          <w:sz w:val="22"/>
          <w:szCs w:val="22"/>
        </w:rPr>
      </w:pPr>
      <w:r w:rsidRPr="00F41187">
        <w:rPr>
          <w:rFonts w:ascii="Myriad Pro" w:hAnsi="Myriad Pro"/>
          <w:b/>
          <w:bCs/>
          <w:i/>
          <w:iCs/>
          <w:snapToGrid/>
          <w:color w:val="709047"/>
          <w:sz w:val="22"/>
          <w:szCs w:val="22"/>
        </w:rPr>
        <w:lastRenderedPageBreak/>
        <w:t>Voting procedure will be open from 13h45 to 14h45</w:t>
      </w:r>
    </w:p>
    <w:p w:rsidR="00777D87" w:rsidRPr="00F41187" w:rsidRDefault="00777D87" w:rsidP="00726BB4">
      <w:pPr>
        <w:widowControl/>
        <w:ind w:left="-224" w:firstLine="283"/>
        <w:jc w:val="center"/>
        <w:rPr>
          <w:rFonts w:ascii="Myriad Pro" w:eastAsia="Calibri" w:hAnsi="Myriad Pro"/>
          <w:b/>
          <w:i/>
          <w:snapToGrid/>
          <w:color w:val="709047"/>
          <w:sz w:val="22"/>
          <w:szCs w:val="22"/>
          <w:lang w:eastAsia="en-GB"/>
        </w:rPr>
      </w:pPr>
    </w:p>
    <w:p w:rsidR="00777D87" w:rsidRPr="00F41187" w:rsidRDefault="00777D87" w:rsidP="00726BB4">
      <w:pPr>
        <w:widowControl/>
        <w:pBdr>
          <w:top w:val="single" w:sz="4" w:space="1" w:color="auto"/>
          <w:left w:val="single" w:sz="4" w:space="4" w:color="auto"/>
          <w:bottom w:val="single" w:sz="4" w:space="1" w:color="auto"/>
          <w:right w:val="single" w:sz="4" w:space="4" w:color="auto"/>
        </w:pBdr>
        <w:spacing w:before="240" w:after="160" w:line="259" w:lineRule="auto"/>
        <w:ind w:left="-142" w:firstLine="283"/>
        <w:jc w:val="both"/>
        <w:rPr>
          <w:rFonts w:ascii="Myriad Pro" w:eastAsia="Calibri" w:hAnsi="Myriad Pro"/>
          <w:b/>
          <w:i/>
          <w:snapToGrid/>
          <w:color w:val="709047"/>
          <w:sz w:val="22"/>
          <w:szCs w:val="22"/>
        </w:rPr>
      </w:pPr>
      <w:r w:rsidRPr="00F41187">
        <w:rPr>
          <w:rFonts w:ascii="Calibri" w:hAnsi="Calibri"/>
          <w:b/>
          <w:bCs/>
          <w:i/>
          <w:iCs/>
          <w:snapToGrid/>
          <w:sz w:val="22"/>
          <w:szCs w:val="22"/>
        </w:rPr>
        <w:t xml:space="preserve">All Members taking part in the vote (either present in committee meeting room or via remote participation) will vote via the application </w:t>
      </w:r>
      <w:r w:rsidRPr="00F41187">
        <w:rPr>
          <w:rFonts w:ascii="Calibri" w:hAnsi="Calibri"/>
          <w:b/>
          <w:bCs/>
          <w:i/>
          <w:iCs/>
          <w:snapToGrid/>
          <w:sz w:val="22"/>
          <w:szCs w:val="22"/>
          <w:u w:val="single"/>
        </w:rPr>
        <w:t>EP-Vote.</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center"/>
        <w:rPr>
          <w:rFonts w:ascii="Myriad Pro" w:hAnsi="Myriad Pro"/>
          <w:snapToGrid/>
          <w:sz w:val="20"/>
        </w:rPr>
      </w:pPr>
      <w:r w:rsidRPr="00F41187">
        <w:rPr>
          <w:rFonts w:ascii="Calibri" w:hAnsi="Calibri"/>
          <w:snapToGrid/>
          <w:sz w:val="22"/>
          <w:szCs w:val="22"/>
          <w:lang w:eastAsia="en-GB"/>
        </w:rPr>
        <w:drawing>
          <wp:inline distT="0" distB="0" distL="0" distR="0" wp14:anchorId="69B0869B" wp14:editId="3428E5AA">
            <wp:extent cx="2252345" cy="1416483"/>
            <wp:effectExtent l="0" t="0" r="0" b="0"/>
            <wp:docPr id="5" name="Picture 5" descr="Image of a keyboard with one button written vot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a keyboard with one button written vote on 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2267" cy="1429012"/>
                    </a:xfrm>
                    <a:prstGeom prst="rect">
                      <a:avLst/>
                    </a:prstGeom>
                    <a:noFill/>
                    <a:ln>
                      <a:noFill/>
                    </a:ln>
                  </pic:spPr>
                </pic:pic>
              </a:graphicData>
            </a:graphic>
          </wp:inline>
        </w:drawing>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jc w:val="both"/>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3.</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Establishing a Recovery and Resilience Facility</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rPr>
      </w:pPr>
      <w:r w:rsidRPr="00F41187">
        <w:rPr>
          <w:rFonts w:ascii="Myriad Pro" w:hAnsi="Myriad Pro"/>
          <w:snapToGrid/>
          <w:color w:val="595959"/>
          <w:sz w:val="20"/>
          <w:szCs w:val="28"/>
        </w:rPr>
        <w:t xml:space="preserve">CONT/9/03552 - </w:t>
      </w:r>
      <w:hyperlink r:id="rId19" w:history="1">
        <w:r w:rsidRPr="00F41187">
          <w:rPr>
            <w:rFonts w:ascii="Calibri" w:hAnsi="Calibri"/>
            <w:snapToGrid/>
            <w:color w:val="0000FF"/>
            <w:sz w:val="22"/>
            <w:szCs w:val="22"/>
            <w:u w:val="single"/>
          </w:rPr>
          <w:t>2020/0104(COD)</w:t>
        </w:r>
      </w:hyperlink>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rPr>
          <w:rFonts w:ascii="Myriad Pro" w:eastAsia="Calibri" w:hAnsi="Myriad Pro"/>
          <w:b/>
          <w:snapToGrid/>
          <w:color w:val="709047"/>
          <w:sz w:val="22"/>
          <w:szCs w:val="22"/>
        </w:rPr>
      </w:pPr>
      <w:r w:rsidRPr="00F41187">
        <w:rPr>
          <w:rFonts w:ascii="Calibri" w:hAnsi="Calibri"/>
          <w:snapToGrid/>
          <w:sz w:val="22"/>
          <w:szCs w:val="22"/>
          <w:lang w:eastAsia="en-GB"/>
        </w:rPr>
        <w:drawing>
          <wp:anchor distT="0" distB="0" distL="114300" distR="114300" simplePos="0" relativeHeight="251663360" behindDoc="0" locked="0" layoutInCell="1" allowOverlap="1" wp14:anchorId="1FFF802E" wp14:editId="27E51AE3">
            <wp:simplePos x="0" y="0"/>
            <wp:positionH relativeFrom="column">
              <wp:posOffset>-123825</wp:posOffset>
            </wp:positionH>
            <wp:positionV relativeFrom="paragraph">
              <wp:posOffset>149225</wp:posOffset>
            </wp:positionV>
            <wp:extent cx="1628775" cy="20383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2038350"/>
                    </a:xfrm>
                    <a:prstGeom prst="rect">
                      <a:avLst/>
                    </a:prstGeom>
                    <a:noFill/>
                    <a:ln>
                      <a:noFill/>
                    </a:ln>
                  </pic:spPr>
                </pic:pic>
              </a:graphicData>
            </a:graphic>
          </wp:anchor>
        </w:drawing>
      </w:r>
      <w:r w:rsidRPr="00F41187">
        <w:rPr>
          <w:rFonts w:ascii="Myriad Pro" w:hAnsi="Myriad Pro"/>
          <w:b/>
          <w:snapToGrid/>
          <w:color w:val="709047"/>
          <w:sz w:val="22"/>
          <w:szCs w:val="22"/>
          <w:lang w:eastAsia="en-GB"/>
        </w:rPr>
        <w:drawing>
          <wp:anchor distT="0" distB="0" distL="114300" distR="114300" simplePos="0" relativeHeight="251662336" behindDoc="0" locked="0" layoutInCell="1" allowOverlap="1" wp14:anchorId="1B453675" wp14:editId="4946DEA0">
            <wp:simplePos x="0" y="0"/>
            <wp:positionH relativeFrom="column">
              <wp:posOffset>-122555</wp:posOffset>
            </wp:positionH>
            <wp:positionV relativeFrom="paragraph">
              <wp:posOffset>147955</wp:posOffset>
            </wp:positionV>
            <wp:extent cx="1299845" cy="16243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9845"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1187">
        <w:rPr>
          <w:rFonts w:ascii="Myriad Pro" w:hAnsi="Myriad Pro"/>
          <w:b/>
          <w:bCs/>
          <w:snapToGrid/>
          <w:color w:val="709047"/>
          <w:sz w:val="22"/>
          <w:szCs w:val="22"/>
        </w:rPr>
        <w:t>Adoption of draft opinion</w:t>
      </w:r>
    </w:p>
    <w:p w:rsidR="00777D87" w:rsidRPr="00F41187" w:rsidRDefault="00777D87" w:rsidP="00726BB4">
      <w:pPr>
        <w:widowControl/>
        <w:ind w:left="-126" w:firstLine="283"/>
        <w:rPr>
          <w:rFonts w:ascii="Myriad Pro" w:eastAsia="Calibri" w:hAnsi="Myriad Pro"/>
          <w:snapToGrid/>
          <w:color w:val="000000"/>
          <w:sz w:val="20"/>
        </w:rPr>
      </w:pP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Rapporteur:</w:t>
      </w:r>
      <w:r w:rsidRPr="00F41187">
        <w:rPr>
          <w:rFonts w:ascii="Myriad Pro" w:hAnsi="Myriad Pro"/>
          <w:snapToGrid/>
          <w:color w:val="000000"/>
          <w:sz w:val="20"/>
        </w:rPr>
        <w:tab/>
      </w:r>
      <w:hyperlink r:id="rId22" w:history="1">
        <w:r w:rsidRPr="00F41187">
          <w:rPr>
            <w:rFonts w:ascii="Myriad Pro" w:hAnsi="Myriad Pro"/>
            <w:snapToGrid/>
            <w:color w:val="0000FF"/>
            <w:sz w:val="20"/>
            <w:u w:val="single"/>
          </w:rPr>
          <w:t>Monika Hohlmeier</w:t>
        </w:r>
      </w:hyperlink>
      <w:r w:rsidRPr="00F41187">
        <w:rPr>
          <w:rFonts w:ascii="Myriad Pro" w:hAnsi="Myriad Pro"/>
          <w:snapToGrid/>
          <w:color w:val="000000"/>
          <w:sz w:val="20"/>
        </w:rPr>
        <w:t xml:space="preserve"> (EPP)</w:t>
      </w: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 xml:space="preserve">Administrator: </w:t>
      </w:r>
      <w:r w:rsidRPr="00F41187">
        <w:rPr>
          <w:rFonts w:ascii="Myriad Pro" w:hAnsi="Myriad Pro"/>
          <w:snapToGrid/>
          <w:color w:val="000000"/>
          <w:sz w:val="20"/>
        </w:rPr>
        <w:tab/>
        <w:t>Hans Stander</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tabs>
          <w:tab w:val="left" w:pos="4395"/>
        </w:tabs>
        <w:ind w:left="-224" w:firstLine="283"/>
        <w:jc w:val="both"/>
        <w:rPr>
          <w:rFonts w:ascii="Myriad Pro" w:eastAsia="Calibri" w:hAnsi="Myriad Pro"/>
          <w:snapToGrid/>
          <w:color w:val="000000"/>
          <w:sz w:val="20"/>
        </w:rPr>
      </w:pPr>
      <w:r w:rsidRPr="00F41187">
        <w:rPr>
          <w:rFonts w:ascii="Myriad Pro" w:hAnsi="Myriad Pro"/>
          <w:snapToGrid/>
          <w:color w:val="000000"/>
          <w:sz w:val="20"/>
        </w:rPr>
        <w:t>Shadow Rapporteurs:</w:t>
      </w:r>
      <w:r w:rsidRPr="00F41187">
        <w:rPr>
          <w:rFonts w:ascii="Myriad Pro" w:hAnsi="Myriad Pro"/>
          <w:snapToGrid/>
          <w:color w:val="000000"/>
          <w:sz w:val="20"/>
        </w:rPr>
        <w:tab/>
        <w:t>Isabel G</w:t>
      </w:r>
      <w:r w:rsidRPr="00F41187">
        <w:rPr>
          <w:rFonts w:ascii="Myriad Pro" w:hAnsi="Myriad Pro"/>
          <w:snapToGrid/>
          <w:color w:val="000000"/>
          <w:sz w:val="18"/>
        </w:rPr>
        <w:t>arcía</w:t>
      </w:r>
      <w:r w:rsidRPr="00F41187">
        <w:rPr>
          <w:rFonts w:ascii="Myriad Pro" w:hAnsi="Myriad Pro"/>
          <w:snapToGrid/>
          <w:color w:val="000000"/>
          <w:sz w:val="20"/>
        </w:rPr>
        <w:t xml:space="preserve"> Muñoz (S&amp;D), Gilles Boyer (RE), Viola Von Cramon-Taubadel (Greens), Ryszard Czarnecki (ECR), Joachim Kuhs (ID), Younous Omarjee (GUE/NGL)</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In its meeting of 28 September, the Members of the Committee discussed the draft opinion of the committee on the establishment of the Recovery and Resilience Facility (RRF).</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The Commission submitted a proposal for the RRF, based on Article 175(3) TFEU, to support the recovery from the crisis and to make Member States' economies more resilient. The Facility will offer large </w:t>
      </w:r>
      <w:r w:rsidRPr="00F41187">
        <w:rPr>
          <w:lang w:eastAsia="en-GB"/>
        </w:rPr>
        <w:drawing>
          <wp:anchor distT="0" distB="0" distL="114300" distR="114300" simplePos="0" relativeHeight="251668480" behindDoc="1" locked="0" layoutInCell="1" allowOverlap="1" wp14:anchorId="3ED77BD6" wp14:editId="6BB6A72B">
            <wp:simplePos x="0" y="0"/>
            <wp:positionH relativeFrom="column">
              <wp:posOffset>3587750</wp:posOffset>
            </wp:positionH>
            <wp:positionV relativeFrom="paragraph">
              <wp:posOffset>55245</wp:posOffset>
            </wp:positionV>
            <wp:extent cx="2724150" cy="1684020"/>
            <wp:effectExtent l="0" t="0" r="0" b="0"/>
            <wp:wrapTight wrapText="bothSides">
              <wp:wrapPolygon edited="0">
                <wp:start x="0" y="0"/>
                <wp:lineTo x="0" y="21258"/>
                <wp:lineTo x="21449" y="21258"/>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150" cy="1684020"/>
                    </a:xfrm>
                    <a:prstGeom prst="rect">
                      <a:avLst/>
                    </a:prstGeom>
                  </pic:spPr>
                </pic:pic>
              </a:graphicData>
            </a:graphic>
            <wp14:sizeRelH relativeFrom="margin">
              <wp14:pctWidth>0</wp14:pctWidth>
            </wp14:sizeRelH>
            <wp14:sizeRelV relativeFrom="margin">
              <wp14:pctHeight>0</wp14:pctHeight>
            </wp14:sizeRelV>
          </wp:anchor>
        </w:drawing>
      </w:r>
      <w:r w:rsidRPr="00F41187">
        <w:rPr>
          <w:rFonts w:ascii="Myriad Pro" w:hAnsi="Myriad Pro"/>
          <w:snapToGrid/>
          <w:color w:val="000000"/>
          <w:sz w:val="20"/>
        </w:rPr>
        <w:t xml:space="preserve">scale financial support for public investment and reforms in the Member States. The Facility is part of the EUR 750 billion Next Generation EU (NGEU).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The deadline for amendments on the proposal lapsed on 29 September and the Members tabled 212 amendments. As became clear during the discussion on 28 September, the contributions of the Members were quite aligned, focusing mainly on the issue of the Rule of Law, the Protection of the EU financial interest, the position of the RRF in the discharge procedure and related reporting by the Commission and the adoption of the Recovery and Resilience plans.</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The rapporteur convened a shadows’ meeting in which agreement was found on several compromise agreements.</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color w:val="000000"/>
          <w:sz w:val="20"/>
        </w:rPr>
        <w:t xml:space="preserve">For more information, see the opinion’s </w:t>
      </w:r>
      <w:hyperlink r:id="rId24" w:history="1">
        <w:r w:rsidRPr="00F41187">
          <w:rPr>
            <w:rFonts w:ascii="Myriad Pro" w:hAnsi="Myriad Pro"/>
            <w:snapToGrid/>
            <w:color w:val="0000FF"/>
            <w:sz w:val="20"/>
            <w:u w:val="single"/>
          </w:rPr>
          <w:t>subject file</w:t>
        </w:r>
      </w:hyperlink>
      <w:r w:rsidRPr="00F41187">
        <w:rPr>
          <w:rFonts w:ascii="Myriad Pro" w:hAnsi="Myriad Pro"/>
          <w:snapToGrid/>
          <w:color w:val="000000"/>
          <w:sz w:val="20"/>
        </w:rPr>
        <w:t xml:space="preserve"> on the CONT website.</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767171"/>
          <w:sz w:val="20"/>
        </w:rPr>
      </w:pPr>
      <w:r w:rsidRPr="00F41187">
        <w:rPr>
          <w:rFonts w:ascii="Myriad Pro" w:hAnsi="Myriad Pro"/>
          <w:snapToGrid/>
          <w:color w:val="767171"/>
          <w:sz w:val="20"/>
        </w:rPr>
        <w:t>Procedure Timetable</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2461"/>
        <w:gridCol w:w="3006"/>
      </w:tblGrid>
      <w:tr w:rsidR="00777D87" w:rsidRPr="00F41187" w:rsidTr="00A901EA">
        <w:tc>
          <w:tcPr>
            <w:tcW w:w="3539" w:type="dxa"/>
            <w:tcMar>
              <w:top w:w="0" w:type="dxa"/>
              <w:left w:w="108" w:type="dxa"/>
              <w:bottom w:w="0" w:type="dxa"/>
              <w:right w:w="108" w:type="dxa"/>
            </w:tcMar>
            <w:hideMark/>
          </w:tcPr>
          <w:p w:rsidR="00777D87" w:rsidRPr="00F41187" w:rsidRDefault="00777D87" w:rsidP="00726BB4">
            <w:pPr>
              <w:widowControl/>
              <w:ind w:left="19" w:firstLine="283"/>
              <w:rPr>
                <w:rFonts w:ascii="Myriad Pro" w:eastAsia="Calibri" w:hAnsi="Myriad Pro"/>
                <w:b/>
                <w:bCs/>
                <w:snapToGrid/>
                <w:color w:val="767171"/>
                <w:sz w:val="20"/>
              </w:rPr>
            </w:pPr>
            <w:r w:rsidRPr="00F41187">
              <w:rPr>
                <w:rFonts w:ascii="Myriad Pro" w:hAnsi="Myriad Pro"/>
                <w:b/>
                <w:bCs/>
                <w:snapToGrid/>
                <w:color w:val="767171"/>
                <w:sz w:val="20"/>
              </w:rPr>
              <w:t>Event</w:t>
            </w:r>
          </w:p>
        </w:tc>
        <w:tc>
          <w:tcPr>
            <w:tcW w:w="2461" w:type="dxa"/>
            <w:tcMar>
              <w:top w:w="0" w:type="dxa"/>
              <w:left w:w="108" w:type="dxa"/>
              <w:bottom w:w="0" w:type="dxa"/>
              <w:right w:w="108" w:type="dxa"/>
            </w:tcMar>
            <w:hideMark/>
          </w:tcPr>
          <w:p w:rsidR="00777D87" w:rsidRPr="00F41187" w:rsidRDefault="00777D87" w:rsidP="00726BB4">
            <w:pPr>
              <w:widowControl/>
              <w:ind w:left="19" w:firstLine="283"/>
              <w:rPr>
                <w:rFonts w:ascii="Myriad Pro" w:eastAsia="Calibri" w:hAnsi="Myriad Pro"/>
                <w:b/>
                <w:bCs/>
                <w:snapToGrid/>
                <w:color w:val="767171"/>
                <w:sz w:val="20"/>
              </w:rPr>
            </w:pPr>
            <w:r w:rsidRPr="00F41187">
              <w:rPr>
                <w:rFonts w:ascii="Myriad Pro" w:hAnsi="Myriad Pro"/>
                <w:b/>
                <w:bCs/>
                <w:snapToGrid/>
                <w:color w:val="767171"/>
                <w:sz w:val="20"/>
              </w:rPr>
              <w:t>Body</w:t>
            </w:r>
          </w:p>
        </w:tc>
        <w:tc>
          <w:tcPr>
            <w:tcW w:w="3006" w:type="dxa"/>
            <w:tcMar>
              <w:top w:w="0" w:type="dxa"/>
              <w:left w:w="108" w:type="dxa"/>
              <w:bottom w:w="0" w:type="dxa"/>
              <w:right w:w="108" w:type="dxa"/>
            </w:tcMar>
            <w:hideMark/>
          </w:tcPr>
          <w:p w:rsidR="00777D87" w:rsidRPr="00F41187" w:rsidRDefault="00777D87" w:rsidP="00726BB4">
            <w:pPr>
              <w:widowControl/>
              <w:ind w:left="19" w:firstLine="283"/>
              <w:rPr>
                <w:rFonts w:ascii="Myriad Pro" w:eastAsia="Calibri" w:hAnsi="Myriad Pro"/>
                <w:b/>
                <w:bCs/>
                <w:snapToGrid/>
                <w:color w:val="767171"/>
                <w:sz w:val="20"/>
              </w:rPr>
            </w:pPr>
            <w:r w:rsidRPr="00F41187">
              <w:rPr>
                <w:rFonts w:ascii="Myriad Pro" w:hAnsi="Myriad Pro"/>
                <w:b/>
                <w:bCs/>
                <w:snapToGrid/>
                <w:color w:val="767171"/>
                <w:sz w:val="20"/>
              </w:rPr>
              <w:t>Date</w:t>
            </w:r>
          </w:p>
        </w:tc>
      </w:tr>
      <w:tr w:rsidR="00777D87" w:rsidRPr="00F41187" w:rsidTr="00A901EA">
        <w:tc>
          <w:tcPr>
            <w:tcW w:w="3539"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Vote in CONT</w:t>
            </w:r>
          </w:p>
        </w:tc>
        <w:tc>
          <w:tcPr>
            <w:tcW w:w="2461"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CONT</w:t>
            </w:r>
          </w:p>
        </w:tc>
        <w:tc>
          <w:tcPr>
            <w:tcW w:w="3006"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15 October 2020</w:t>
            </w:r>
          </w:p>
        </w:tc>
      </w:tr>
      <w:tr w:rsidR="00777D87" w:rsidRPr="00F41187" w:rsidTr="00A901EA">
        <w:tc>
          <w:tcPr>
            <w:tcW w:w="3539"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Vote in Joint BUDG - ECON</w:t>
            </w:r>
          </w:p>
        </w:tc>
        <w:tc>
          <w:tcPr>
            <w:tcW w:w="2461"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BUDG-ECON</w:t>
            </w:r>
          </w:p>
        </w:tc>
        <w:tc>
          <w:tcPr>
            <w:tcW w:w="3006"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26 October 2020</w:t>
            </w:r>
          </w:p>
        </w:tc>
      </w:tr>
      <w:tr w:rsidR="00777D87" w:rsidRPr="00F41187" w:rsidTr="00A901EA">
        <w:tc>
          <w:tcPr>
            <w:tcW w:w="3539"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lastRenderedPageBreak/>
              <w:t>Adoption of report</w:t>
            </w:r>
          </w:p>
        </w:tc>
        <w:tc>
          <w:tcPr>
            <w:tcW w:w="2461"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Plenary</w:t>
            </w:r>
          </w:p>
        </w:tc>
        <w:tc>
          <w:tcPr>
            <w:tcW w:w="3006"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tbc</w:t>
            </w:r>
          </w:p>
        </w:tc>
      </w:tr>
    </w:tbl>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4.</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Investigations conducted by the European Anti-Fraud Office (OLAF) as regards cooperation with the European Public Prosecutor's Office and the effectiveness of OLAF investigations</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rPr>
      </w:pPr>
      <w:r w:rsidRPr="00F41187">
        <w:rPr>
          <w:rFonts w:ascii="Myriad Pro" w:hAnsi="Myriad Pro"/>
          <w:snapToGrid/>
          <w:color w:val="595959"/>
          <w:sz w:val="20"/>
          <w:szCs w:val="28"/>
        </w:rPr>
        <w:t xml:space="preserve">CONT/9/01460 - </w:t>
      </w:r>
      <w:hyperlink r:id="rId25" w:history="1">
        <w:r w:rsidRPr="00F41187">
          <w:rPr>
            <w:rFonts w:ascii="Myriad Pro" w:hAnsi="Myriad Pro"/>
            <w:snapToGrid/>
            <w:color w:val="0000FF"/>
            <w:sz w:val="20"/>
            <w:szCs w:val="28"/>
            <w:u w:val="single"/>
          </w:rPr>
          <w:t>2018/0170(COD)</w:t>
        </w:r>
      </w:hyperlink>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Calibri" w:hAnsi="Calibri"/>
          <w:snapToGrid/>
          <w:sz w:val="22"/>
          <w:szCs w:val="22"/>
          <w:lang w:eastAsia="en-GB"/>
        </w:rPr>
        <w:drawing>
          <wp:anchor distT="0" distB="0" distL="114300" distR="114300" simplePos="0" relativeHeight="251660288" behindDoc="0" locked="0" layoutInCell="1" allowOverlap="1" wp14:anchorId="59380213" wp14:editId="54B46AA4">
            <wp:simplePos x="0" y="0"/>
            <wp:positionH relativeFrom="column">
              <wp:posOffset>3810</wp:posOffset>
            </wp:positionH>
            <wp:positionV relativeFrom="paragraph">
              <wp:posOffset>151765</wp:posOffset>
            </wp:positionV>
            <wp:extent cx="1450800" cy="183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ING PLAN_New arborescence\5 COMMUNICATION\5.1.4 NEWSLETTERS\CONT News\CONT Members\ZDECHOVSKÝ.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D87" w:rsidRPr="00F41187" w:rsidRDefault="00777D87" w:rsidP="00726BB4">
      <w:pPr>
        <w:widowControl/>
        <w:ind w:left="1100" w:firstLine="283"/>
        <w:rPr>
          <w:rFonts w:ascii="Myriad Pro" w:eastAsia="Calibri" w:hAnsi="Myriad Pro"/>
          <w:b/>
          <w:snapToGrid/>
          <w:color w:val="709047"/>
          <w:sz w:val="22"/>
          <w:szCs w:val="22"/>
        </w:rPr>
      </w:pPr>
      <w:r w:rsidRPr="00F41187">
        <w:rPr>
          <w:rFonts w:ascii="Myriad Pro" w:hAnsi="Myriad Pro"/>
          <w:b/>
          <w:bCs/>
          <w:snapToGrid/>
          <w:color w:val="709047"/>
          <w:sz w:val="22"/>
          <w:szCs w:val="22"/>
        </w:rPr>
        <w:t>Adoption of the provisional agreement resulting from interinstitutional negotiations</w:t>
      </w:r>
    </w:p>
    <w:p w:rsidR="00777D87" w:rsidRPr="00F41187" w:rsidRDefault="00777D87" w:rsidP="00726BB4">
      <w:pPr>
        <w:widowControl/>
        <w:ind w:left="-126" w:firstLine="283"/>
        <w:rPr>
          <w:rFonts w:ascii="Myriad Pro" w:eastAsia="Calibri" w:hAnsi="Myriad Pro"/>
          <w:snapToGrid/>
          <w:color w:val="000000"/>
          <w:sz w:val="20"/>
        </w:rPr>
      </w:pP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Rapporteur:</w:t>
      </w:r>
      <w:r w:rsidRPr="00F41187">
        <w:rPr>
          <w:rFonts w:ascii="Myriad Pro" w:hAnsi="Myriad Pro"/>
          <w:snapToGrid/>
          <w:color w:val="000000"/>
          <w:sz w:val="20"/>
        </w:rPr>
        <w:tab/>
      </w:r>
      <w:hyperlink r:id="rId27" w:history="1">
        <w:r w:rsidRPr="00F41187">
          <w:rPr>
            <w:rFonts w:ascii="Calibri" w:hAnsi="Calibri"/>
            <w:snapToGrid/>
            <w:color w:val="0000FF"/>
            <w:sz w:val="22"/>
            <w:szCs w:val="22"/>
            <w:u w:val="single"/>
          </w:rPr>
          <w:t>Marian-Jean Marinescu</w:t>
        </w:r>
      </w:hyperlink>
      <w:r w:rsidRPr="00F41187">
        <w:rPr>
          <w:rFonts w:ascii="Calibri" w:hAnsi="Calibri"/>
          <w:snapToGrid/>
          <w:sz w:val="22"/>
          <w:szCs w:val="22"/>
        </w:rPr>
        <w:t xml:space="preserve"> </w:t>
      </w:r>
      <w:r w:rsidRPr="00F41187">
        <w:rPr>
          <w:rFonts w:ascii="Myriad Pro" w:hAnsi="Myriad Pro"/>
          <w:snapToGrid/>
          <w:color w:val="000000"/>
          <w:sz w:val="20"/>
        </w:rPr>
        <w:t>(EPP)</w:t>
      </w: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 xml:space="preserve">Administrator: </w:t>
      </w:r>
      <w:r w:rsidRPr="00F41187">
        <w:rPr>
          <w:rFonts w:ascii="Myriad Pro" w:hAnsi="Myriad Pro"/>
          <w:snapToGrid/>
          <w:color w:val="000000"/>
          <w:sz w:val="20"/>
        </w:rPr>
        <w:tab/>
        <w:t>Aleksi Hyvatti</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Shadow Rapporteurs: Caterina Chinnici (S&amp;D), Martina Dlabajová (RE), Jean-François Jalkh (ID), Michèle Rivasi (Greens), Ryszard Czarnecki (ECR), Luke Ming Flanagan (GUE)</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On the CONT meeting of 6 July 2020, the Rapporteur for the revision of the OLAF Regulation reported back to CONT Committee on the outcome of the interinstitutional trilogue negotiations. The third and last trilogue meeting took place on 26 June 2020 in the European Parliament, and in remote participation. The first two trilogue meetings were held on 5 November and 12 December 2019 respectively.</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As the interinstitutional negotiations have led to a compromise, in accordance with Rule 74(4) of the Parliament's Rules of Procedure, the provisional agreement has been submitted as a whole to the CONT Committee for confirmation by way of a single vote.</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This file will not proceed to plenary directly, as it is in early second reading phase. After a positive vote, a confirmation letter by the CONT Chair would be sent to the Council, which would then initiate their first reading procedure on the basis of this text. Only once the Council formally adopts its first reading, and it is announced in plenary, CONT will have a second vote on the file, in preparation of the second reading. The second vote will be on the recommendation for the plenary to accept the Council's first reading without amendments as the Parliament's second reading position. The timetable for the next steps is still to be decided.</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767171"/>
          <w:sz w:val="20"/>
        </w:rPr>
      </w:pPr>
      <w:r w:rsidRPr="00F41187">
        <w:rPr>
          <w:rFonts w:ascii="Myriad Pro" w:hAnsi="Myriad Pro"/>
          <w:snapToGrid/>
          <w:color w:val="767171"/>
          <w:sz w:val="20"/>
        </w:rPr>
        <w:t>Procedure Timetable</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2461"/>
        <w:gridCol w:w="3006"/>
      </w:tblGrid>
      <w:tr w:rsidR="00777D87" w:rsidRPr="00F41187" w:rsidTr="00A901EA">
        <w:tc>
          <w:tcPr>
            <w:tcW w:w="3539" w:type="dxa"/>
            <w:tcMar>
              <w:top w:w="0" w:type="dxa"/>
              <w:left w:w="108" w:type="dxa"/>
              <w:bottom w:w="0" w:type="dxa"/>
              <w:right w:w="108" w:type="dxa"/>
            </w:tcMar>
            <w:hideMark/>
          </w:tcPr>
          <w:p w:rsidR="00777D87" w:rsidRPr="00F41187" w:rsidRDefault="00777D87" w:rsidP="00726BB4">
            <w:pPr>
              <w:widowControl/>
              <w:ind w:left="19" w:firstLine="283"/>
              <w:rPr>
                <w:rFonts w:ascii="Myriad Pro" w:eastAsia="Calibri" w:hAnsi="Myriad Pro"/>
                <w:b/>
                <w:bCs/>
                <w:snapToGrid/>
                <w:color w:val="767171"/>
                <w:sz w:val="20"/>
              </w:rPr>
            </w:pPr>
            <w:r w:rsidRPr="00F41187">
              <w:rPr>
                <w:rFonts w:ascii="Myriad Pro" w:hAnsi="Myriad Pro"/>
                <w:b/>
                <w:bCs/>
                <w:snapToGrid/>
                <w:color w:val="767171"/>
                <w:sz w:val="20"/>
              </w:rPr>
              <w:t>Event</w:t>
            </w:r>
          </w:p>
        </w:tc>
        <w:tc>
          <w:tcPr>
            <w:tcW w:w="2461" w:type="dxa"/>
            <w:tcMar>
              <w:top w:w="0" w:type="dxa"/>
              <w:left w:w="108" w:type="dxa"/>
              <w:bottom w:w="0" w:type="dxa"/>
              <w:right w:w="108" w:type="dxa"/>
            </w:tcMar>
            <w:hideMark/>
          </w:tcPr>
          <w:p w:rsidR="00777D87" w:rsidRPr="00F41187" w:rsidRDefault="00777D87" w:rsidP="00726BB4">
            <w:pPr>
              <w:widowControl/>
              <w:ind w:left="19" w:firstLine="283"/>
              <w:rPr>
                <w:rFonts w:ascii="Myriad Pro" w:eastAsia="Calibri" w:hAnsi="Myriad Pro"/>
                <w:b/>
                <w:bCs/>
                <w:snapToGrid/>
                <w:color w:val="767171"/>
                <w:sz w:val="20"/>
              </w:rPr>
            </w:pPr>
            <w:r w:rsidRPr="00F41187">
              <w:rPr>
                <w:rFonts w:ascii="Myriad Pro" w:hAnsi="Myriad Pro"/>
                <w:b/>
                <w:bCs/>
                <w:snapToGrid/>
                <w:color w:val="767171"/>
                <w:sz w:val="20"/>
              </w:rPr>
              <w:t>Body</w:t>
            </w:r>
          </w:p>
        </w:tc>
        <w:tc>
          <w:tcPr>
            <w:tcW w:w="3006" w:type="dxa"/>
            <w:tcMar>
              <w:top w:w="0" w:type="dxa"/>
              <w:left w:w="108" w:type="dxa"/>
              <w:bottom w:w="0" w:type="dxa"/>
              <w:right w:w="108" w:type="dxa"/>
            </w:tcMar>
            <w:hideMark/>
          </w:tcPr>
          <w:p w:rsidR="00777D87" w:rsidRPr="00F41187" w:rsidRDefault="00777D87" w:rsidP="00726BB4">
            <w:pPr>
              <w:widowControl/>
              <w:ind w:left="19" w:firstLine="283"/>
              <w:rPr>
                <w:rFonts w:ascii="Myriad Pro" w:eastAsia="Calibri" w:hAnsi="Myriad Pro"/>
                <w:b/>
                <w:bCs/>
                <w:snapToGrid/>
                <w:color w:val="767171"/>
                <w:sz w:val="20"/>
              </w:rPr>
            </w:pPr>
            <w:r w:rsidRPr="00F41187">
              <w:rPr>
                <w:rFonts w:ascii="Myriad Pro" w:hAnsi="Myriad Pro"/>
                <w:b/>
                <w:bCs/>
                <w:snapToGrid/>
                <w:color w:val="767171"/>
                <w:sz w:val="20"/>
              </w:rPr>
              <w:t>Date</w:t>
            </w:r>
          </w:p>
        </w:tc>
      </w:tr>
      <w:tr w:rsidR="00777D87" w:rsidRPr="00F41187" w:rsidTr="00A901EA">
        <w:tc>
          <w:tcPr>
            <w:tcW w:w="3539"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Vote</w:t>
            </w:r>
          </w:p>
        </w:tc>
        <w:tc>
          <w:tcPr>
            <w:tcW w:w="2461"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CONT</w:t>
            </w:r>
          </w:p>
        </w:tc>
        <w:tc>
          <w:tcPr>
            <w:tcW w:w="3006"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15 October 2020</w:t>
            </w:r>
          </w:p>
        </w:tc>
      </w:tr>
      <w:tr w:rsidR="00777D87" w:rsidRPr="00F41187" w:rsidTr="00A901EA">
        <w:tc>
          <w:tcPr>
            <w:tcW w:w="3539"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Council first reading</w:t>
            </w:r>
          </w:p>
        </w:tc>
        <w:tc>
          <w:tcPr>
            <w:tcW w:w="2461"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Council</w:t>
            </w:r>
          </w:p>
        </w:tc>
        <w:tc>
          <w:tcPr>
            <w:tcW w:w="3006" w:type="dxa"/>
            <w:tcMar>
              <w:top w:w="0" w:type="dxa"/>
              <w:left w:w="108" w:type="dxa"/>
              <w:bottom w:w="0" w:type="dxa"/>
              <w:right w:w="108" w:type="dxa"/>
            </w:tcMar>
          </w:tcPr>
          <w:p w:rsidR="00777D87" w:rsidRPr="00F41187" w:rsidRDefault="00777D87" w:rsidP="00726BB4">
            <w:pPr>
              <w:widowControl/>
              <w:ind w:firstLine="283"/>
              <w:rPr>
                <w:rFonts w:ascii="Myriad Pro" w:eastAsia="Calibri" w:hAnsi="Myriad Pro"/>
                <w:snapToGrid/>
                <w:color w:val="767171"/>
                <w:sz w:val="20"/>
              </w:rPr>
            </w:pPr>
            <w:r w:rsidRPr="00F41187">
              <w:rPr>
                <w:rFonts w:ascii="Myriad Pro" w:hAnsi="Myriad Pro"/>
                <w:snapToGrid/>
                <w:color w:val="767171"/>
                <w:sz w:val="20"/>
              </w:rPr>
              <w:t>tbc</w:t>
            </w:r>
          </w:p>
        </w:tc>
      </w:tr>
    </w:tbl>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5.</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ECA Special Report 12/2020 (Discharge 2019): The European Investment Advisory Hub - Launched to boost investment in the EU, the Hub’s impact remains limited</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rPr>
      </w:pPr>
      <w:r w:rsidRPr="00F41187">
        <w:rPr>
          <w:rFonts w:ascii="Myriad Pro" w:hAnsi="Myriad Pro"/>
          <w:snapToGrid/>
          <w:color w:val="595959"/>
          <w:sz w:val="20"/>
          <w:szCs w:val="28"/>
        </w:rPr>
        <w:t>CONT/9/03491</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Calibri" w:hAnsi="Calibri"/>
          <w:snapToGrid/>
          <w:sz w:val="22"/>
          <w:szCs w:val="22"/>
          <w:lang w:eastAsia="en-GB"/>
        </w:rPr>
        <w:lastRenderedPageBreak/>
        <w:drawing>
          <wp:anchor distT="0" distB="0" distL="114300" distR="114300" simplePos="0" relativeHeight="251664384" behindDoc="0" locked="0" layoutInCell="1" allowOverlap="1" wp14:anchorId="286C0A51" wp14:editId="53D49F1D">
            <wp:simplePos x="0" y="0"/>
            <wp:positionH relativeFrom="column">
              <wp:posOffset>-135172</wp:posOffset>
            </wp:positionH>
            <wp:positionV relativeFrom="paragraph">
              <wp:posOffset>801</wp:posOffset>
            </wp:positionV>
            <wp:extent cx="1450800" cy="1836000"/>
            <wp:effectExtent l="0" t="0" r="0" b="0"/>
            <wp:wrapSquare wrapText="bothSides"/>
            <wp:docPr id="11" name="Picture 11" descr="F:\FILING PLAN_New arborescence\5 COMMUNICATION\5.1.4 NEWSLETTERS\CONT News\CONT Members\Grapini 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LING PLAN_New arborescence\5 COMMUNICATION\5.1.4 NEWSLETTERS\CONT News\CONT Members\Grapini Mari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0800"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D87" w:rsidRPr="00F41187" w:rsidRDefault="00777D87" w:rsidP="00726BB4">
      <w:pPr>
        <w:widowControl/>
        <w:ind w:left="2268" w:firstLine="283"/>
        <w:jc w:val="both"/>
        <w:rPr>
          <w:rFonts w:ascii="Myriad Pro" w:eastAsia="Calibri" w:hAnsi="Myriad Pro"/>
          <w:b/>
          <w:snapToGrid/>
          <w:color w:val="709047"/>
          <w:sz w:val="22"/>
          <w:szCs w:val="22"/>
        </w:rPr>
      </w:pPr>
      <w:r w:rsidRPr="00F41187">
        <w:rPr>
          <w:rFonts w:ascii="Myriad Pro" w:hAnsi="Myriad Pro"/>
          <w:b/>
          <w:bCs/>
          <w:snapToGrid/>
          <w:color w:val="709047"/>
          <w:sz w:val="22"/>
          <w:szCs w:val="22"/>
        </w:rPr>
        <w:t xml:space="preserve">Presentation of the special report by reporting ECA Member, </w:t>
      </w:r>
      <w:r w:rsidRPr="00F41187">
        <w:rPr>
          <w:rFonts w:ascii="Myriad Pro" w:hAnsi="Myriad Pro"/>
          <w:b/>
          <w:bCs/>
          <w:i/>
          <w:snapToGrid/>
          <w:color w:val="709047"/>
          <w:sz w:val="22"/>
          <w:szCs w:val="22"/>
        </w:rPr>
        <w:t>Annemie Turtelboom</w:t>
      </w:r>
    </w:p>
    <w:p w:rsidR="00777D87" w:rsidRPr="00F41187" w:rsidRDefault="00777D87" w:rsidP="00726BB4">
      <w:pPr>
        <w:widowControl/>
        <w:ind w:left="-126" w:firstLine="283"/>
        <w:rPr>
          <w:rFonts w:ascii="Myriad Pro" w:eastAsia="Calibri" w:hAnsi="Myriad Pro"/>
          <w:snapToGrid/>
          <w:color w:val="000000"/>
          <w:sz w:val="20"/>
        </w:rPr>
      </w:pP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Rapporteur:</w:t>
      </w:r>
      <w:r w:rsidRPr="00F41187">
        <w:rPr>
          <w:rFonts w:ascii="Myriad Pro" w:hAnsi="Myriad Pro"/>
          <w:snapToGrid/>
          <w:color w:val="000000"/>
          <w:sz w:val="20"/>
        </w:rPr>
        <w:tab/>
      </w:r>
      <w:hyperlink r:id="rId29" w:history="1">
        <w:r w:rsidRPr="00F41187">
          <w:rPr>
            <w:rFonts w:ascii="Calibri" w:hAnsi="Calibri"/>
            <w:snapToGrid/>
            <w:color w:val="0000FF"/>
            <w:sz w:val="22"/>
            <w:szCs w:val="22"/>
            <w:u w:val="single"/>
          </w:rPr>
          <w:t>Maria Grapini</w:t>
        </w:r>
      </w:hyperlink>
      <w:r w:rsidRPr="00F41187">
        <w:rPr>
          <w:rFonts w:ascii="Calibri" w:hAnsi="Calibri"/>
          <w:snapToGrid/>
          <w:sz w:val="22"/>
          <w:szCs w:val="22"/>
        </w:rPr>
        <w:t xml:space="preserve"> (S&amp;D)</w:t>
      </w: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 xml:space="preserve">Administrator: </w:t>
      </w:r>
      <w:r w:rsidRPr="00F41187">
        <w:rPr>
          <w:rFonts w:ascii="Myriad Pro" w:hAnsi="Myriad Pro"/>
          <w:snapToGrid/>
          <w:color w:val="000000"/>
          <w:sz w:val="20"/>
        </w:rPr>
        <w:tab/>
        <w:t>Olivier Sautière</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ind w:left="-224" w:firstLine="283"/>
        <w:rPr>
          <w:rFonts w:ascii="Myriad Pro" w:eastAsia="Calibri" w:hAnsi="Myriad Pro"/>
          <w:snapToGrid/>
          <w:color w:val="000000"/>
          <w:sz w:val="20"/>
        </w:rPr>
      </w:pPr>
      <w:r w:rsidRPr="00F41187">
        <w:rPr>
          <w:rFonts w:ascii="Myriad Pro" w:hAnsi="Myriad Pro"/>
          <w:snapToGrid/>
          <w:color w:val="000000"/>
          <w:sz w:val="20"/>
        </w:rPr>
        <w:t>Shadow Rapporteurs: José Manuel Fernandes (EPP)</w:t>
      </w:r>
    </w:p>
    <w:p w:rsidR="00777D87" w:rsidRPr="00F41187" w:rsidRDefault="00777D87" w:rsidP="00726BB4">
      <w:pPr>
        <w:widowControl/>
        <w:ind w:left="-224" w:firstLine="283"/>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The European Investment Advisory Hub (EIAH) was set up in 2015, alongside the European Fund for Strategic Investments (EFSI), as part of the Investment Plan for Europe designed to boost investment following the economic crisis.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lang w:eastAsia="en-GB"/>
        </w:rPr>
        <w:drawing>
          <wp:anchor distT="0" distB="0" distL="114300" distR="114300" simplePos="0" relativeHeight="251670528" behindDoc="1" locked="0" layoutInCell="1" allowOverlap="1" wp14:anchorId="1EE905A3" wp14:editId="6C89F97B">
            <wp:simplePos x="0" y="0"/>
            <wp:positionH relativeFrom="margin">
              <wp:posOffset>3597275</wp:posOffset>
            </wp:positionH>
            <wp:positionV relativeFrom="paragraph">
              <wp:posOffset>62230</wp:posOffset>
            </wp:positionV>
            <wp:extent cx="2447925" cy="1734820"/>
            <wp:effectExtent l="76200" t="76200" r="85725" b="74930"/>
            <wp:wrapTight wrapText="bothSides">
              <wp:wrapPolygon edited="0">
                <wp:start x="-672" y="-949"/>
                <wp:lineTo x="-672" y="22296"/>
                <wp:lineTo x="22188" y="22296"/>
                <wp:lineTo x="22188" y="-949"/>
                <wp:lineTo x="-672" y="-949"/>
              </wp:wrapPolygon>
            </wp:wrapTight>
            <wp:docPr id="7" name="Picture 7" descr="F:\FILING PLAN_New arborescence\5 COMMUNICATION\Editorial Unit, webpage_Not to archive\Pictures and logos\Adobe Stock Images\invest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LING PLAN_New arborescence\5 COMMUNICATION\Editorial Unit, webpage_Not to archive\Pictures and logos\Adobe Stock Images\investment.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7925" cy="1734820"/>
                    </a:xfrm>
                    <a:prstGeom prst="rect">
                      <a:avLst/>
                    </a:prstGeom>
                    <a:noFill/>
                    <a:ln>
                      <a:noFill/>
                    </a:ln>
                    <a:effectLst>
                      <a:glow rad="63500">
                        <a:srgbClr val="4472C4">
                          <a:satMod val="175000"/>
                          <a:alpha val="40000"/>
                        </a:srgbClr>
                      </a:glow>
                    </a:effectLst>
                  </pic:spPr>
                </pic:pic>
              </a:graphicData>
            </a:graphic>
            <wp14:sizeRelH relativeFrom="margin">
              <wp14:pctWidth>0</wp14:pctWidth>
            </wp14:sizeRelH>
            <wp14:sizeRelV relativeFrom="margin">
              <wp14:pctHeight>0</wp14:pctHeight>
            </wp14:sizeRelV>
          </wp:anchor>
        </w:drawing>
      </w:r>
      <w:r w:rsidRPr="00F41187">
        <w:rPr>
          <w:rFonts w:ascii="Myriad Pro" w:hAnsi="Myriad Pro"/>
          <w:snapToGrid/>
          <w:color w:val="000000"/>
          <w:sz w:val="20"/>
        </w:rPr>
        <w:t>The Investment Plan for Europe was built on three pillars: (i) EFSI providing finance for investment supported by an EU budgetary guarantee, (ii) EIAH providing technical assistance to private and public projects promoters in addition to those already available under other EU programmes and (iii) measures to remove barriers to investment across Europe and improve investment conditions in Europe.</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The Hub operates as a partnership between the Commission and the European Investment Bank and works in cooperation with national promotional banks or institutions (NPBIs) and the European Bank for Reconstruction and Development (EBRD).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The Court of auditors examined whether the Advisory Hub has proven to be an effective tool for boosting investment. In particular, the Court assessed whether the Hub: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ab/>
        <w:t xml:space="preserve">(i) was set up appropriately to meet the need for advisory services additional to those already available </w:t>
      </w:r>
      <w:r w:rsidRPr="00F41187">
        <w:rPr>
          <w:rFonts w:ascii="Myriad Pro" w:hAnsi="Myriad Pro"/>
          <w:snapToGrid/>
          <w:color w:val="000000"/>
          <w:sz w:val="20"/>
        </w:rPr>
        <w:tab/>
        <w:t xml:space="preserve">from other EU sources;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ab/>
        <w:t xml:space="preserve">(ii) operated as intended to achieve its goals, including cooperation with partners; and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ab/>
        <w:t xml:space="preserve">(iii) has contributed to improving the supply of projects that are suitable for investment.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The Court stated that, by the end of 2018, the Hub had not yet proven to be an effective tool for boosting investment. The Court found that the Hub was set up as a ‘demand-driven’ tool with limited prior assessment of the advisory needs it would address, the level of demand it was likely to receive, or the amount of resources it would need.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The Court also observed that the Hub received few requests that could have led to assignments compared to the resources at its disposal (i.e. 285 out of the 1091 requests received in total by the Hub over the period mid 2015-2018). In particular, the number of requests received directly through the Hub website or from NPBIs generated few assignments requiring the Hub support. This situation was also reflected in the use of the Hub’s budget as at 31 December 2018, insofar only 26% of the amounts available from the EU budget for the period 2015-2018 were used i.e. EUR 26,2 million out of EUR 68,1 million.</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The Court considered that the Hub largely met the goal of providing tailored advisory services (mostly technical and financial advices on specific projects). However, it did not have a sufficiently clear strategy or establish the criteria for targeting support where it could potentially add most value to the supply of investment projects. The additionality of Hub support with respect to other advisory public or private sources was also questioned by some beneficiaries and just over 1 % of financial operations supported by EFSI during the period benefited from a Hub assignment. While most assignments were in high priority sectors (215 out of 285 or 83%) and related to top priority Member States (i.e. transport, energy, environment and resource efficiency and SMEs), the Court’s audit revealed that few assignments were related to the priority sectors for the Member States with the highest advisory needs. Hence, the Court considered that a more proactive approach would have been required to better target the overall unmet advisory needs.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In addition, despite the Advisory Hub’s efforts, cooperation with partners to improve geographical coverage developed slowly due to legal complexity and the NPBIs’ varying willingness and capacity to cooperate.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lastRenderedPageBreak/>
        <w:t xml:space="preserve">The Court reported that the Hub had insufficient procedures for following up the investments resulting from the Hub’s assignments during the period. There was a lack of information on the results of assignments and the limitations affecting some of the Hub’s performance indicators made it difficult to monitor and evaluate the Hub’s performance in this regard.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The audit also showed that the Hub had also completed too few assignments by the end of 2018 (i.e. 89 assignments with three related to approved or signed EFSI operations) to make a significant contribution to boosting investment.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Furthermore, as the Hub support was mostly related to projects at an early stage, it may only have effects in the longer term.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bCs/>
          <w:snapToGrid/>
          <w:sz w:val="20"/>
        </w:rPr>
        <w:t xml:space="preserve">The ECA special report is available on the </w:t>
      </w:r>
      <w:hyperlink r:id="rId31" w:history="1">
        <w:r w:rsidRPr="00F41187">
          <w:rPr>
            <w:rFonts w:ascii="Myriad Pro" w:hAnsi="Myriad Pro"/>
            <w:bCs/>
            <w:snapToGrid/>
            <w:color w:val="0000FF"/>
            <w:sz w:val="20"/>
            <w:u w:val="single"/>
          </w:rPr>
          <w:t>ECA website</w:t>
        </w:r>
      </w:hyperlink>
      <w:r w:rsidRPr="00F41187">
        <w:rPr>
          <w:rFonts w:ascii="Myriad Pro" w:hAnsi="Myriad Pro"/>
          <w:bCs/>
          <w:snapToGrid/>
          <w:sz w:val="20"/>
        </w:rPr>
        <w:t xml:space="preserve">. A succinct working document with the recommendations of the Rapporteur has been sent to CONT Members and is also available on the </w:t>
      </w:r>
      <w:hyperlink r:id="rId32" w:history="1">
        <w:r w:rsidRPr="00F41187">
          <w:rPr>
            <w:rFonts w:ascii="Myriad Pro" w:hAnsi="Myriad Pro"/>
            <w:bCs/>
            <w:snapToGrid/>
            <w:color w:val="0000FF"/>
            <w:sz w:val="20"/>
            <w:u w:val="single"/>
          </w:rPr>
          <w:t>meeting documents</w:t>
        </w:r>
      </w:hyperlink>
      <w:r w:rsidRPr="00F41187">
        <w:rPr>
          <w:rFonts w:ascii="Myriad Pro" w:hAnsi="Myriad Pro"/>
          <w:bCs/>
          <w:snapToGrid/>
          <w:sz w:val="20"/>
        </w:rPr>
        <w:t>.</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6.</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ECA Special Report 09/2020 (Discharge 2019): The EU core road network: shorter travel times but network not yet fully functional</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rPr>
      </w:pPr>
      <w:r w:rsidRPr="00F41187">
        <w:rPr>
          <w:rFonts w:ascii="Myriad Pro" w:hAnsi="Myriad Pro"/>
          <w:snapToGrid/>
          <w:color w:val="595959"/>
          <w:sz w:val="20"/>
          <w:szCs w:val="28"/>
        </w:rPr>
        <w:t>CONT/9/04005</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Calibri" w:hAnsi="Calibri"/>
          <w:snapToGrid/>
          <w:sz w:val="22"/>
          <w:szCs w:val="22"/>
          <w:lang w:eastAsia="en-GB"/>
        </w:rPr>
        <w:drawing>
          <wp:anchor distT="0" distB="0" distL="114300" distR="114300" simplePos="0" relativeHeight="251665408" behindDoc="0" locked="0" layoutInCell="1" allowOverlap="1" wp14:anchorId="0434D787" wp14:editId="7A3D029F">
            <wp:simplePos x="0" y="0"/>
            <wp:positionH relativeFrom="column">
              <wp:posOffset>3810</wp:posOffset>
            </wp:positionH>
            <wp:positionV relativeFrom="paragraph">
              <wp:posOffset>151765</wp:posOffset>
            </wp:positionV>
            <wp:extent cx="1450800" cy="183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ING PLAN_New arborescence\5 COMMUNICATION\5.1.4 NEWSLETTERS\CONT News\CONT Members\ZDECHOVSKÝ.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D87" w:rsidRPr="00F41187" w:rsidRDefault="00777D87" w:rsidP="00726BB4">
      <w:pPr>
        <w:widowControl/>
        <w:ind w:left="1100" w:firstLine="283"/>
        <w:rPr>
          <w:rFonts w:ascii="Myriad Pro" w:eastAsia="Calibri" w:hAnsi="Myriad Pro"/>
          <w:b/>
          <w:snapToGrid/>
          <w:color w:val="709047"/>
          <w:sz w:val="22"/>
          <w:szCs w:val="22"/>
        </w:rPr>
      </w:pPr>
      <w:r w:rsidRPr="00F41187">
        <w:rPr>
          <w:rFonts w:ascii="Myriad Pro" w:hAnsi="Myriad Pro"/>
          <w:b/>
          <w:bCs/>
          <w:snapToGrid/>
          <w:color w:val="709047"/>
          <w:sz w:val="22"/>
          <w:szCs w:val="22"/>
        </w:rPr>
        <w:t xml:space="preserve">Presentation of the special report by reporting ECA Member, </w:t>
      </w:r>
      <w:r w:rsidRPr="00F41187">
        <w:rPr>
          <w:rFonts w:ascii="Myriad Pro" w:hAnsi="Myriad Pro"/>
          <w:b/>
          <w:bCs/>
          <w:i/>
          <w:snapToGrid/>
          <w:color w:val="709047"/>
          <w:sz w:val="22"/>
          <w:szCs w:val="22"/>
        </w:rPr>
        <w:t>Ladislav Balko</w:t>
      </w:r>
    </w:p>
    <w:p w:rsidR="00777D87" w:rsidRPr="00F41187" w:rsidRDefault="00777D87" w:rsidP="00726BB4">
      <w:pPr>
        <w:widowControl/>
        <w:ind w:left="-126" w:firstLine="283"/>
        <w:rPr>
          <w:rFonts w:ascii="Myriad Pro" w:eastAsia="Calibri" w:hAnsi="Myriad Pro"/>
          <w:snapToGrid/>
          <w:color w:val="000000"/>
          <w:sz w:val="20"/>
        </w:rPr>
      </w:pP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Rapporteur:</w:t>
      </w:r>
      <w:r w:rsidRPr="00F41187">
        <w:rPr>
          <w:rFonts w:ascii="Myriad Pro" w:hAnsi="Myriad Pro"/>
          <w:snapToGrid/>
          <w:color w:val="000000"/>
          <w:sz w:val="20"/>
        </w:rPr>
        <w:tab/>
      </w:r>
      <w:hyperlink r:id="rId33" w:history="1">
        <w:r w:rsidRPr="00F41187">
          <w:rPr>
            <w:rFonts w:ascii="Calibri" w:hAnsi="Calibri"/>
            <w:snapToGrid/>
            <w:color w:val="0000FF"/>
            <w:sz w:val="22"/>
            <w:szCs w:val="22"/>
            <w:u w:val="single"/>
          </w:rPr>
          <w:t>Marian-Jean Marinescu</w:t>
        </w:r>
      </w:hyperlink>
      <w:r w:rsidRPr="00F41187">
        <w:rPr>
          <w:rFonts w:ascii="Calibri" w:hAnsi="Calibri"/>
          <w:snapToGrid/>
          <w:sz w:val="22"/>
          <w:szCs w:val="22"/>
        </w:rPr>
        <w:t xml:space="preserve"> </w:t>
      </w:r>
      <w:r w:rsidRPr="00F41187">
        <w:rPr>
          <w:rFonts w:ascii="Myriad Pro" w:hAnsi="Myriad Pro"/>
          <w:snapToGrid/>
          <w:color w:val="000000"/>
          <w:sz w:val="20"/>
        </w:rPr>
        <w:t>(EPP)</w:t>
      </w: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 xml:space="preserve">Administrator: </w:t>
      </w:r>
      <w:r w:rsidRPr="00F41187">
        <w:rPr>
          <w:rFonts w:ascii="Myriad Pro" w:hAnsi="Myriad Pro"/>
          <w:snapToGrid/>
          <w:color w:val="000000"/>
          <w:sz w:val="20"/>
        </w:rPr>
        <w:tab/>
        <w:t>Charlotte Kutzenberger</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Shadow Rapporteurs: Isabel G</w:t>
      </w:r>
      <w:r w:rsidRPr="00F41187">
        <w:rPr>
          <w:rFonts w:ascii="Myriad Pro" w:hAnsi="Myriad Pro"/>
          <w:snapToGrid/>
          <w:color w:val="000000"/>
          <w:sz w:val="18"/>
        </w:rPr>
        <w:t>arcía</w:t>
      </w:r>
      <w:r w:rsidRPr="00F41187">
        <w:rPr>
          <w:rFonts w:ascii="Myriad Pro" w:hAnsi="Myriad Pro"/>
          <w:snapToGrid/>
          <w:color w:val="000000"/>
          <w:sz w:val="20"/>
        </w:rPr>
        <w:t xml:space="preserve"> Muñoz (S&amp;D), Martina Dlabajová (RE)</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In the 2007 to 2020 time span the EU allocated approximately EUR 78 billion for roads, out of which around EUR 40 billion for TEN-T roads. Most of it has come from the European Regional Development Fund (ERDF) and the Cohesion Fund. Smaller amounts are also available from the Connecting Europe Facility (CEF).</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 xml:space="preserve">Overall, the development of the core road network is progressing and achieving results. EU funding and the Commission’s actions contributed positively to these results. The Commission has played an important role at strategy level.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lang w:eastAsia="en-GB"/>
        </w:rPr>
        <w:drawing>
          <wp:anchor distT="0" distB="0" distL="114300" distR="114300" simplePos="0" relativeHeight="251671552" behindDoc="1" locked="0" layoutInCell="1" allowOverlap="1" wp14:anchorId="119A90E4" wp14:editId="71B52981">
            <wp:simplePos x="0" y="0"/>
            <wp:positionH relativeFrom="column">
              <wp:posOffset>1715135</wp:posOffset>
            </wp:positionH>
            <wp:positionV relativeFrom="paragraph">
              <wp:posOffset>714375</wp:posOffset>
            </wp:positionV>
            <wp:extent cx="4314190" cy="1641475"/>
            <wp:effectExtent l="76200" t="76200" r="67310" b="73025"/>
            <wp:wrapTight wrapText="bothSides">
              <wp:wrapPolygon edited="0">
                <wp:start x="-382" y="-1003"/>
                <wp:lineTo x="-382" y="22310"/>
                <wp:lineTo x="21842" y="22310"/>
                <wp:lineTo x="21842" y="-1003"/>
                <wp:lineTo x="-382" y="-1003"/>
              </wp:wrapPolygon>
            </wp:wrapTight>
            <wp:docPr id="8" name="Picture 8" descr="F:\FILING PLAN_New arborescence\5 COMMUNICATION\Editorial Unit, webpage_Not to archive\Pictures and logos\Adobe Stock Images\road netwo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ILING PLAN_New arborescence\5 COMMUNICATION\Editorial Unit, webpage_Not to archive\Pictures and logos\Adobe Stock Images\road network.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4190" cy="1641475"/>
                    </a:xfrm>
                    <a:prstGeom prst="rect">
                      <a:avLst/>
                    </a:prstGeom>
                    <a:noFill/>
                    <a:ln>
                      <a:noFill/>
                    </a:ln>
                    <a:effectLst>
                      <a:glow rad="63500">
                        <a:srgbClr val="4472C4">
                          <a:satMod val="175000"/>
                          <a:alpha val="40000"/>
                        </a:srgbClr>
                      </a:glow>
                    </a:effectLst>
                  </pic:spPr>
                </pic:pic>
              </a:graphicData>
            </a:graphic>
            <wp14:sizeRelH relativeFrom="margin">
              <wp14:pctWidth>0</wp14:pctWidth>
            </wp14:sizeRelH>
            <wp14:sizeRelV relativeFrom="margin">
              <wp14:pctHeight>0</wp14:pctHeight>
            </wp14:sizeRelV>
          </wp:anchor>
        </w:drawing>
      </w:r>
      <w:r w:rsidRPr="00F41187">
        <w:rPr>
          <w:rFonts w:ascii="Myriad Pro" w:hAnsi="Myriad Pro"/>
          <w:snapToGrid/>
          <w:sz w:val="20"/>
        </w:rPr>
        <w:t xml:space="preserve">Furthermore, the CEF funding focused on the core network, including cross-border sections. With regard to the European Structural and Investment Funds (ESIF), out of the available funds for 2014-2020, Member States earmarked 66 % outside the TEN-T core road network. This happened despite the fact that in Member States receiving the most ESIF support for roads, the level of core network completion was low at the time when allocations were negotiated at EU level.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The Court of auditors noted another obstacle for seamless traveling along the TEN-T core road network: some cross-border sections are incomplete and there is an insufficiently coordinated approach to secure parking areas and alternative fuel.</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 xml:space="preserve">The Commission does not always monitor the entire core network and lacks intermediate milestones to accurately assess progress and make reliable forecasts as to whether it is likely to be completed by 2030. These monitoring weaknesses, as well as untimely and unreliable data from the Member States, undermine its ability to take timely corrective action if needed. The auditors warn that national maintenance budgets are steadily decreasing, rather than </w:t>
      </w:r>
      <w:r w:rsidRPr="00F41187">
        <w:rPr>
          <w:rFonts w:ascii="Myriad Pro" w:hAnsi="Myriad Pro"/>
          <w:snapToGrid/>
          <w:sz w:val="20"/>
        </w:rPr>
        <w:lastRenderedPageBreak/>
        <w:t xml:space="preserve">increasing in line with the growing infrastructure and ageing crucial links. Even though this may have an impact on whether the network is fully functional by 2030, the Commission does not have tools to verify whether Member States have a solid system for ensuring proper road maintenance.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snapToGrid/>
          <w:sz w:val="20"/>
        </w:rPr>
        <w:t>The auditors recommend that the Commission prioritise investment in the core road network, enhance monitoring arrangements, and strengthen its approach to ensure adequate maintenance of the growing network by Member States.</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rPr>
      </w:pPr>
      <w:r w:rsidRPr="00F41187">
        <w:rPr>
          <w:rFonts w:ascii="Myriad Pro" w:hAnsi="Myriad Pro"/>
          <w:bCs/>
          <w:snapToGrid/>
          <w:sz w:val="20"/>
        </w:rPr>
        <w:t xml:space="preserve">The ECA special report is available on the </w:t>
      </w:r>
      <w:hyperlink r:id="rId35" w:history="1">
        <w:r w:rsidRPr="00F41187">
          <w:rPr>
            <w:rFonts w:ascii="Myriad Pro" w:hAnsi="Myriad Pro"/>
            <w:bCs/>
            <w:snapToGrid/>
            <w:color w:val="0000FF"/>
            <w:sz w:val="20"/>
            <w:u w:val="single"/>
          </w:rPr>
          <w:t>ECA website</w:t>
        </w:r>
      </w:hyperlink>
      <w:r w:rsidRPr="00F41187">
        <w:rPr>
          <w:rFonts w:ascii="Myriad Pro" w:hAnsi="Myriad Pro"/>
          <w:bCs/>
          <w:snapToGrid/>
          <w:sz w:val="20"/>
        </w:rPr>
        <w:t xml:space="preserve">. A succinct working document with the recommendations of the Rapporteur has been sent to CONT Members and is also available on the </w:t>
      </w:r>
      <w:hyperlink r:id="rId36" w:history="1">
        <w:r w:rsidRPr="00F41187">
          <w:rPr>
            <w:rFonts w:ascii="Myriad Pro" w:hAnsi="Myriad Pro"/>
            <w:bCs/>
            <w:snapToGrid/>
            <w:color w:val="0000FF"/>
            <w:sz w:val="20"/>
            <w:u w:val="single"/>
          </w:rPr>
          <w:t>meeting documents</w:t>
        </w:r>
      </w:hyperlink>
      <w:r w:rsidRPr="00F41187">
        <w:rPr>
          <w:rFonts w:ascii="Myriad Pro" w:hAnsi="Myriad Pro"/>
          <w:bCs/>
          <w:snapToGrid/>
          <w:sz w:val="20"/>
        </w:rPr>
        <w:t>.</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7.</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ECA Special Report 11/2020 (Discharge 2019): Energy efficiency in buildings: greater focus on cost-effectiveness still needed</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snapToGrid/>
          <w:color w:val="0000FF"/>
          <w:sz w:val="22"/>
          <w:szCs w:val="22"/>
          <w:u w:val="single"/>
        </w:rPr>
      </w:pPr>
      <w:r w:rsidRPr="00F41187">
        <w:rPr>
          <w:rFonts w:ascii="Myriad Pro" w:hAnsi="Myriad Pro"/>
          <w:snapToGrid/>
          <w:color w:val="595959"/>
          <w:sz w:val="20"/>
          <w:szCs w:val="28"/>
        </w:rPr>
        <w:t>CONT/9/04334</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rPr>
      </w:pPr>
      <w:r w:rsidRPr="00F41187">
        <w:rPr>
          <w:rFonts w:ascii="Myriad Pro" w:hAnsi="Myriad Pro"/>
          <w:snapToGrid/>
          <w:sz w:val="20"/>
          <w:lang w:eastAsia="en-GB"/>
        </w:rPr>
        <w:drawing>
          <wp:anchor distT="0" distB="0" distL="114300" distR="114300" simplePos="0" relativeHeight="251661312" behindDoc="0" locked="0" layoutInCell="1" allowOverlap="1" wp14:anchorId="4E064049" wp14:editId="60DD0543">
            <wp:simplePos x="0" y="0"/>
            <wp:positionH relativeFrom="column">
              <wp:posOffset>-133350</wp:posOffset>
            </wp:positionH>
            <wp:positionV relativeFrom="paragraph">
              <wp:posOffset>148590</wp:posOffset>
            </wp:positionV>
            <wp:extent cx="1450800" cy="1836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pic:spPr>
                </pic:pic>
              </a:graphicData>
            </a:graphic>
            <wp14:sizeRelH relativeFrom="margin">
              <wp14:pctWidth>0</wp14:pctWidth>
            </wp14:sizeRelH>
            <wp14:sizeRelV relativeFrom="margin">
              <wp14:pctHeight>0</wp14:pctHeight>
            </wp14:sizeRelV>
          </wp:anchor>
        </w:drawing>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2"/>
          <w:szCs w:val="22"/>
        </w:rPr>
      </w:pPr>
      <w:r w:rsidRPr="00F41187">
        <w:rPr>
          <w:rFonts w:ascii="Myriad Pro" w:hAnsi="Myriad Pro"/>
          <w:b/>
          <w:bCs/>
          <w:snapToGrid/>
          <w:color w:val="709047"/>
          <w:sz w:val="22"/>
          <w:szCs w:val="22"/>
        </w:rPr>
        <w:t xml:space="preserve">Presentation of the special report by reporting ECA Member, </w:t>
      </w:r>
      <w:r w:rsidRPr="00F41187">
        <w:rPr>
          <w:rFonts w:ascii="Myriad Pro" w:hAnsi="Myriad Pro"/>
          <w:b/>
          <w:bCs/>
          <w:i/>
          <w:snapToGrid/>
          <w:color w:val="709047"/>
          <w:sz w:val="22"/>
          <w:szCs w:val="22"/>
        </w:rPr>
        <w:t>João Figueiredo</w:t>
      </w:r>
    </w:p>
    <w:p w:rsidR="00777D87" w:rsidRPr="00F41187" w:rsidRDefault="00777D87" w:rsidP="00726BB4">
      <w:pPr>
        <w:widowControl/>
        <w:ind w:left="-126" w:firstLine="283"/>
        <w:rPr>
          <w:rFonts w:ascii="Myriad Pro" w:eastAsia="Calibri" w:hAnsi="Myriad Pro"/>
          <w:snapToGrid/>
          <w:color w:val="000000"/>
          <w:sz w:val="20"/>
        </w:rPr>
      </w:pP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Rapporteur:</w:t>
      </w:r>
      <w:r w:rsidRPr="00F41187">
        <w:rPr>
          <w:rFonts w:ascii="Myriad Pro" w:hAnsi="Myriad Pro"/>
          <w:snapToGrid/>
          <w:color w:val="000000"/>
          <w:sz w:val="20"/>
        </w:rPr>
        <w:tab/>
      </w:r>
      <w:hyperlink r:id="rId38" w:history="1">
        <w:r w:rsidRPr="00F41187">
          <w:rPr>
            <w:rFonts w:ascii="Myriad Pro" w:hAnsi="Myriad Pro"/>
            <w:snapToGrid/>
            <w:color w:val="0000FF"/>
            <w:sz w:val="20"/>
            <w:u w:val="single"/>
          </w:rPr>
          <w:t>Lefteris Christoforou</w:t>
        </w:r>
      </w:hyperlink>
      <w:r w:rsidRPr="00F41187">
        <w:rPr>
          <w:rFonts w:ascii="Myriad Pro" w:hAnsi="Myriad Pro"/>
          <w:snapToGrid/>
          <w:sz w:val="20"/>
        </w:rPr>
        <w:t xml:space="preserve"> (EPP)</w:t>
      </w: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 xml:space="preserve">Administrator: </w:t>
      </w:r>
      <w:r w:rsidRPr="00F41187">
        <w:rPr>
          <w:rFonts w:ascii="Myriad Pro" w:hAnsi="Myriad Pro"/>
          <w:snapToGrid/>
          <w:color w:val="000000"/>
          <w:sz w:val="20"/>
        </w:rPr>
        <w:tab/>
        <w:t>Benoît Lefort</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Shadow Rapporteurs: Sándor Rónai (S&amp;D), Pascal Durand (RE)</w:t>
      </w:r>
    </w:p>
    <w:p w:rsidR="00777D87" w:rsidRPr="00F41187" w:rsidRDefault="00777D87" w:rsidP="00726BB4">
      <w:pPr>
        <w:widowControl/>
        <w:ind w:left="-224" w:firstLine="283"/>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lang w:eastAsia="en-GB"/>
        </w:rPr>
        <w:drawing>
          <wp:anchor distT="0" distB="0" distL="114300" distR="114300" simplePos="0" relativeHeight="251672576" behindDoc="1" locked="0" layoutInCell="1" allowOverlap="1" wp14:anchorId="1A1FC5E4" wp14:editId="4FF77A8B">
            <wp:simplePos x="0" y="0"/>
            <wp:positionH relativeFrom="margin">
              <wp:posOffset>3269317</wp:posOffset>
            </wp:positionH>
            <wp:positionV relativeFrom="paragraph">
              <wp:posOffset>287622</wp:posOffset>
            </wp:positionV>
            <wp:extent cx="2847975" cy="1901190"/>
            <wp:effectExtent l="76200" t="76200" r="85725" b="80010"/>
            <wp:wrapTight wrapText="bothSides">
              <wp:wrapPolygon edited="0">
                <wp:start x="-578" y="-866"/>
                <wp:lineTo x="-578" y="22293"/>
                <wp:lineTo x="22106" y="22293"/>
                <wp:lineTo x="22106" y="-866"/>
                <wp:lineTo x="-578" y="-866"/>
              </wp:wrapPolygon>
            </wp:wrapTight>
            <wp:docPr id="14" name="Picture 14" descr="F:\FILING PLAN_New arborescence\5 COMMUNICATION\Editorial Unit, webpage_Not to archive\Pictures and logos\Adobe Stock Images\energy efficienc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ILING PLAN_New arborescence\5 COMMUNICATION\Editorial Unit, webpage_Not to archive\Pictures and logos\Adobe Stock Images\energy efficiency.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975" cy="1901190"/>
                    </a:xfrm>
                    <a:prstGeom prst="rect">
                      <a:avLst/>
                    </a:prstGeom>
                    <a:noFill/>
                    <a:ln>
                      <a:noFill/>
                    </a:ln>
                    <a:effectLst>
                      <a:glow rad="63500">
                        <a:srgbClr val="5B9BD5">
                          <a:satMod val="175000"/>
                          <a:alpha val="40000"/>
                        </a:srgbClr>
                      </a:glow>
                    </a:effectLst>
                  </pic:spPr>
                </pic:pic>
              </a:graphicData>
            </a:graphic>
            <wp14:sizeRelH relativeFrom="margin">
              <wp14:pctWidth>0</wp14:pctWidth>
            </wp14:sizeRelH>
            <wp14:sizeRelV relativeFrom="margin">
              <wp14:pctHeight>0</wp14:pctHeight>
            </wp14:sizeRelV>
          </wp:anchor>
        </w:drawing>
      </w:r>
      <w:r w:rsidRPr="00F41187">
        <w:rPr>
          <w:rFonts w:ascii="Myriad Pro" w:hAnsi="Myriad Pro"/>
          <w:snapToGrid/>
          <w:color w:val="000000"/>
          <w:sz w:val="20"/>
        </w:rPr>
        <w:t>On 28 April 2020 the ECA published its Special Report n° 11/2020 “Energy efficiency in buildings: greater focus on cost-effectiveness still needed". Cost-effectiveness is not a determining factor for allocating public funding to energy efficiency measures in residential buildings, according to the ECA special report. Despite improved guidance from the European Commission, EU-funded projects still do not focus on achieving the greatest potential energy savings per euro invested. The overall contribution of EU funding to the Union’s energy efficiency targets is not clear, say the auditors.</w:t>
      </w:r>
    </w:p>
    <w:p w:rsidR="00777D87" w:rsidRPr="00F41187" w:rsidRDefault="00777D87" w:rsidP="00726BB4">
      <w:pPr>
        <w:widowControl/>
        <w:ind w:left="-224" w:firstLine="283"/>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FF"/>
          <w:sz w:val="20"/>
        </w:rPr>
      </w:pPr>
      <w:r w:rsidRPr="00F41187">
        <w:rPr>
          <w:rFonts w:ascii="Myriad Pro" w:hAnsi="Myriad Pro"/>
          <w:bCs/>
          <w:snapToGrid/>
          <w:sz w:val="20"/>
        </w:rPr>
        <w:t xml:space="preserve">The ECA special report is available on the </w:t>
      </w:r>
      <w:hyperlink r:id="rId40" w:history="1">
        <w:r w:rsidRPr="00F41187">
          <w:rPr>
            <w:rFonts w:ascii="Myriad Pro" w:hAnsi="Myriad Pro"/>
            <w:bCs/>
            <w:snapToGrid/>
            <w:color w:val="0000FF"/>
            <w:sz w:val="20"/>
            <w:u w:val="single"/>
          </w:rPr>
          <w:t>ECA website</w:t>
        </w:r>
      </w:hyperlink>
      <w:r w:rsidRPr="00F41187">
        <w:rPr>
          <w:rFonts w:ascii="Myriad Pro" w:hAnsi="Myriad Pro"/>
          <w:bCs/>
          <w:snapToGrid/>
          <w:sz w:val="20"/>
        </w:rPr>
        <w:t xml:space="preserve">. A succinct working document with the recommendations of the Rapporteur has been sent to CONT Members and is also available on the </w:t>
      </w:r>
      <w:hyperlink r:id="rId41" w:history="1">
        <w:r w:rsidRPr="00F41187">
          <w:rPr>
            <w:rFonts w:ascii="Myriad Pro" w:hAnsi="Myriad Pro"/>
            <w:bCs/>
            <w:snapToGrid/>
            <w:color w:val="0000FF"/>
            <w:sz w:val="20"/>
            <w:u w:val="single"/>
          </w:rPr>
          <w:t>meeting documents</w:t>
        </w:r>
      </w:hyperlink>
      <w:r w:rsidRPr="00F41187">
        <w:rPr>
          <w:rFonts w:ascii="Myriad Pro" w:hAnsi="Myriad Pro"/>
          <w:bCs/>
          <w:snapToGrid/>
          <w:sz w:val="20"/>
        </w:rPr>
        <w:t>.</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line="259" w:lineRule="auto"/>
        <w:ind w:left="-125" w:right="57" w:firstLine="283"/>
        <w:rPr>
          <w:rFonts w:ascii="Myriad Pro" w:eastAsia="Calibri" w:hAnsi="Myriad Pro"/>
          <w:b/>
          <w:bCs/>
          <w:i/>
          <w:snapToGrid/>
          <w:color w:val="709047"/>
          <w:szCs w:val="24"/>
          <w14:shadow w14:blurRad="50800" w14:dist="50800" w14:dir="5400000" w14:sx="0" w14:sy="0" w14:kx="0" w14:ky="0" w14:algn="ctr">
            <w14:srgbClr w14:val="000000"/>
          </w14:shadow>
        </w:rPr>
      </w:pPr>
      <w:r w:rsidRPr="00F41187">
        <w:rPr>
          <w:rFonts w:ascii="Myriad Pro" w:hAnsi="Myriad Pro"/>
          <w:b/>
          <w:bCs/>
          <w:i/>
          <w:snapToGrid/>
          <w:color w:val="709047"/>
          <w:szCs w:val="24"/>
        </w:rPr>
        <w:t>16:45 - 16:50</w:t>
      </w: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8.</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Chair’s announcements: results of the votes from the first voting session</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jc w:val="center"/>
        <w:rPr>
          <w:rFonts w:ascii="Myriad Pro" w:eastAsia="Calibri" w:hAnsi="Myriad Pro"/>
          <w:b/>
          <w:i/>
          <w:snapToGrid/>
          <w:color w:val="709047"/>
          <w:sz w:val="22"/>
          <w:szCs w:val="22"/>
        </w:rPr>
      </w:pPr>
      <w:r w:rsidRPr="00F41187">
        <w:rPr>
          <w:rFonts w:ascii="Myriad Pro" w:hAnsi="Myriad Pro"/>
          <w:b/>
          <w:bCs/>
          <w:i/>
          <w:iCs/>
          <w:snapToGrid/>
          <w:color w:val="709047"/>
          <w:sz w:val="22"/>
          <w:szCs w:val="22"/>
        </w:rPr>
        <w:t>Opening of remote voting procedure: second voting session - final vote on CONT opinion to Establishing a Recovery and Resilience Facility as amended</w:t>
      </w:r>
    </w:p>
    <w:p w:rsidR="00777D87" w:rsidRPr="00F41187" w:rsidRDefault="00777D87" w:rsidP="00726BB4">
      <w:pPr>
        <w:widowControl/>
        <w:ind w:left="-224" w:firstLine="283"/>
        <w:jc w:val="center"/>
        <w:rPr>
          <w:rFonts w:ascii="Myriad Pro" w:eastAsia="Calibri" w:hAnsi="Myriad Pro"/>
          <w:b/>
          <w:bCs/>
          <w:i/>
          <w:iCs/>
          <w:snapToGrid/>
          <w:color w:val="709047"/>
          <w:sz w:val="22"/>
          <w:szCs w:val="22"/>
          <w:lang w:eastAsia="en-GB"/>
        </w:rPr>
      </w:pPr>
    </w:p>
    <w:p w:rsidR="00777D87" w:rsidRPr="00F41187" w:rsidRDefault="00777D87" w:rsidP="00726BB4">
      <w:pPr>
        <w:widowControl/>
        <w:ind w:left="-224" w:firstLine="283"/>
        <w:jc w:val="center"/>
        <w:rPr>
          <w:rFonts w:ascii="Myriad Pro" w:eastAsia="Calibri" w:hAnsi="Myriad Pro"/>
          <w:b/>
          <w:i/>
          <w:snapToGrid/>
          <w:color w:val="709047"/>
          <w:sz w:val="22"/>
          <w:szCs w:val="22"/>
        </w:rPr>
      </w:pPr>
      <w:r w:rsidRPr="00F41187">
        <w:rPr>
          <w:rFonts w:ascii="Myriad Pro" w:hAnsi="Myriad Pro"/>
          <w:b/>
          <w:bCs/>
          <w:i/>
          <w:iCs/>
          <w:snapToGrid/>
          <w:color w:val="709047"/>
          <w:sz w:val="22"/>
          <w:szCs w:val="22"/>
        </w:rPr>
        <w:t>Voting procedure will be open from 16.45-17.30</w:t>
      </w:r>
    </w:p>
    <w:p w:rsidR="00777D87" w:rsidRPr="00F41187" w:rsidRDefault="00777D87" w:rsidP="00726BB4">
      <w:pPr>
        <w:widowControl/>
        <w:ind w:left="-224" w:firstLine="283"/>
        <w:jc w:val="center"/>
        <w:rPr>
          <w:rFonts w:ascii="Myriad Pro" w:eastAsia="Calibri" w:hAnsi="Myriad Pro"/>
          <w:b/>
          <w:i/>
          <w:snapToGrid/>
          <w:color w:val="709047"/>
          <w:sz w:val="22"/>
          <w:szCs w:val="22"/>
          <w:lang w:eastAsia="en-GB"/>
        </w:rPr>
      </w:pPr>
    </w:p>
    <w:p w:rsidR="00777D87" w:rsidRPr="00F41187" w:rsidRDefault="00777D87" w:rsidP="00726BB4">
      <w:pPr>
        <w:widowControl/>
        <w:pBdr>
          <w:top w:val="single" w:sz="4" w:space="1" w:color="auto"/>
          <w:left w:val="single" w:sz="4" w:space="4" w:color="auto"/>
          <w:bottom w:val="single" w:sz="4" w:space="1" w:color="auto"/>
          <w:right w:val="single" w:sz="4" w:space="4" w:color="auto"/>
        </w:pBdr>
        <w:spacing w:before="240" w:after="160" w:line="259" w:lineRule="auto"/>
        <w:ind w:left="-142" w:firstLine="283"/>
        <w:jc w:val="both"/>
        <w:rPr>
          <w:rFonts w:ascii="Myriad Pro" w:eastAsia="Calibri" w:hAnsi="Myriad Pro"/>
          <w:b/>
          <w:i/>
          <w:snapToGrid/>
          <w:color w:val="709047"/>
          <w:sz w:val="22"/>
          <w:szCs w:val="22"/>
        </w:rPr>
      </w:pPr>
      <w:r w:rsidRPr="00F41187">
        <w:rPr>
          <w:rFonts w:ascii="Calibri" w:hAnsi="Calibri"/>
          <w:b/>
          <w:bCs/>
          <w:i/>
          <w:iCs/>
          <w:snapToGrid/>
          <w:sz w:val="22"/>
          <w:szCs w:val="22"/>
        </w:rPr>
        <w:t xml:space="preserve">All Members taking part in the vote (either present in committee meeting room or via remote participation) will vote via the application </w:t>
      </w:r>
      <w:r w:rsidRPr="00F41187">
        <w:rPr>
          <w:rFonts w:ascii="Calibri" w:hAnsi="Calibri"/>
          <w:b/>
          <w:bCs/>
          <w:i/>
          <w:iCs/>
          <w:snapToGrid/>
          <w:sz w:val="22"/>
          <w:szCs w:val="22"/>
          <w:u w:val="single"/>
        </w:rPr>
        <w:t>EP-Vote.</w:t>
      </w:r>
    </w:p>
    <w:p w:rsidR="00777D87" w:rsidRPr="00F41187" w:rsidRDefault="00777D87" w:rsidP="00726BB4">
      <w:pPr>
        <w:widowControl/>
        <w:spacing w:before="240" w:after="160" w:line="259" w:lineRule="auto"/>
        <w:ind w:firstLine="283"/>
        <w:jc w:val="center"/>
        <w:rPr>
          <w:rFonts w:ascii="Calibri" w:eastAsia="Calibri" w:hAnsi="Calibri"/>
          <w:snapToGrid/>
          <w:sz w:val="22"/>
          <w:szCs w:val="22"/>
        </w:rPr>
      </w:pPr>
      <w:r w:rsidRPr="00F41187">
        <w:rPr>
          <w:rFonts w:ascii="Calibri" w:hAnsi="Calibri"/>
          <w:snapToGrid/>
          <w:sz w:val="22"/>
          <w:szCs w:val="22"/>
        </w:rPr>
        <w:lastRenderedPageBreak/>
        <w:t>* *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line="259" w:lineRule="auto"/>
        <w:ind w:left="-125" w:right="57" w:firstLine="283"/>
        <w:rPr>
          <w:rFonts w:ascii="Myriad Pro" w:eastAsia="Calibri" w:hAnsi="Myriad Pro"/>
          <w:b/>
          <w:bCs/>
          <w:i/>
          <w:snapToGrid/>
          <w:color w:val="709047"/>
          <w:szCs w:val="24"/>
        </w:rPr>
      </w:pPr>
      <w:r w:rsidRPr="00F41187">
        <w:rPr>
          <w:rFonts w:ascii="Myriad Pro" w:hAnsi="Myriad Pro"/>
          <w:b/>
          <w:bCs/>
          <w:i/>
          <w:snapToGrid/>
          <w:color w:val="709047"/>
          <w:szCs w:val="24"/>
        </w:rPr>
        <w:t>16:50 - 18:15</w:t>
      </w:r>
    </w:p>
    <w:p w:rsidR="00777D87" w:rsidRPr="00F41187" w:rsidRDefault="00777D87" w:rsidP="00726BB4">
      <w:pPr>
        <w:widowControl/>
        <w:spacing w:before="240" w:after="160" w:line="259" w:lineRule="auto"/>
        <w:ind w:left="-567" w:firstLine="283"/>
        <w:rPr>
          <w:rFonts w:ascii="Myriad Pro" w:eastAsia="Calibri" w:hAnsi="Myriad Pro"/>
          <w:b/>
          <w:bCs/>
          <w:i/>
          <w:smallCaps/>
          <w:snapToGrid/>
          <w:color w:val="538135"/>
          <w:sz w:val="28"/>
          <w:szCs w:val="28"/>
        </w:rPr>
      </w:pPr>
      <w:r w:rsidRPr="00F41187">
        <w:rPr>
          <w:rFonts w:ascii="Myriad Pro" w:hAnsi="Myriad Pro"/>
          <w:b/>
          <w:bCs/>
          <w:i/>
          <w:smallCaps/>
          <w:snapToGrid/>
          <w:color w:val="385623"/>
          <w:sz w:val="36"/>
          <w:szCs w:val="28"/>
        </w:rPr>
        <w:t>Joint item</w:t>
      </w:r>
      <w:r w:rsidRPr="00F41187">
        <w:rPr>
          <w:rFonts w:ascii="Myriad Pro" w:hAnsi="Myriad Pro"/>
          <w:b/>
          <w:bCs/>
          <w:i/>
          <w:smallCaps/>
          <w:snapToGrid/>
          <w:color w:val="538135"/>
          <w:sz w:val="28"/>
          <w:szCs w:val="28"/>
        </w:rPr>
        <w:t xml:space="preserve"> with the Committee on Environment, Public Health and Food Safety (</w:t>
      </w:r>
      <w:r w:rsidRPr="00F41187">
        <w:rPr>
          <w:rFonts w:ascii="Myriad Pro" w:hAnsi="Myriad Pro"/>
          <w:b/>
          <w:bCs/>
          <w:i/>
          <w:smallCaps/>
          <w:snapToGrid/>
          <w:color w:val="385623"/>
          <w:sz w:val="28"/>
          <w:szCs w:val="28"/>
        </w:rPr>
        <w:t>ENVI</w:t>
      </w:r>
      <w:r w:rsidRPr="00F41187">
        <w:rPr>
          <w:rFonts w:ascii="Myriad Pro" w:hAnsi="Myriad Pro"/>
          <w:b/>
          <w:bCs/>
          <w:i/>
          <w:smallCaps/>
          <w:snapToGrid/>
          <w:color w:val="538135"/>
          <w:sz w:val="28"/>
          <w:szCs w:val="28"/>
        </w:rPr>
        <w:t>) and the Committee on Agriculture and Rural Development (</w:t>
      </w:r>
      <w:r w:rsidRPr="00F41187">
        <w:rPr>
          <w:rFonts w:ascii="Myriad Pro" w:hAnsi="Myriad Pro"/>
          <w:b/>
          <w:bCs/>
          <w:i/>
          <w:smallCaps/>
          <w:snapToGrid/>
          <w:color w:val="385623"/>
          <w:sz w:val="28"/>
          <w:szCs w:val="28"/>
        </w:rPr>
        <w:t>AGRI</w:t>
      </w:r>
      <w:r w:rsidRPr="00F41187">
        <w:rPr>
          <w:rFonts w:ascii="Myriad Pro" w:hAnsi="Myriad Pro"/>
          <w:b/>
          <w:bCs/>
          <w:i/>
          <w:smallCaps/>
          <w:snapToGrid/>
          <w:color w:val="538135"/>
          <w:sz w:val="28"/>
          <w:szCs w:val="28"/>
        </w:rPr>
        <w:t>)</w:t>
      </w:r>
    </w:p>
    <w:p w:rsidR="00777D87" w:rsidRPr="00F41187" w:rsidRDefault="00777D87" w:rsidP="00726BB4">
      <w:pPr>
        <w:widowControl/>
        <w:spacing w:before="240" w:after="160" w:line="259" w:lineRule="auto"/>
        <w:ind w:left="-142" w:firstLine="283"/>
        <w:rPr>
          <w:rFonts w:ascii="Myriad Pro" w:eastAsia="Calibri" w:hAnsi="Myriad Pro"/>
          <w:b/>
          <w:bCs/>
          <w:i/>
          <w:smallCaps/>
          <w:snapToGrid/>
          <w:color w:val="70AD47"/>
          <w:sz w:val="28"/>
          <w:szCs w:val="28"/>
        </w:rPr>
      </w:pPr>
      <w:r w:rsidRPr="00F41187">
        <w:rPr>
          <w:rFonts w:ascii="Myriad Pro" w:hAnsi="Myriad Pro"/>
          <w:b/>
          <w:bCs/>
          <w:i/>
          <w:smallCaps/>
          <w:snapToGrid/>
          <w:color w:val="70AD47"/>
          <w:sz w:val="28"/>
          <w:szCs w:val="28"/>
        </w:rPr>
        <w:t>Implementation of Common Agricultural Policy</w:t>
      </w: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9.</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ECA Special Report 04/2020 (Discharge 2019): Using new imaging technologies to monitor the Common Agricultural Policy: steady progress overall, but slower for climate and environment monitoring</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snapToGrid/>
          <w:color w:val="0000FF"/>
          <w:sz w:val="22"/>
          <w:szCs w:val="22"/>
          <w:u w:val="single"/>
        </w:rPr>
      </w:pPr>
      <w:r w:rsidRPr="00F41187">
        <w:rPr>
          <w:rFonts w:ascii="Myriad Pro" w:hAnsi="Myriad Pro"/>
          <w:snapToGrid/>
          <w:color w:val="595959"/>
          <w:sz w:val="20"/>
          <w:szCs w:val="28"/>
        </w:rPr>
        <w:t>CONT/9/02678</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rPr>
      </w:pPr>
      <w:r w:rsidRPr="00F41187">
        <w:rPr>
          <w:rFonts w:ascii="Myriad Pro" w:hAnsi="Myriad Pro"/>
          <w:snapToGrid/>
          <w:sz w:val="20"/>
          <w:lang w:eastAsia="en-GB"/>
        </w:rPr>
        <w:drawing>
          <wp:anchor distT="0" distB="0" distL="114300" distR="114300" simplePos="0" relativeHeight="251669504" behindDoc="0" locked="0" layoutInCell="1" allowOverlap="1" wp14:anchorId="6425019B" wp14:editId="7ABB92B6">
            <wp:simplePos x="0" y="0"/>
            <wp:positionH relativeFrom="column">
              <wp:posOffset>-132715</wp:posOffset>
            </wp:positionH>
            <wp:positionV relativeFrom="paragraph">
              <wp:posOffset>147320</wp:posOffset>
            </wp:positionV>
            <wp:extent cx="1450800" cy="1836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pic:spPr>
                </pic:pic>
              </a:graphicData>
            </a:graphic>
            <wp14:sizeRelH relativeFrom="margin">
              <wp14:pctWidth>0</wp14:pctWidth>
            </wp14:sizeRelH>
            <wp14:sizeRelV relativeFrom="margin">
              <wp14:pctHeight>0</wp14:pctHeight>
            </wp14:sizeRelV>
          </wp:anchor>
        </w:drawing>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2"/>
          <w:szCs w:val="22"/>
        </w:rPr>
      </w:pPr>
      <w:r w:rsidRPr="00F41187">
        <w:rPr>
          <w:rFonts w:ascii="Myriad Pro" w:hAnsi="Myriad Pro"/>
          <w:b/>
          <w:bCs/>
          <w:snapToGrid/>
          <w:color w:val="709047"/>
          <w:sz w:val="22"/>
          <w:szCs w:val="22"/>
        </w:rPr>
        <w:t xml:space="preserve">Presentation of the special report by reporting ECA Member, </w:t>
      </w:r>
      <w:r w:rsidRPr="00F41187">
        <w:rPr>
          <w:rFonts w:ascii="Myriad Pro" w:hAnsi="Myriad Pro"/>
          <w:b/>
          <w:bCs/>
          <w:i/>
          <w:snapToGrid/>
          <w:color w:val="709047"/>
          <w:sz w:val="22"/>
          <w:szCs w:val="22"/>
        </w:rPr>
        <w:t>Nikolaos Milionis</w:t>
      </w:r>
    </w:p>
    <w:p w:rsidR="00777D87" w:rsidRPr="00F41187" w:rsidRDefault="00777D87" w:rsidP="00726BB4">
      <w:pPr>
        <w:widowControl/>
        <w:ind w:left="-126" w:firstLine="283"/>
        <w:rPr>
          <w:rFonts w:ascii="Myriad Pro" w:eastAsia="Calibri" w:hAnsi="Myriad Pro"/>
          <w:snapToGrid/>
          <w:color w:val="000000"/>
          <w:sz w:val="20"/>
        </w:rPr>
      </w:pP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Rapporteur:</w:t>
      </w:r>
      <w:r w:rsidRPr="00F41187">
        <w:rPr>
          <w:rFonts w:ascii="Myriad Pro" w:hAnsi="Myriad Pro"/>
          <w:snapToGrid/>
          <w:color w:val="000000"/>
          <w:sz w:val="20"/>
        </w:rPr>
        <w:tab/>
      </w:r>
      <w:hyperlink r:id="rId43" w:history="1">
        <w:r w:rsidRPr="00F41187">
          <w:rPr>
            <w:rFonts w:ascii="Myriad Pro" w:hAnsi="Myriad Pro"/>
            <w:snapToGrid/>
            <w:color w:val="0000FF"/>
            <w:sz w:val="20"/>
            <w:u w:val="single"/>
          </w:rPr>
          <w:t>Luke Ming Flanagan</w:t>
        </w:r>
      </w:hyperlink>
      <w:r w:rsidRPr="00F41187">
        <w:rPr>
          <w:rFonts w:ascii="Myriad Pro" w:hAnsi="Myriad Pro"/>
          <w:snapToGrid/>
          <w:sz w:val="20"/>
        </w:rPr>
        <w:t xml:space="preserve"> (GUE/NGL)</w:t>
      </w: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 xml:space="preserve">Administrator: </w:t>
      </w:r>
      <w:r w:rsidRPr="00F41187">
        <w:rPr>
          <w:rFonts w:ascii="Myriad Pro" w:hAnsi="Myriad Pro"/>
          <w:snapToGrid/>
          <w:color w:val="000000"/>
          <w:sz w:val="20"/>
        </w:rPr>
        <w:tab/>
        <w:t>Benoît Lefort</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Shadow Rapporteurs: Lefteris Christoforou (EPP), Isabel G</w:t>
      </w:r>
      <w:r w:rsidRPr="00F41187">
        <w:rPr>
          <w:rFonts w:ascii="Myriad Pro" w:hAnsi="Myriad Pro"/>
          <w:snapToGrid/>
          <w:color w:val="000000"/>
          <w:sz w:val="18"/>
        </w:rPr>
        <w:t>arcía</w:t>
      </w:r>
      <w:r w:rsidRPr="00F41187">
        <w:rPr>
          <w:rFonts w:ascii="Myriad Pro" w:hAnsi="Myriad Pro"/>
          <w:snapToGrid/>
          <w:color w:val="000000"/>
          <w:sz w:val="20"/>
        </w:rPr>
        <w:t xml:space="preserve"> Muñoz (S&amp;D), Martina Dlabajová (RE)</w:t>
      </w:r>
    </w:p>
    <w:p w:rsidR="00777D87" w:rsidRPr="00F41187" w:rsidRDefault="00777D87" w:rsidP="00726BB4">
      <w:pPr>
        <w:widowControl/>
        <w:ind w:left="-224" w:firstLine="283"/>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On 28 January 2020 the ECA published its Special Report n° 4/2020 “Using new imaging technologies to monitor the Common Agricultural Policy: steady progress overall, but slower for climate and environment monitoring". The European Commission has promoted the uptake of new imaging technologies in agri-monitoring, but a number of obstacles to their more widespread use remain, according to the ECA special report. Technologies such as the EU’s Copernicus Sentinel satellites are a potential game-changer for managing and monitoring the common agricultural policy (CAP). However, while the EU has in recent years encouraged their use to assess area-based direct aid to farmers, progress has been slower on using them to monitor environmental and climate requirements, say the auditors.</w:t>
      </w:r>
      <w:r w:rsidRPr="00F41187">
        <w:rPr>
          <w:lang w:eastAsia="en-GB"/>
        </w:rPr>
        <w:drawing>
          <wp:anchor distT="0" distB="0" distL="114300" distR="114300" simplePos="0" relativeHeight="251673600" behindDoc="1" locked="0" layoutInCell="1" allowOverlap="1" wp14:anchorId="08F8568B" wp14:editId="3A1CC0E1">
            <wp:simplePos x="0" y="0"/>
            <wp:positionH relativeFrom="margin">
              <wp:posOffset>2844800</wp:posOffset>
            </wp:positionH>
            <wp:positionV relativeFrom="paragraph">
              <wp:posOffset>36830</wp:posOffset>
            </wp:positionV>
            <wp:extent cx="3248660" cy="1533525"/>
            <wp:effectExtent l="76200" t="76200" r="85090" b="85725"/>
            <wp:wrapTight wrapText="bothSides">
              <wp:wrapPolygon edited="0">
                <wp:start x="-507" y="-1073"/>
                <wp:lineTo x="-507" y="22539"/>
                <wp:lineTo x="22039" y="22539"/>
                <wp:lineTo x="22039" y="-1073"/>
                <wp:lineTo x="-507" y="-1073"/>
              </wp:wrapPolygon>
            </wp:wrapTight>
            <wp:docPr id="18" name="Picture 18" descr="F:\FILING PLAN_New arborescence\5 COMMUNICATION\Editorial Unit, webpage_Not to archive\Pictures and logos\Adobe Stock Images\imaging technologies to monitor C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ILING PLAN_New arborescence\5 COMMUNICATION\Editorial Unit, webpage_Not to archive\Pictures and logos\Adobe Stock Images\imaging technologies to monitor CAP.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8660" cy="1533525"/>
                    </a:xfrm>
                    <a:prstGeom prst="rect">
                      <a:avLst/>
                    </a:prstGeom>
                    <a:noFill/>
                    <a:ln>
                      <a:noFill/>
                    </a:ln>
                    <a:effectLst>
                      <a:glow rad="63500">
                        <a:srgbClr val="4472C4">
                          <a:satMod val="175000"/>
                          <a:alpha val="40000"/>
                        </a:srgbClr>
                      </a:glow>
                    </a:effectLst>
                  </pic:spPr>
                </pic:pic>
              </a:graphicData>
            </a:graphic>
            <wp14:sizeRelH relativeFrom="margin">
              <wp14:pctWidth>0</wp14:pctWidth>
            </wp14:sizeRelH>
            <wp14:sizeRelV relativeFrom="margin">
              <wp14:pctHeight>0</wp14:pctHeight>
            </wp14:sizeRelV>
          </wp:anchor>
        </w:drawing>
      </w:r>
    </w:p>
    <w:p w:rsidR="00777D87" w:rsidRPr="00F41187" w:rsidRDefault="00777D87" w:rsidP="00726BB4">
      <w:pPr>
        <w:widowControl/>
        <w:ind w:left="-224" w:firstLine="283"/>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FF"/>
          <w:sz w:val="20"/>
        </w:rPr>
      </w:pPr>
      <w:r w:rsidRPr="00F41187">
        <w:rPr>
          <w:rFonts w:ascii="Myriad Pro" w:hAnsi="Myriad Pro"/>
          <w:bCs/>
          <w:snapToGrid/>
          <w:sz w:val="20"/>
        </w:rPr>
        <w:t xml:space="preserve">The ECA special report is available on the </w:t>
      </w:r>
      <w:hyperlink r:id="rId45" w:history="1">
        <w:r w:rsidRPr="00F41187">
          <w:rPr>
            <w:rFonts w:ascii="Myriad Pro" w:hAnsi="Myriad Pro"/>
            <w:bCs/>
            <w:snapToGrid/>
            <w:color w:val="0000FF"/>
            <w:sz w:val="20"/>
            <w:u w:val="single"/>
          </w:rPr>
          <w:t>ECA website</w:t>
        </w:r>
      </w:hyperlink>
      <w:r w:rsidRPr="00F41187">
        <w:rPr>
          <w:rFonts w:ascii="Myriad Pro" w:hAnsi="Myriad Pro"/>
          <w:bCs/>
          <w:snapToGrid/>
          <w:sz w:val="20"/>
        </w:rPr>
        <w:t xml:space="preserve">. A succinct working document was circulated to Members. The </w:t>
      </w:r>
      <w:r w:rsidRPr="00F41187">
        <w:rPr>
          <w:rFonts w:ascii="Myriad Pro" w:hAnsi="Myriad Pro"/>
          <w:b/>
          <w:bCs/>
          <w:snapToGrid/>
          <w:sz w:val="20"/>
        </w:rPr>
        <w:t>recommendations by the Rapporteur</w:t>
      </w:r>
      <w:r w:rsidRPr="00F41187">
        <w:rPr>
          <w:rFonts w:ascii="Myriad Pro" w:hAnsi="Myriad Pro"/>
          <w:bCs/>
          <w:snapToGrid/>
          <w:sz w:val="20"/>
        </w:rPr>
        <w:t xml:space="preserve"> of this special report </w:t>
      </w:r>
      <w:r w:rsidRPr="00F41187">
        <w:rPr>
          <w:rFonts w:ascii="Myriad Pro" w:hAnsi="Myriad Pro"/>
          <w:b/>
          <w:bCs/>
          <w:snapToGrid/>
          <w:sz w:val="20"/>
        </w:rPr>
        <w:t>will be finalised after the presentation in CONT Committee</w:t>
      </w:r>
      <w:r w:rsidRPr="00F41187">
        <w:rPr>
          <w:rFonts w:ascii="Myriad Pro" w:hAnsi="Myriad Pro"/>
          <w:bCs/>
          <w:snapToGrid/>
          <w:sz w:val="20"/>
        </w:rPr>
        <w:t xml:space="preserve"> and will be circulated to CONT Members afterwards.</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10.</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ECA Special Report 13/2020 (Discharge 2019): Biodiversity on farmland: CAP contribution has not halted the decline</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snapToGrid/>
          <w:color w:val="0000FF"/>
          <w:sz w:val="22"/>
          <w:szCs w:val="22"/>
          <w:u w:val="single"/>
        </w:rPr>
      </w:pPr>
      <w:r w:rsidRPr="00F41187">
        <w:rPr>
          <w:rFonts w:ascii="Myriad Pro" w:hAnsi="Myriad Pro"/>
          <w:snapToGrid/>
          <w:color w:val="595959"/>
          <w:sz w:val="20"/>
          <w:szCs w:val="28"/>
        </w:rPr>
        <w:t>CONT/9/03493</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rPr>
      </w:pPr>
      <w:r w:rsidRPr="00F41187">
        <w:rPr>
          <w:rFonts w:ascii="Myriad Pro" w:hAnsi="Myriad Pro"/>
          <w:snapToGrid/>
          <w:sz w:val="20"/>
          <w:lang w:eastAsia="en-GB"/>
        </w:rPr>
        <w:lastRenderedPageBreak/>
        <w:drawing>
          <wp:anchor distT="0" distB="0" distL="114300" distR="114300" simplePos="0" relativeHeight="251666432" behindDoc="0" locked="0" layoutInCell="1" allowOverlap="1" wp14:anchorId="7C203BEB" wp14:editId="7BA7B1CF">
            <wp:simplePos x="0" y="0"/>
            <wp:positionH relativeFrom="column">
              <wp:posOffset>-132715</wp:posOffset>
            </wp:positionH>
            <wp:positionV relativeFrom="paragraph">
              <wp:posOffset>147320</wp:posOffset>
            </wp:positionV>
            <wp:extent cx="1450800" cy="1836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pic:spPr>
                </pic:pic>
              </a:graphicData>
            </a:graphic>
            <wp14:sizeRelH relativeFrom="margin">
              <wp14:pctWidth>0</wp14:pctWidth>
            </wp14:sizeRelH>
            <wp14:sizeRelV relativeFrom="margin">
              <wp14:pctHeight>0</wp14:pctHeight>
            </wp14:sizeRelV>
          </wp:anchor>
        </w:drawing>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2"/>
          <w:szCs w:val="22"/>
        </w:rPr>
      </w:pPr>
      <w:r w:rsidRPr="00F41187">
        <w:rPr>
          <w:rFonts w:ascii="Myriad Pro" w:hAnsi="Myriad Pro"/>
          <w:b/>
          <w:bCs/>
          <w:snapToGrid/>
          <w:color w:val="709047"/>
          <w:sz w:val="22"/>
          <w:szCs w:val="22"/>
        </w:rPr>
        <w:t xml:space="preserve">Presentation of the special report by reporting ECA Member, </w:t>
      </w:r>
      <w:r w:rsidRPr="00F41187">
        <w:rPr>
          <w:rFonts w:ascii="Myriad Pro" w:hAnsi="Myriad Pro"/>
          <w:b/>
          <w:bCs/>
          <w:i/>
          <w:snapToGrid/>
          <w:color w:val="709047"/>
          <w:sz w:val="22"/>
          <w:szCs w:val="22"/>
        </w:rPr>
        <w:t>Viorel Ștefan</w:t>
      </w:r>
    </w:p>
    <w:p w:rsidR="00777D87" w:rsidRPr="00F41187" w:rsidRDefault="00777D87" w:rsidP="00726BB4">
      <w:pPr>
        <w:widowControl/>
        <w:ind w:left="-126" w:firstLine="283"/>
        <w:rPr>
          <w:rFonts w:ascii="Myriad Pro" w:eastAsia="Calibri" w:hAnsi="Myriad Pro"/>
          <w:snapToGrid/>
          <w:color w:val="000000"/>
          <w:sz w:val="20"/>
        </w:rPr>
      </w:pP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Rapporteur:</w:t>
      </w:r>
      <w:r w:rsidRPr="00F41187">
        <w:rPr>
          <w:rFonts w:ascii="Myriad Pro" w:hAnsi="Myriad Pro"/>
          <w:snapToGrid/>
          <w:color w:val="000000"/>
          <w:sz w:val="20"/>
        </w:rPr>
        <w:tab/>
      </w:r>
      <w:hyperlink r:id="rId47" w:history="1">
        <w:r w:rsidRPr="00F41187">
          <w:rPr>
            <w:rFonts w:ascii="Myriad Pro" w:hAnsi="Myriad Pro"/>
            <w:snapToGrid/>
            <w:color w:val="0000FF"/>
            <w:sz w:val="20"/>
            <w:u w:val="single"/>
          </w:rPr>
          <w:t>Viola Von Cramon-Taubadel</w:t>
        </w:r>
      </w:hyperlink>
      <w:r w:rsidRPr="00F41187">
        <w:rPr>
          <w:rFonts w:ascii="Myriad Pro" w:hAnsi="Myriad Pro"/>
          <w:snapToGrid/>
          <w:sz w:val="20"/>
        </w:rPr>
        <w:t xml:space="preserve"> (Greens)</w:t>
      </w: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 xml:space="preserve">Administrator: </w:t>
      </w:r>
      <w:r w:rsidRPr="00F41187">
        <w:rPr>
          <w:rFonts w:ascii="Myriad Pro" w:hAnsi="Myriad Pro"/>
          <w:snapToGrid/>
          <w:color w:val="000000"/>
          <w:sz w:val="20"/>
        </w:rPr>
        <w:tab/>
        <w:t>Hans Stander</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Shadow Rapporteurs: Maria Grapini (S&amp;D)</w:t>
      </w:r>
    </w:p>
    <w:p w:rsidR="00777D87" w:rsidRPr="00F41187" w:rsidRDefault="00777D87" w:rsidP="00726BB4">
      <w:pPr>
        <w:widowControl/>
        <w:ind w:left="-224" w:firstLine="283"/>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On 5 June 2020 the ECA published its Special Report n° 13/2020 “Biodiversity on farmland: CAP contribution has not halted the decline”. In its conclusions, the Court of auditors was relatively critical about the contribution of the CAP (financial) instruments towards the biodiversity targets. In particular as regards cross compliance and greening.</w:t>
      </w: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lang w:eastAsia="en-GB"/>
        </w:rPr>
        <w:drawing>
          <wp:anchor distT="0" distB="0" distL="114300" distR="114300" simplePos="0" relativeHeight="251674624" behindDoc="1" locked="0" layoutInCell="1" allowOverlap="1" wp14:anchorId="6B5D53BF" wp14:editId="7662C8D5">
            <wp:simplePos x="0" y="0"/>
            <wp:positionH relativeFrom="column">
              <wp:posOffset>3411220</wp:posOffset>
            </wp:positionH>
            <wp:positionV relativeFrom="paragraph">
              <wp:posOffset>81915</wp:posOffset>
            </wp:positionV>
            <wp:extent cx="2822575" cy="1764665"/>
            <wp:effectExtent l="76200" t="76200" r="73025" b="83185"/>
            <wp:wrapTight wrapText="bothSides">
              <wp:wrapPolygon edited="0">
                <wp:start x="-583" y="-933"/>
                <wp:lineTo x="-583" y="22385"/>
                <wp:lineTo x="22013" y="22385"/>
                <wp:lineTo x="22013" y="-933"/>
                <wp:lineTo x="-583" y="-933"/>
              </wp:wrapPolygon>
            </wp:wrapTight>
            <wp:docPr id="22" name="Picture 22" descr="F:\FILING PLAN_New arborescence\5 COMMUNICATION\Editorial Unit, webpage_Not to archive\Pictures and logos\Adobe Stock Images\biodiversity on farml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ILING PLAN_New arborescence\5 COMMUNICATION\Editorial Unit, webpage_Not to archive\Pictures and logos\Adobe Stock Images\biodiversity on farmland.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2575" cy="1764665"/>
                    </a:xfrm>
                    <a:prstGeom prst="rect">
                      <a:avLst/>
                    </a:prstGeom>
                    <a:noFill/>
                    <a:ln>
                      <a:noFill/>
                    </a:ln>
                    <a:effectLst>
                      <a:glow rad="63500">
                        <a:srgbClr val="4472C4">
                          <a:satMod val="175000"/>
                          <a:alpha val="40000"/>
                        </a:srgbClr>
                      </a:glow>
                    </a:effectLst>
                  </pic:spPr>
                </pic:pic>
              </a:graphicData>
            </a:graphic>
            <wp14:sizeRelH relativeFrom="margin">
              <wp14:pctWidth>0</wp14:pctWidth>
            </wp14:sizeRelH>
            <wp14:sizeRelV relativeFrom="margin">
              <wp14:pctHeight>0</wp14:pctHeight>
            </wp14:sizeRelV>
          </wp:anchor>
        </w:drawing>
      </w: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The Rapporteur invited Professor Dr. Sebastian Lakner, head of the chair of agriculture economics at Rostock University, to present his views on the findings of the Court and on opportunities for improvement of the CAP.</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FF"/>
          <w:sz w:val="20"/>
        </w:rPr>
      </w:pPr>
      <w:r w:rsidRPr="00F41187">
        <w:rPr>
          <w:rFonts w:ascii="Myriad Pro" w:hAnsi="Myriad Pro"/>
          <w:bCs/>
          <w:snapToGrid/>
          <w:sz w:val="20"/>
        </w:rPr>
        <w:t xml:space="preserve">The ECA special report is available on the </w:t>
      </w:r>
      <w:hyperlink r:id="rId49" w:history="1">
        <w:r w:rsidRPr="00F41187">
          <w:rPr>
            <w:rFonts w:ascii="Myriad Pro" w:hAnsi="Myriad Pro"/>
            <w:bCs/>
            <w:snapToGrid/>
            <w:color w:val="0000FF"/>
            <w:sz w:val="20"/>
            <w:u w:val="single"/>
          </w:rPr>
          <w:t>ECA website</w:t>
        </w:r>
      </w:hyperlink>
      <w:r w:rsidRPr="00F41187">
        <w:rPr>
          <w:rFonts w:ascii="Myriad Pro" w:hAnsi="Myriad Pro"/>
          <w:bCs/>
          <w:snapToGrid/>
          <w:sz w:val="20"/>
        </w:rPr>
        <w:t xml:space="preserve">. A succinct working document was circulated to Members. The </w:t>
      </w:r>
      <w:r w:rsidRPr="00F41187">
        <w:rPr>
          <w:rFonts w:ascii="Myriad Pro" w:hAnsi="Myriad Pro"/>
          <w:b/>
          <w:bCs/>
          <w:snapToGrid/>
          <w:sz w:val="20"/>
        </w:rPr>
        <w:t>recommendations by the Rapporteur</w:t>
      </w:r>
      <w:r w:rsidRPr="00F41187">
        <w:rPr>
          <w:rFonts w:ascii="Myriad Pro" w:hAnsi="Myriad Pro"/>
          <w:bCs/>
          <w:snapToGrid/>
          <w:sz w:val="20"/>
        </w:rPr>
        <w:t xml:space="preserve"> of this Special Report </w:t>
      </w:r>
      <w:r w:rsidRPr="00F41187">
        <w:rPr>
          <w:rFonts w:ascii="Myriad Pro" w:hAnsi="Myriad Pro"/>
          <w:b/>
          <w:bCs/>
          <w:snapToGrid/>
          <w:sz w:val="20"/>
        </w:rPr>
        <w:t>will be finalised after the presentation in CONT Committee</w:t>
      </w:r>
      <w:r w:rsidRPr="00F41187">
        <w:rPr>
          <w:rFonts w:ascii="Myriad Pro" w:hAnsi="Myriad Pro"/>
          <w:bCs/>
          <w:snapToGrid/>
          <w:sz w:val="20"/>
        </w:rPr>
        <w:t xml:space="preserve"> and will be circulated to CONT Members afterwards.</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spacing w:before="240" w:after="160" w:line="259" w:lineRule="auto"/>
        <w:ind w:firstLine="283"/>
        <w:jc w:val="center"/>
        <w:rPr>
          <w:rFonts w:ascii="Calibri" w:eastAsia="Calibri" w:hAnsi="Calibri"/>
          <w:snapToGrid/>
          <w:sz w:val="22"/>
          <w:szCs w:val="22"/>
        </w:rPr>
      </w:pPr>
      <w:r w:rsidRPr="00F41187">
        <w:rPr>
          <w:rFonts w:ascii="Calibri" w:hAnsi="Calibri"/>
          <w:snapToGrid/>
          <w:sz w:val="22"/>
          <w:szCs w:val="22"/>
        </w:rPr>
        <w:t>* *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line="259" w:lineRule="auto"/>
        <w:ind w:left="-125" w:right="57" w:firstLine="283"/>
        <w:rPr>
          <w:rFonts w:ascii="Myriad Pro" w:eastAsia="Calibri" w:hAnsi="Myriad Pro"/>
          <w:b/>
          <w:bCs/>
          <w:i/>
          <w:snapToGrid/>
          <w:color w:val="709047"/>
          <w:szCs w:val="24"/>
        </w:rPr>
      </w:pPr>
      <w:r w:rsidRPr="00F41187">
        <w:rPr>
          <w:rFonts w:ascii="Myriad Pro" w:hAnsi="Myriad Pro"/>
          <w:b/>
          <w:bCs/>
          <w:i/>
          <w:snapToGrid/>
          <w:color w:val="709047"/>
          <w:szCs w:val="24"/>
        </w:rPr>
        <w:t>18:15 - 18:45</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spacing w:before="240" w:after="160" w:line="259" w:lineRule="auto"/>
        <w:ind w:left="-142" w:firstLine="283"/>
        <w:rPr>
          <w:rFonts w:ascii="Myriad Pro" w:eastAsia="Calibri" w:hAnsi="Myriad Pro"/>
          <w:b/>
          <w:bCs/>
          <w:i/>
          <w:smallCaps/>
          <w:snapToGrid/>
          <w:color w:val="70AD47"/>
          <w:sz w:val="28"/>
          <w:szCs w:val="28"/>
        </w:rPr>
      </w:pPr>
      <w:r w:rsidRPr="00F41187">
        <w:rPr>
          <w:rFonts w:ascii="Myriad Pro" w:hAnsi="Myriad Pro"/>
          <w:b/>
          <w:bCs/>
          <w:i/>
          <w:smallCaps/>
          <w:snapToGrid/>
          <w:color w:val="70AD47"/>
          <w:sz w:val="28"/>
          <w:szCs w:val="28"/>
        </w:rPr>
        <w:t>Implementation of Cohesion Policy</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11.</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ECA Special Report 7/2020 (Discharge 2019): Implementing Cohesion policy: comparatively low costs, but insufficient information to assess simplification savings</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Calibri" w:eastAsia="Calibri" w:hAnsi="Calibri"/>
          <w:snapToGrid/>
          <w:color w:val="0000FF"/>
          <w:sz w:val="22"/>
          <w:szCs w:val="22"/>
          <w:u w:val="single"/>
        </w:rPr>
      </w:pPr>
      <w:r w:rsidRPr="00F41187">
        <w:rPr>
          <w:rFonts w:ascii="Myriad Pro" w:hAnsi="Myriad Pro"/>
          <w:snapToGrid/>
          <w:color w:val="595959"/>
          <w:sz w:val="20"/>
          <w:szCs w:val="28"/>
        </w:rPr>
        <w:t>CONT/9/03246</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595959"/>
          <w:sz w:val="20"/>
          <w:szCs w:val="28"/>
        </w:rPr>
      </w:pPr>
      <w:r w:rsidRPr="00F41187">
        <w:rPr>
          <w:rFonts w:ascii="Myriad Pro" w:hAnsi="Myriad Pro"/>
          <w:snapToGrid/>
          <w:sz w:val="20"/>
          <w:lang w:eastAsia="en-GB"/>
        </w:rPr>
        <w:drawing>
          <wp:anchor distT="0" distB="0" distL="114300" distR="114300" simplePos="0" relativeHeight="251667456" behindDoc="0" locked="0" layoutInCell="1" allowOverlap="1" wp14:anchorId="46BF9CB9" wp14:editId="3FEC3D19">
            <wp:simplePos x="0" y="0"/>
            <wp:positionH relativeFrom="column">
              <wp:posOffset>-168910</wp:posOffset>
            </wp:positionH>
            <wp:positionV relativeFrom="paragraph">
              <wp:posOffset>148590</wp:posOffset>
            </wp:positionV>
            <wp:extent cx="1450800" cy="1836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50800" cy="1836000"/>
                    </a:xfrm>
                    <a:prstGeom prst="rect">
                      <a:avLst/>
                    </a:prstGeom>
                    <a:noFill/>
                  </pic:spPr>
                </pic:pic>
              </a:graphicData>
            </a:graphic>
            <wp14:sizeRelH relativeFrom="margin">
              <wp14:pctWidth>0</wp14:pctWidth>
            </wp14:sizeRelH>
            <wp14:sizeRelV relativeFrom="margin">
              <wp14:pctHeight>0</wp14:pctHeight>
            </wp14:sizeRelV>
          </wp:anchor>
        </w:drawing>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b/>
          <w:snapToGrid/>
          <w:color w:val="709047"/>
          <w:sz w:val="22"/>
          <w:szCs w:val="22"/>
        </w:rPr>
      </w:pPr>
      <w:r w:rsidRPr="00F41187">
        <w:rPr>
          <w:rFonts w:ascii="Myriad Pro" w:hAnsi="Myriad Pro"/>
          <w:b/>
          <w:bCs/>
          <w:snapToGrid/>
          <w:color w:val="709047"/>
          <w:sz w:val="22"/>
          <w:szCs w:val="22"/>
        </w:rPr>
        <w:t xml:space="preserve">Presentation of the special report by reporting ECA Member, </w:t>
      </w:r>
      <w:r w:rsidRPr="00F41187">
        <w:rPr>
          <w:rFonts w:ascii="Myriad Pro" w:hAnsi="Myriad Pro"/>
          <w:b/>
          <w:bCs/>
          <w:i/>
          <w:snapToGrid/>
          <w:color w:val="709047"/>
          <w:sz w:val="22"/>
          <w:szCs w:val="22"/>
        </w:rPr>
        <w:t>Pietro Russo</w:t>
      </w:r>
    </w:p>
    <w:p w:rsidR="00777D87" w:rsidRPr="00F41187" w:rsidRDefault="00777D87" w:rsidP="00726BB4">
      <w:pPr>
        <w:widowControl/>
        <w:ind w:left="-126" w:firstLine="283"/>
        <w:rPr>
          <w:rFonts w:ascii="Myriad Pro" w:eastAsia="Calibri" w:hAnsi="Myriad Pro"/>
          <w:snapToGrid/>
          <w:color w:val="000000"/>
          <w:sz w:val="20"/>
        </w:rPr>
      </w:pP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Rapporteur:</w:t>
      </w:r>
      <w:r w:rsidRPr="00F41187">
        <w:rPr>
          <w:rFonts w:ascii="Myriad Pro" w:hAnsi="Myriad Pro"/>
          <w:snapToGrid/>
          <w:color w:val="000000"/>
          <w:sz w:val="20"/>
        </w:rPr>
        <w:tab/>
      </w:r>
      <w:hyperlink r:id="rId50" w:history="1">
        <w:r w:rsidRPr="00F41187">
          <w:rPr>
            <w:rFonts w:ascii="Myriad Pro" w:hAnsi="Myriad Pro"/>
            <w:snapToGrid/>
            <w:color w:val="0000FF"/>
            <w:sz w:val="20"/>
            <w:u w:val="single"/>
          </w:rPr>
          <w:t>Viola Von Cramon-Taubadel</w:t>
        </w:r>
      </w:hyperlink>
      <w:r w:rsidRPr="00F41187">
        <w:rPr>
          <w:rFonts w:ascii="Myriad Pro" w:hAnsi="Myriad Pro"/>
          <w:snapToGrid/>
          <w:sz w:val="20"/>
        </w:rPr>
        <w:t xml:space="preserve"> (Greens)</w:t>
      </w:r>
    </w:p>
    <w:p w:rsidR="00777D87" w:rsidRPr="00F41187" w:rsidRDefault="00777D87" w:rsidP="00726BB4">
      <w:pPr>
        <w:widowControl/>
        <w:tabs>
          <w:tab w:val="left" w:pos="4253"/>
        </w:tabs>
        <w:ind w:left="-126" w:firstLine="283"/>
        <w:rPr>
          <w:rFonts w:ascii="Myriad Pro" w:eastAsia="Calibri" w:hAnsi="Myriad Pro"/>
          <w:snapToGrid/>
          <w:color w:val="000000"/>
          <w:sz w:val="20"/>
        </w:rPr>
      </w:pPr>
      <w:r w:rsidRPr="00F41187">
        <w:rPr>
          <w:rFonts w:ascii="Myriad Pro" w:hAnsi="Myriad Pro"/>
          <w:snapToGrid/>
          <w:color w:val="000000"/>
          <w:sz w:val="20"/>
        </w:rPr>
        <w:t xml:space="preserve">Administrator: </w:t>
      </w:r>
      <w:r w:rsidRPr="00F41187">
        <w:rPr>
          <w:rFonts w:ascii="Myriad Pro" w:hAnsi="Myriad Pro"/>
          <w:snapToGrid/>
          <w:color w:val="000000"/>
          <w:sz w:val="20"/>
        </w:rPr>
        <w:tab/>
        <w:t>Hans Stander</w:t>
      </w:r>
    </w:p>
    <w:p w:rsidR="00777D87" w:rsidRPr="00F41187" w:rsidRDefault="00777D87" w:rsidP="00726BB4">
      <w:pPr>
        <w:widowControl/>
        <w:ind w:left="-224" w:firstLine="283"/>
        <w:jc w:val="both"/>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Shadow Rapporteurs: José Manuel Fernandes (EPP), Sándor Rónai (S&amp;D), Pierre Karleskind (RE)</w:t>
      </w:r>
    </w:p>
    <w:p w:rsidR="00777D87" w:rsidRPr="00F41187" w:rsidRDefault="00777D87" w:rsidP="00726BB4">
      <w:pPr>
        <w:widowControl/>
        <w:ind w:left="-224" w:firstLine="283"/>
        <w:rPr>
          <w:rFonts w:ascii="Myriad Pro" w:eastAsia="Calibri" w:hAnsi="Myriad Pro"/>
          <w:snapToGrid/>
          <w:color w:val="000000"/>
          <w:sz w:val="20"/>
        </w:rPr>
      </w:pP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lang w:eastAsia="en-GB"/>
        </w:rPr>
        <w:lastRenderedPageBreak/>
        <w:drawing>
          <wp:anchor distT="0" distB="0" distL="114300" distR="114300" simplePos="0" relativeHeight="251675648" behindDoc="1" locked="0" layoutInCell="1" allowOverlap="1" wp14:anchorId="64F0C464" wp14:editId="03AB2824">
            <wp:simplePos x="0" y="0"/>
            <wp:positionH relativeFrom="column">
              <wp:posOffset>3274843</wp:posOffset>
            </wp:positionH>
            <wp:positionV relativeFrom="paragraph">
              <wp:posOffset>65388</wp:posOffset>
            </wp:positionV>
            <wp:extent cx="2952255" cy="1968170"/>
            <wp:effectExtent l="133350" t="133350" r="133985" b="127635"/>
            <wp:wrapTight wrapText="bothSides">
              <wp:wrapPolygon edited="0">
                <wp:start x="-558" y="-1464"/>
                <wp:lineTo x="-976" y="-1255"/>
                <wp:lineTo x="-976" y="22165"/>
                <wp:lineTo x="-558" y="22792"/>
                <wp:lineTo x="22023" y="22792"/>
                <wp:lineTo x="22441" y="22165"/>
                <wp:lineTo x="22441" y="2091"/>
                <wp:lineTo x="22023" y="-1045"/>
                <wp:lineTo x="22023" y="-1464"/>
                <wp:lineTo x="-558" y="-1464"/>
              </wp:wrapPolygon>
            </wp:wrapTight>
            <wp:docPr id="23" name="Picture 23" descr="F:\FILING PLAN_New arborescence\5 COMMUNICATION\Editorial Unit, webpage_Not to archive\Pictures and logos\Adobe Stock Images\cohe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ILING PLAN_New arborescence\5 COMMUNICATION\Editorial Unit, webpage_Not to archive\Pictures and logos\Adobe Stock Images\cohesion.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57747" cy="1971832"/>
                    </a:xfrm>
                    <a:prstGeom prst="rect">
                      <a:avLst/>
                    </a:prstGeom>
                    <a:noFill/>
                    <a:ln>
                      <a:noFill/>
                    </a:ln>
                    <a:effectLst>
                      <a:glow rad="127000">
                        <a:sysClr val="window" lastClr="FFFFFF">
                          <a:lumMod val="75000"/>
                        </a:sysClr>
                      </a:glow>
                    </a:effectLst>
                  </pic:spPr>
                </pic:pic>
              </a:graphicData>
            </a:graphic>
            <wp14:sizeRelH relativeFrom="margin">
              <wp14:pctWidth>0</wp14:pctWidth>
            </wp14:sizeRelH>
            <wp14:sizeRelV relativeFrom="margin">
              <wp14:pctHeight>0</wp14:pctHeight>
            </wp14:sizeRelV>
          </wp:anchor>
        </w:drawing>
      </w:r>
      <w:r w:rsidRPr="00F41187">
        <w:rPr>
          <w:rFonts w:ascii="Myriad Pro" w:hAnsi="Myriad Pro"/>
          <w:snapToGrid/>
          <w:color w:val="000000"/>
          <w:sz w:val="20"/>
        </w:rPr>
        <w:t xml:space="preserve">On 16 April 2020 the Court of auditors published its Special Report 07/2020 </w:t>
      </w:r>
      <w:r w:rsidRPr="00F41187">
        <w:rPr>
          <w:rFonts w:ascii="Myriad Pro" w:hAnsi="Myriad Pro"/>
          <w:i/>
          <w:snapToGrid/>
          <w:color w:val="000000"/>
          <w:sz w:val="20"/>
        </w:rPr>
        <w:t>“Implementing Cohesion policy: comparatively low costs, but insufficient information to assess simplification savings”.</w:t>
      </w:r>
      <w:r w:rsidRPr="00F41187">
        <w:rPr>
          <w:rFonts w:ascii="Myriad Pro" w:hAnsi="Myriad Pro"/>
          <w:snapToGrid/>
          <w:color w:val="000000"/>
          <w:sz w:val="20"/>
        </w:rPr>
        <w:t xml:space="preserve"> The Court found that the implementing costs of the Cohesion policy were relatively low, in comparison with other EU funds and other internationally funded programmes. However, the Court also found that the possible savings mentioned by the Commission as a result of simplification of rules, could not be quantified due to a lack of information.</w:t>
      </w:r>
    </w:p>
    <w:p w:rsidR="00777D87" w:rsidRPr="00F41187" w:rsidRDefault="00777D87" w:rsidP="00726BB4">
      <w:pPr>
        <w:widowControl/>
        <w:ind w:left="-224" w:firstLine="283"/>
        <w:jc w:val="both"/>
        <w:rPr>
          <w:rFonts w:ascii="Myriad Pro" w:eastAsia="Calibri" w:hAnsi="Myriad Pro"/>
          <w:snapToGrid/>
          <w:color w:val="000000"/>
          <w:sz w:val="20"/>
        </w:rPr>
      </w:pPr>
      <w:r w:rsidRPr="00F41187">
        <w:rPr>
          <w:rFonts w:ascii="Myriad Pro" w:hAnsi="Myriad Pro"/>
          <w:snapToGrid/>
          <w:color w:val="000000"/>
          <w:sz w:val="20"/>
        </w:rPr>
        <w:t xml:space="preserve"> </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eastAsia="Calibri" w:hAnsi="Myriad Pro"/>
          <w:snapToGrid/>
          <w:color w:val="0000FF"/>
          <w:sz w:val="20"/>
        </w:rPr>
      </w:pPr>
      <w:r w:rsidRPr="00F41187">
        <w:rPr>
          <w:rFonts w:ascii="Myriad Pro" w:hAnsi="Myriad Pro"/>
          <w:bCs/>
          <w:snapToGrid/>
          <w:sz w:val="20"/>
        </w:rPr>
        <w:t xml:space="preserve">The ECA special report is available on the </w:t>
      </w:r>
      <w:hyperlink r:id="rId52" w:history="1">
        <w:r w:rsidRPr="00F41187">
          <w:rPr>
            <w:rFonts w:ascii="Myriad Pro" w:hAnsi="Myriad Pro"/>
            <w:bCs/>
            <w:snapToGrid/>
            <w:color w:val="0000FF"/>
            <w:sz w:val="20"/>
            <w:u w:val="single"/>
          </w:rPr>
          <w:t>ECA website</w:t>
        </w:r>
      </w:hyperlink>
      <w:r w:rsidRPr="00F41187">
        <w:rPr>
          <w:rFonts w:ascii="Myriad Pro" w:hAnsi="Myriad Pro"/>
          <w:bCs/>
          <w:snapToGrid/>
          <w:sz w:val="20"/>
        </w:rPr>
        <w:t xml:space="preserve">. A succinct working document was circulated to Members. The </w:t>
      </w:r>
      <w:r w:rsidRPr="00F41187">
        <w:rPr>
          <w:rFonts w:ascii="Myriad Pro" w:hAnsi="Myriad Pro"/>
          <w:b/>
          <w:bCs/>
          <w:snapToGrid/>
          <w:sz w:val="20"/>
        </w:rPr>
        <w:t>recommendations by the Rapporteur</w:t>
      </w:r>
      <w:r w:rsidRPr="00F41187">
        <w:rPr>
          <w:rFonts w:ascii="Myriad Pro" w:hAnsi="Myriad Pro"/>
          <w:bCs/>
          <w:snapToGrid/>
          <w:sz w:val="20"/>
        </w:rPr>
        <w:t xml:space="preserve"> of this Special Report </w:t>
      </w:r>
      <w:r w:rsidRPr="00F41187">
        <w:rPr>
          <w:rFonts w:ascii="Myriad Pro" w:hAnsi="Myriad Pro"/>
          <w:b/>
          <w:bCs/>
          <w:snapToGrid/>
          <w:sz w:val="20"/>
        </w:rPr>
        <w:t>will be finalised after the presentation in CONT Committee</w:t>
      </w:r>
      <w:r w:rsidRPr="00F41187">
        <w:rPr>
          <w:rFonts w:ascii="Myriad Pro" w:hAnsi="Myriad Pro"/>
          <w:bCs/>
          <w:snapToGrid/>
          <w:sz w:val="20"/>
        </w:rPr>
        <w:t xml:space="preserve"> and will be circulated to CONT Members afterwards.</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12.</w:t>
      </w:r>
      <w:r w:rsidRPr="00F41187">
        <w:rPr>
          <w:rFonts w:ascii="Myriad Pro" w:hAnsi="Myriad Pro"/>
          <w:b/>
          <w:smallCaps/>
          <w:snapToGrid/>
          <w:color w:val="595959"/>
          <w:sz w:val="28"/>
          <w:szCs w:val="28"/>
        </w:rPr>
        <w:tab/>
      </w:r>
      <w:r w:rsidRPr="00F41187">
        <w:rPr>
          <w:rFonts w:ascii="Myriad Pro" w:hAnsi="Myriad Pro"/>
          <w:b/>
          <w:bCs/>
          <w:smallCaps/>
          <w:snapToGrid/>
          <w:color w:val="595959"/>
          <w:sz w:val="28"/>
          <w:szCs w:val="28"/>
        </w:rPr>
        <w:t>Chair’s announcements on the results of the second voting session</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283"/>
        <w:jc w:val="both"/>
        <w:rPr>
          <w:rFonts w:ascii="Myriad Pro" w:hAnsi="Myriad Pro"/>
          <w:snapToGrid/>
          <w:sz w:val="20"/>
          <w:lang w:eastAsia="fr-FR"/>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13.</w:t>
      </w:r>
      <w:r w:rsidRPr="00F41187">
        <w:rPr>
          <w:rFonts w:ascii="Myriad Pro" w:hAnsi="Myriad Pro"/>
          <w:b/>
          <w:smallCaps/>
          <w:snapToGrid/>
          <w:color w:val="595959"/>
          <w:sz w:val="28"/>
          <w:szCs w:val="28"/>
        </w:rPr>
        <w:tab/>
        <w:t>Any other business</w:t>
      </w:r>
    </w:p>
    <w:p w:rsidR="00777D87" w:rsidRPr="00F41187" w:rsidRDefault="00777D87" w:rsidP="00726BB4">
      <w:pPr>
        <w:widowControl/>
        <w:ind w:left="-224" w:firstLine="283"/>
        <w:rPr>
          <w:rFonts w:ascii="Myriad Pro" w:eastAsia="Calibri" w:hAnsi="Myriad Pro"/>
          <w:snapToGrid/>
          <w:color w:val="595959"/>
          <w:sz w:val="20"/>
          <w:szCs w:val="28"/>
        </w:rPr>
      </w:pPr>
    </w:p>
    <w:p w:rsidR="00777D87" w:rsidRPr="00F41187" w:rsidRDefault="00777D87" w:rsidP="00726BB4">
      <w:pPr>
        <w:widowControl/>
        <w:ind w:left="-210" w:firstLine="283"/>
        <w:rPr>
          <w:rFonts w:ascii="Myriad Pro" w:eastAsia="Calibri" w:hAnsi="Myriad Pro"/>
          <w:snapToGrid/>
          <w:color w:val="000000"/>
          <w:sz w:val="20"/>
        </w:rPr>
      </w:pPr>
    </w:p>
    <w:p w:rsidR="00777D87" w:rsidRPr="00F41187" w:rsidRDefault="00777D87" w:rsidP="00726BB4">
      <w:pPr>
        <w:widowControl/>
        <w:ind w:left="-224" w:firstLine="283"/>
        <w:rPr>
          <w:rFonts w:ascii="Myriad Pro" w:eastAsia="Calibri" w:hAnsi="Myriad Pro"/>
          <w:b/>
          <w:smallCaps/>
          <w:snapToGrid/>
          <w:color w:val="595959"/>
          <w:sz w:val="28"/>
          <w:szCs w:val="28"/>
        </w:rPr>
      </w:pPr>
      <w:r w:rsidRPr="00F41187">
        <w:rPr>
          <w:rFonts w:ascii="Myriad Pro" w:hAnsi="Myriad Pro"/>
          <w:b/>
          <w:smallCaps/>
          <w:snapToGrid/>
          <w:color w:val="595959"/>
          <w:sz w:val="28"/>
          <w:szCs w:val="28"/>
        </w:rPr>
        <w:t>14.</w:t>
      </w:r>
      <w:r w:rsidRPr="00F41187">
        <w:rPr>
          <w:rFonts w:ascii="Myriad Pro" w:hAnsi="Myriad Pro"/>
          <w:b/>
          <w:smallCaps/>
          <w:snapToGrid/>
          <w:color w:val="595959"/>
          <w:sz w:val="28"/>
          <w:szCs w:val="28"/>
        </w:rPr>
        <w:tab/>
        <w:t>Next meetings</w:t>
      </w:r>
    </w:p>
    <w:p w:rsidR="00777D87" w:rsidRPr="00F41187" w:rsidRDefault="00777D87" w:rsidP="00726BB4">
      <w:pPr>
        <w:widowControl/>
        <w:ind w:left="-224" w:firstLine="283"/>
        <w:rPr>
          <w:rFonts w:ascii="Myriad Pro" w:eastAsia="Calibri" w:hAnsi="Myriad Pro"/>
          <w:snapToGrid/>
          <w:color w:val="595959"/>
          <w:sz w:val="20"/>
          <w:szCs w:val="28"/>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firstLine="283"/>
        <w:jc w:val="both"/>
        <w:rPr>
          <w:rFonts w:ascii="Myriad Pro" w:hAnsi="Myriad Pro" w:cs="Arial"/>
          <w:snapToGrid/>
          <w:sz w:val="20"/>
        </w:rPr>
      </w:pPr>
      <w:r w:rsidRPr="00F41187">
        <w:rPr>
          <w:rFonts w:ascii="Myriad Pro" w:hAnsi="Myriad Pro"/>
          <w:snapToGrid/>
          <w:sz w:val="20"/>
          <w:lang w:eastAsia="en-GB"/>
        </w:rPr>
        <mc:AlternateContent>
          <mc:Choice Requires="wps">
            <w:drawing>
              <wp:inline distT="0" distB="0" distL="0" distR="0" wp14:anchorId="582FB190" wp14:editId="38BBBBE7">
                <wp:extent cx="5762625" cy="609600"/>
                <wp:effectExtent l="0" t="0" r="9525"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09600"/>
                        </a:xfrm>
                        <a:prstGeom prst="rect">
                          <a:avLst/>
                        </a:prstGeom>
                        <a:solidFill>
                          <a:srgbClr val="709047">
                            <a:alpha val="20000"/>
                          </a:srgbClr>
                        </a:solidFill>
                        <a:ln>
                          <a:noFill/>
                        </a:ln>
                      </wps:spPr>
                      <wps:txbx>
                        <w:txbxContent>
                          <w:p w:rsidR="00A901EA" w:rsidRPr="00311076"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rFonts w:ascii="Myriad Pro" w:eastAsia="ヒラギノ角ゴ Pro W3" w:hAnsi="Myriad Pro"/>
                                <w:color w:val="000000"/>
                                <w:sz w:val="20"/>
                              </w:rPr>
                            </w:pPr>
                            <w:r w:rsidRPr="00311076">
                              <w:rPr>
                                <w:rFonts w:ascii="Symbol" w:hAnsi="Symbol"/>
                                <w:snapToGrid/>
                                <w:color w:val="000000"/>
                                <w:sz w:val="20"/>
                              </w:rPr>
                              <w:t></w:t>
                            </w:r>
                            <w:r w:rsidRPr="00311076">
                              <w:rPr>
                                <w:rFonts w:ascii="Symbol" w:hAnsi="Symbol"/>
                                <w:snapToGrid/>
                                <w:color w:val="000000"/>
                                <w:sz w:val="20"/>
                              </w:rPr>
                              <w:tab/>
                            </w:r>
                            <w:r w:rsidRPr="00311076">
                              <w:rPr>
                                <w:rFonts w:ascii="Myriad Pro" w:hAnsi="Myriad Pro"/>
                                <w:color w:val="000000"/>
                                <w:sz w:val="20"/>
                              </w:rPr>
                              <w:t>28 October 2020 (Brussels) 13.45 to 15.45 and 16.45 to 18.45</w:t>
                            </w:r>
                          </w:p>
                          <w:p w:rsidR="00A901EA" w:rsidRPr="00311076"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rFonts w:ascii="Myriad Pro" w:eastAsia="ヒラギノ角ゴ Pro W3" w:hAnsi="Myriad Pro"/>
                                <w:color w:val="000000"/>
                                <w:sz w:val="20"/>
                              </w:rPr>
                            </w:pPr>
                            <w:r w:rsidRPr="00311076">
                              <w:rPr>
                                <w:rFonts w:ascii="Symbol" w:hAnsi="Symbol"/>
                                <w:snapToGrid/>
                                <w:color w:val="000000"/>
                                <w:sz w:val="20"/>
                              </w:rPr>
                              <w:t></w:t>
                            </w:r>
                            <w:r w:rsidRPr="00311076">
                              <w:rPr>
                                <w:rFonts w:ascii="Symbol" w:hAnsi="Symbol"/>
                                <w:snapToGrid/>
                                <w:color w:val="000000"/>
                                <w:sz w:val="20"/>
                              </w:rPr>
                              <w:tab/>
                            </w:r>
                            <w:r w:rsidRPr="00311076">
                              <w:rPr>
                                <w:rFonts w:ascii="Myriad Pro" w:hAnsi="Myriad Pro"/>
                                <w:color w:val="000000"/>
                                <w:sz w:val="20"/>
                              </w:rPr>
                              <w:t>29 October 2020 (Brussels) 09.00 to 11.00 and 11.30 to 12.30</w:t>
                            </w:r>
                          </w:p>
                          <w:p w:rsidR="00A901EA" w:rsidRPr="00311076"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rFonts w:ascii="Myriad Pro" w:eastAsia="ヒラギノ角ゴ Pro W3" w:hAnsi="Myriad Pro"/>
                                <w:color w:val="000000"/>
                                <w:sz w:val="20"/>
                              </w:rPr>
                            </w:pPr>
                            <w:r w:rsidRPr="00311076">
                              <w:rPr>
                                <w:rFonts w:ascii="Symbol" w:hAnsi="Symbol"/>
                                <w:snapToGrid/>
                                <w:color w:val="000000"/>
                                <w:sz w:val="20"/>
                              </w:rPr>
                              <w:t></w:t>
                            </w:r>
                            <w:r w:rsidRPr="00311076">
                              <w:rPr>
                                <w:rFonts w:ascii="Symbol" w:hAnsi="Symbol"/>
                                <w:snapToGrid/>
                                <w:color w:val="000000"/>
                                <w:sz w:val="20"/>
                              </w:rPr>
                              <w:tab/>
                            </w:r>
                            <w:r w:rsidRPr="00311076">
                              <w:rPr>
                                <w:rFonts w:ascii="Myriad Pro" w:hAnsi="Myriad Pro"/>
                                <w:color w:val="000000"/>
                                <w:sz w:val="20"/>
                              </w:rPr>
                              <w:t>10 November 2020, 9.00 – 11.00 and 11.30 – 12.30 and 13.45 – 15.45 and 16.45 – 18.45 (Brussels)</w:t>
                            </w:r>
                          </w:p>
                        </w:txbxContent>
                      </wps:txbx>
                      <wps:bodyPr rot="0" vert="horz" wrap="square" lIns="91440" tIns="45720" rIns="91440" bIns="45720" anchor="t" anchorCtr="0" upright="1">
                        <a:noAutofit/>
                      </wps:bodyPr>
                    </wps:wsp>
                  </a:graphicData>
                </a:graphic>
              </wp:inline>
            </w:drawing>
          </mc:Choice>
          <mc:Fallback>
            <w:pict>
              <v:shape w14:anchorId="582FB190" id="Text Box 6" o:spid="_x0000_s1027" type="#_x0000_t202" style="width:453.7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6FFwIAABcEAAAOAAAAZHJzL2Uyb0RvYy54bWysU9uO0zAQfUfiHyy/06RVm9Ko6WrpahHS&#10;wiLt8gGO4yQWiceM3Sbl6xk73W6BN8SL5bn4zJkz4+3N2HfsqNBpMAWfz1LOlJFQadMU/Nvz/bv3&#10;nDkvTCU6MKrgJ+X4ze7tm+1gc7WAFrpKISMQ4/LBFrz13uZJ4mSreuFmYJWhYA3YC08mNkmFYiD0&#10;vksWaZolA2BlEaRyjrx3U5DvIn5dK+kf69opz7qCEzcfT4xnGc5ktxV5g8K2Wp5piH9g0QttqOgF&#10;6k54wQ6o/4LqtURwUPuZhD6ButZSxR6om3n6RzdPrbAq9kLiOHuRyf0/WPnl+BWZrgqecWZETyN6&#10;VqNnH2BkWVBnsC6npCdLaX4kN005dursA8jvjhnYt8I06hYRhlaJitjNw8vk6umE4wJIOXyGisqI&#10;g4cINNbYB+lIDEboNKXTZTKBiiTnap0tssWKM0mxLN1kaRxdIvKX1xad/6igZ+FScKTJR3RxfHA+&#10;sBH5S0oo5qDT1b3uumhgU+47ZEdBW7JON+lyPb3tbCsmL+3apaSb0iPmbzidCWgGAu5UMniiDqH1&#10;SQQ/lmMUPIoUNCqhOpEwCNN20m+iSwv4k7OBNrPg7sdBoOKs+2RI3M18uQyrHI3lar0gA68j5XVE&#10;GElQBfecTde9n9b/YFE3LVWaxmnglgZS66jVK6szfdq+2O75p4T1vrZj1ut/3v0CAAD//wMAUEsD&#10;BBQABgAIAAAAIQCETx6B2AAAAAQBAAAPAAAAZHJzL2Rvd25yZXYueG1sTI9BT8MwDIXvSPyHyEjc&#10;WLJJFChNJ4Q0JOBEyw/wWrep1jhVk23l32O4wMV61rPe+1xsFz+qE81xCGxhvTKgiJvQDtxb+Kx3&#10;N/egYkJucQxMFr4owra8vCgwb8OZP+hUpV5JCMccLbiUplzr2DjyGFdhIhavC7PHJOvc63bGs4T7&#10;UW+MybTHgaXB4UTPjppDdfQW/JDtsMaXzfurWZyrU1e9hc7a66vl6RFUoiX9HcMPvqBDKUz7cOQ2&#10;qtGCPJJ+p3gP5u4W1F5EZkCXhf4PX34DAAD//wMAUEsBAi0AFAAGAAgAAAAhALaDOJL+AAAA4QEA&#10;ABMAAAAAAAAAAAAAAAAAAAAAAFtDb250ZW50X1R5cGVzXS54bWxQSwECLQAUAAYACAAAACEAOP0h&#10;/9YAAACUAQAACwAAAAAAAAAAAAAAAAAvAQAAX3JlbHMvLnJlbHNQSwECLQAUAAYACAAAACEAyC5e&#10;hRcCAAAXBAAADgAAAAAAAAAAAAAAAAAuAgAAZHJzL2Uyb0RvYy54bWxQSwECLQAUAAYACAAAACEA&#10;hE8egdgAAAAEAQAADwAAAAAAAAAAAAAAAABxBAAAZHJzL2Rvd25yZXYueG1sUEsFBgAAAAAEAAQA&#10;8wAAAHYFAAAAAA==&#10;" fillcolor="#709047" stroked="f">
                <v:fill opacity="13107f"/>
                <v:textbox>
                  <w:txbxContent>
                    <w:p w:rsidR="00A901EA" w:rsidRPr="00311076"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rFonts w:ascii="Myriad Pro" w:eastAsia="ヒラギノ角ゴ Pro W3" w:hAnsi="Myriad Pro"/>
                          <w:color w:val="000000"/>
                          <w:sz w:val="20"/>
                        </w:rPr>
                      </w:pPr>
                      <w:r w:rsidRPr="00311076">
                        <w:rPr>
                          <w:rFonts w:ascii="Symbol" w:hAnsi="Symbol"/>
                          <w:snapToGrid/>
                          <w:color w:val="000000"/>
                          <w:sz w:val="20"/>
                        </w:rPr>
                        <w:t></w:t>
                      </w:r>
                      <w:r w:rsidRPr="00311076">
                        <w:rPr>
                          <w:rFonts w:ascii="Symbol" w:hAnsi="Symbol"/>
                          <w:snapToGrid/>
                          <w:color w:val="000000"/>
                          <w:sz w:val="20"/>
                        </w:rPr>
                        <w:tab/>
                      </w:r>
                      <w:r w:rsidRPr="00311076">
                        <w:rPr>
                          <w:rFonts w:ascii="Myriad Pro" w:hAnsi="Myriad Pro"/>
                          <w:color w:val="000000"/>
                          <w:sz w:val="20"/>
                        </w:rPr>
                        <w:t>28 October 2020 (Brussels) 13.45 to 15.45 and 16.45 to 18.45</w:t>
                      </w:r>
                    </w:p>
                    <w:p w:rsidR="00A901EA" w:rsidRPr="00311076"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rFonts w:ascii="Myriad Pro" w:eastAsia="ヒラギノ角ゴ Pro W3" w:hAnsi="Myriad Pro"/>
                          <w:color w:val="000000"/>
                          <w:sz w:val="20"/>
                        </w:rPr>
                      </w:pPr>
                      <w:r w:rsidRPr="00311076">
                        <w:rPr>
                          <w:rFonts w:ascii="Symbol" w:hAnsi="Symbol"/>
                          <w:snapToGrid/>
                          <w:color w:val="000000"/>
                          <w:sz w:val="20"/>
                        </w:rPr>
                        <w:t></w:t>
                      </w:r>
                      <w:r w:rsidRPr="00311076">
                        <w:rPr>
                          <w:rFonts w:ascii="Symbol" w:hAnsi="Symbol"/>
                          <w:snapToGrid/>
                          <w:color w:val="000000"/>
                          <w:sz w:val="20"/>
                        </w:rPr>
                        <w:tab/>
                      </w:r>
                      <w:r w:rsidRPr="00311076">
                        <w:rPr>
                          <w:rFonts w:ascii="Myriad Pro" w:hAnsi="Myriad Pro"/>
                          <w:color w:val="000000"/>
                          <w:sz w:val="20"/>
                        </w:rPr>
                        <w:t>29 October 2020 (Brussels) 09.00 to 11.00 and 11.30 to 12.30</w:t>
                      </w:r>
                    </w:p>
                    <w:p w:rsidR="00A901EA" w:rsidRPr="00311076" w:rsidRDefault="0070694C" w:rsidP="0070694C">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ight="57" w:hanging="360"/>
                        <w:textAlignment w:val="baseline"/>
                        <w:rPr>
                          <w:rFonts w:ascii="Myriad Pro" w:eastAsia="ヒラギノ角ゴ Pro W3" w:hAnsi="Myriad Pro"/>
                          <w:color w:val="000000"/>
                          <w:sz w:val="20"/>
                        </w:rPr>
                      </w:pPr>
                      <w:r w:rsidRPr="00311076">
                        <w:rPr>
                          <w:rFonts w:ascii="Symbol" w:hAnsi="Symbol"/>
                          <w:snapToGrid/>
                          <w:color w:val="000000"/>
                          <w:sz w:val="20"/>
                        </w:rPr>
                        <w:t></w:t>
                      </w:r>
                      <w:r w:rsidRPr="00311076">
                        <w:rPr>
                          <w:rFonts w:ascii="Symbol" w:hAnsi="Symbol"/>
                          <w:snapToGrid/>
                          <w:color w:val="000000"/>
                          <w:sz w:val="20"/>
                        </w:rPr>
                        <w:tab/>
                      </w:r>
                      <w:r w:rsidRPr="00311076">
                        <w:rPr>
                          <w:rFonts w:ascii="Myriad Pro" w:hAnsi="Myriad Pro"/>
                          <w:color w:val="000000"/>
                          <w:sz w:val="20"/>
                        </w:rPr>
                        <w:t>10 November 2020, 9.00 – 11.00 and 11.30 – 12.30 and 13.45 – 15.45 and 16.45 – 18.45 (Brussels)</w:t>
                      </w:r>
                    </w:p>
                  </w:txbxContent>
                </v:textbox>
                <w10:anchorlock/>
              </v:shape>
            </w:pict>
          </mc:Fallback>
        </mc:AlternateConten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firstLine="283"/>
        <w:jc w:val="both"/>
        <w:rPr>
          <w:rFonts w:ascii="Myriad Pro" w:hAnsi="Myriad Pro" w:cs="Arial"/>
          <w:snapToGrid/>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firstLine="283"/>
        <w:jc w:val="both"/>
        <w:rPr>
          <w:rFonts w:ascii="Myriad Pro" w:hAnsi="Myriad Pro" w:cs="Arial"/>
          <w:snapToGrid/>
          <w:sz w:val="20"/>
        </w:rPr>
      </w:pP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firstLine="283"/>
        <w:jc w:val="both"/>
        <w:rPr>
          <w:rFonts w:ascii="Arial" w:eastAsia="Calibri" w:hAnsi="Arial" w:cs="Arial"/>
          <w:b/>
          <w:snapToGrid/>
          <w:sz w:val="22"/>
          <w:szCs w:val="22"/>
        </w:rPr>
      </w:pPr>
      <w:r w:rsidRPr="00F41187">
        <w:rPr>
          <w:rFonts w:ascii="Calibri" w:hAnsi="Calibri"/>
          <w:snapToGrid/>
          <w:sz w:val="22"/>
          <w:szCs w:val="22"/>
          <w:lang w:eastAsia="en-GB"/>
        </w:rPr>
        <mc:AlternateContent>
          <mc:Choice Requires="wps">
            <w:drawing>
              <wp:anchor distT="0" distB="0" distL="114300" distR="114300" simplePos="0" relativeHeight="251659264" behindDoc="1" locked="0" layoutInCell="1" allowOverlap="1" wp14:anchorId="1524578D" wp14:editId="2E3F6C67">
                <wp:simplePos x="0" y="0"/>
                <wp:positionH relativeFrom="column">
                  <wp:posOffset>-365760</wp:posOffset>
                </wp:positionH>
                <wp:positionV relativeFrom="paragraph">
                  <wp:posOffset>38481</wp:posOffset>
                </wp:positionV>
                <wp:extent cx="6407150" cy="935990"/>
                <wp:effectExtent l="0" t="0" r="12700" b="3556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935990"/>
                        </a:xfrm>
                        <a:prstGeom prst="rect">
                          <a:avLst/>
                        </a:prstGeom>
                        <a:solidFill>
                          <a:srgbClr val="709047"/>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rsidR="00A901EA" w:rsidRPr="00311076" w:rsidRDefault="00A901EA" w:rsidP="00777D87">
                            <w:pPr>
                              <w:ind w:right="196"/>
                              <w:jc w:val="both"/>
                              <w:rPr>
                                <w:rFonts w:ascii="Myriad Pro" w:hAnsi="Myriad Pro"/>
                                <w:b/>
                                <w:smallCaps/>
                                <w:color w:val="FFFFFF"/>
                                <w:spacing w:val="-10"/>
                                <w:sz w:val="26"/>
                              </w:rPr>
                            </w:pPr>
                            <w:r w:rsidRPr="00311076">
                              <w:rPr>
                                <w:rFonts w:ascii="Myriad Pro" w:hAnsi="Myriad Pro"/>
                                <w:b/>
                                <w:smallCaps/>
                                <w:color w:val="FFFFFF"/>
                                <w:sz w:val="26"/>
                              </w:rPr>
                              <w:t xml:space="preserve">Paperless Programme </w:t>
                            </w:r>
                            <w:r w:rsidRPr="00311076">
                              <w:rPr>
                                <w:rFonts w:ascii="Myriad Pro" w:hAnsi="Myriad Pro"/>
                                <w:b/>
                                <w:smallCaps/>
                                <w:color w:val="FFFFFF"/>
                                <w:szCs w:val="24"/>
                              </w:rPr>
                              <w:t>(internal users only)</w:t>
                            </w:r>
                          </w:p>
                          <w:p w:rsidR="00A901EA" w:rsidRPr="00311076" w:rsidRDefault="00A901EA" w:rsidP="00777D87">
                            <w:pPr>
                              <w:ind w:left="490" w:right="196" w:hanging="490"/>
                              <w:jc w:val="both"/>
                              <w:rPr>
                                <w:rFonts w:ascii="Myriad Pro" w:hAnsi="Myriad Pro" w:cs="Arial"/>
                                <w:color w:val="FFFFFF"/>
                                <w:sz w:val="20"/>
                              </w:rPr>
                            </w:pPr>
                            <w:r w:rsidRPr="00311076">
                              <w:rPr>
                                <w:rFonts w:ascii="Myriad Pro" w:hAnsi="Myriad Pro"/>
                                <w:color w:val="FFFFFF"/>
                                <w:sz w:val="20"/>
                              </w:rPr>
                              <w:t xml:space="preserve">Access CONT committee meeting documents on </w:t>
                            </w:r>
                            <w:hyperlink r:id="rId53" w:history="1">
                              <w:r w:rsidRPr="00311076">
                                <w:rPr>
                                  <w:rStyle w:val="Hyperlink"/>
                                  <w:rFonts w:ascii="Myriad Pro" w:hAnsi="Myriad Pro"/>
                                  <w:color w:val="FFFFFF"/>
                                  <w:sz w:val="20"/>
                                </w:rPr>
                                <w:t>eMeeting</w:t>
                              </w:r>
                            </w:hyperlink>
                            <w:r w:rsidRPr="00311076">
                              <w:rPr>
                                <w:rFonts w:ascii="Myriad Pro" w:hAnsi="Myriad Pro"/>
                                <w:color w:val="FFFFFF"/>
                                <w:sz w:val="20"/>
                              </w:rPr>
                              <w:t xml:space="preserve"> or any CONT committee information on </w:t>
                            </w:r>
                            <w:hyperlink r:id="rId54" w:history="1">
                              <w:r w:rsidRPr="00311076">
                                <w:rPr>
                                  <w:rStyle w:val="Hyperlink"/>
                                  <w:rFonts w:ascii="Myriad Pro" w:hAnsi="Myriad Pro"/>
                                  <w:color w:val="FFFFFF"/>
                                  <w:sz w:val="20"/>
                                </w:rPr>
                                <w:t>eCommittee</w:t>
                              </w:r>
                            </w:hyperlink>
                          </w:p>
                          <w:p w:rsidR="00A901EA" w:rsidRPr="00311076" w:rsidRDefault="00A901EA" w:rsidP="00777D87">
                            <w:pPr>
                              <w:ind w:left="490" w:right="196" w:hanging="490"/>
                              <w:jc w:val="both"/>
                              <w:rPr>
                                <w:rFonts w:ascii="Myriad Pro" w:hAnsi="Myriad Pro"/>
                                <w:b/>
                                <w:smallCaps/>
                                <w:color w:val="FFFFFF"/>
                                <w:spacing w:val="-10"/>
                                <w:sz w:val="16"/>
                                <w:szCs w:val="16"/>
                              </w:rPr>
                            </w:pPr>
                          </w:p>
                          <w:p w:rsidR="00A901EA" w:rsidRPr="00311076" w:rsidRDefault="00A901EA" w:rsidP="00777D87">
                            <w:pPr>
                              <w:ind w:left="490" w:right="196" w:hanging="490"/>
                              <w:jc w:val="both"/>
                              <w:rPr>
                                <w:rFonts w:ascii="Myriad Pro" w:hAnsi="Myriad Pro"/>
                                <w:b/>
                                <w:smallCaps/>
                                <w:color w:val="FFFFFF"/>
                                <w:spacing w:val="-10"/>
                                <w:sz w:val="26"/>
                              </w:rPr>
                            </w:pPr>
                            <w:r w:rsidRPr="00311076">
                              <w:rPr>
                                <w:rFonts w:ascii="Myriad Pro" w:hAnsi="Myriad Pro"/>
                                <w:b/>
                                <w:smallCaps/>
                                <w:color w:val="FFFFFF"/>
                                <w:sz w:val="26"/>
                              </w:rPr>
                              <w:t>For further information</w:t>
                            </w:r>
                          </w:p>
                          <w:p w:rsidR="00A901EA" w:rsidRPr="00311076" w:rsidRDefault="00A901EA" w:rsidP="00777D87">
                            <w:pPr>
                              <w:ind w:left="488" w:right="198" w:hanging="488"/>
                              <w:jc w:val="both"/>
                              <w:rPr>
                                <w:rFonts w:ascii="Myriad Pro" w:hAnsi="Myriad Pro" w:cs="Arial"/>
                                <w:color w:val="FFFFFF"/>
                                <w:sz w:val="20"/>
                              </w:rPr>
                            </w:pPr>
                            <w:r w:rsidRPr="00311076">
                              <w:rPr>
                                <w:rFonts w:ascii="Myriad Pro" w:hAnsi="Myriad Pro"/>
                                <w:color w:val="FFFFFF"/>
                                <w:sz w:val="20"/>
                              </w:rPr>
                              <w:t xml:space="preserve">Contact the </w:t>
                            </w:r>
                            <w:hyperlink r:id="rId55" w:history="1">
                              <w:r w:rsidRPr="00311076">
                                <w:rPr>
                                  <w:rStyle w:val="Hyperlink"/>
                                  <w:rFonts w:ascii="Myriad Pro" w:hAnsi="Myriad Pro"/>
                                  <w:color w:val="FFFFFF"/>
                                  <w:sz w:val="20"/>
                                </w:rPr>
                                <w:t>CONT Secretariat</w:t>
                              </w:r>
                            </w:hyperlink>
                            <w:r w:rsidRPr="00311076">
                              <w:rPr>
                                <w:rFonts w:ascii="Myriad Pro" w:hAnsi="Myriad Pro"/>
                                <w:color w:val="FFFFFF"/>
                                <w:sz w:val="20"/>
                              </w:rPr>
                              <w:t xml:space="preserve"> or visit the </w:t>
                            </w:r>
                            <w:hyperlink r:id="rId56" w:history="1">
                              <w:r w:rsidRPr="00311076">
                                <w:rPr>
                                  <w:rStyle w:val="Hyperlink"/>
                                  <w:rFonts w:ascii="Myriad Pro" w:hAnsi="Myriad Pro"/>
                                  <w:color w:val="FFFFFF"/>
                                  <w:sz w:val="20"/>
                                </w:rPr>
                                <w:t>website</w:t>
                              </w:r>
                            </w:hyperlink>
                            <w:r w:rsidRPr="00311076">
                              <w:rPr>
                                <w:rFonts w:ascii="Myriad Pro" w:hAnsi="Myriad Pro"/>
                                <w:color w:val="FFFFFF"/>
                                <w:sz w:val="20"/>
                              </w:rPr>
                              <w:t xml:space="preserve"> of the CONT committee</w:t>
                            </w:r>
                          </w:p>
                        </w:txbxContent>
                      </wps:txbx>
                      <wps:bodyPr rot="0" vert="horz" wrap="square" lIns="91440" tIns="45720" rIns="91440" bIns="45720" anchor="t" anchorCtr="0" upright="1">
                        <a:noAutofit/>
                      </wps:bodyPr>
                    </wps:wsp>
                  </a:graphicData>
                </a:graphic>
              </wp:anchor>
            </w:drawing>
          </mc:Choice>
          <mc:Fallback>
            <w:pict>
              <v:shape w14:anchorId="1524578D" id="Text Box 10" o:spid="_x0000_s1028" type="#_x0000_t202" style="position:absolute;left:0;text-align:left;margin-left:-28.8pt;margin-top:3.05pt;width:504.5pt;height:73.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M4CwMAAEQGAAAOAAAAZHJzL2Uyb0RvYy54bWysVNuO0zAQfUfiHyy/d3PZ9JJoU7S7pQhp&#10;uUi7iGc3dhILxw6222RB/Dtju+22C0gIkYfIHo+PZ87MmatXYyfQjmnDlSxxchFjxGSlKJdNiT89&#10;rCcLjIwlkhKhJCvxIzP41fLli6uhL1iqWiUo0whApCmGvsSttX0RRaZqWUfMheqZhMNa6Y5Y2Oom&#10;opoMgN6JKI3jWTQoTXutKmYMWFfhEC89fl2zyn6oa8MsEiWG2Kz/a//fuH+0vCJFo0nf8mofBvmH&#10;KDrCJTx6hFoRS9BW81+gOl5pZVRtLyrVRaquecV8DpBNEj/L5r4lPfO5ADmmP9Jk/h9s9X73USNO&#10;oXZAjyQd1OiBjRbdqBGBCfgZelOA230PjnYEO/j6XE1/p6ovBkl12xLZsGut1dAyQiG+xN2MTq4G&#10;HONANsM7ReEdsrXKA4217hx5QAcCdAjk8VgbF0sFxlkWz5MpHFVwll9O89wHF5HicLvXxr5hqkNu&#10;UWINtffoZHdnrIuGFAcX95hRgtM1F8JvdLO5FRrtCPTJPM7jbO4TeOYmpHOWyl0LiMHCfKfBMz6L&#10;rWX6vqUDotwFki4uc1AB5dB2l4t4FudzjIhoQC+V1RhpZT9z2/piu7R/E8/1CuJxdrHtgLsQ5jSG&#10;LzQwmKHNg3lvIqJvyTNHYMCERD0b6hCo353lAKzvs3H8+0b+nidpFt+k+WQ9W8wn2TqbTvJ5vJjE&#10;SX6Tz+Isz1brHy7KJCtaTimTd1yyg6iS7O+adi/vIAcvKzQ43hLIFVVdT0tsZBNIOqugmxjsWENh&#10;Q4+eEpY7xv5AmKPmgODpOGsP1zcrYtrApz8KOB2HWiPBuxIvXDn28E4EryWFFiGFJVyEdXTOTGB9&#10;hJ6Bxw+Ee8k4lQS92HEzenWm7j0np42ij6AhaBovFBi9sGiV/obRAGMM2Pm6JZphJN5K0GGeZBkQ&#10;Z/0mm85T2OjTk83pCZEVQJXYQoP65a0Ns3Lba9608FJgVapr0G7NvayeooJM3AZGlc9pP1bdLDzd&#10;e6+n4b/8CQAA//8DAFBLAwQUAAYACAAAACEAS68aNt8AAAAJAQAADwAAAGRycy9kb3ducmV2Lnht&#10;bEyPQU+EMBCF7yb+h2ZMvO0W1CIgZbMxGg8eVtFkrwVGQOmU0O4u/nvHkx4n78t73xSbxY7iiLMf&#10;HGmI1xEIpMa1A3Ua3t8eVykIHwy1ZnSEGr7Rw6Y8PytM3roTveKxCp3gEvK50dCHMOVS+qZHa/za&#10;TUicfbjZmsDn3Ml2Nicut6O8iqJEWjMQL/Rmwvsem6/qYDUsmaHd8+dTWu3rh2ybvqh0P0xaX14s&#10;2zsQAZfwB8OvPqtDyU61O1DrxahhpW4TRjUkMQjOMxXfgKgZVNcKZFnI/x+UPwAAAP//AwBQSwEC&#10;LQAUAAYACAAAACEAtoM4kv4AAADhAQAAEwAAAAAAAAAAAAAAAAAAAAAAW0NvbnRlbnRfVHlwZXNd&#10;LnhtbFBLAQItABQABgAIAAAAIQA4/SH/1gAAAJQBAAALAAAAAAAAAAAAAAAAAC8BAABfcmVscy8u&#10;cmVsc1BLAQItABQABgAIAAAAIQC0VzM4CwMAAEQGAAAOAAAAAAAAAAAAAAAAAC4CAABkcnMvZTJv&#10;RG9jLnhtbFBLAQItABQABgAIAAAAIQBLrxo23wAAAAkBAAAPAAAAAAAAAAAAAAAAAGUFAABkcnMv&#10;ZG93bnJldi54bWxQSwUGAAAAAAQABADzAAAAcQYAAAAA&#10;" fillcolor="#709047" stroked="f" strokecolor="#f2f2f2 [3041]" strokeweight="3pt">
                <v:shadow on="t" color="#385723" opacity=".5" offset="1pt"/>
                <v:textbox>
                  <w:txbxContent>
                    <w:p w:rsidR="00A901EA" w:rsidRPr="00311076" w:rsidRDefault="00A901EA" w:rsidP="00777D87">
                      <w:pPr>
                        <w:ind w:right="196"/>
                        <w:jc w:val="both"/>
                        <w:rPr>
                          <w:rFonts w:ascii="Myriad Pro" w:hAnsi="Myriad Pro"/>
                          <w:b/>
                          <w:smallCaps/>
                          <w:color w:val="FFFFFF"/>
                          <w:spacing w:val="-10"/>
                          <w:sz w:val="26"/>
                        </w:rPr>
                      </w:pPr>
                      <w:r w:rsidRPr="00311076">
                        <w:rPr>
                          <w:rFonts w:ascii="Myriad Pro" w:hAnsi="Myriad Pro"/>
                          <w:b/>
                          <w:smallCaps/>
                          <w:color w:val="FFFFFF"/>
                          <w:sz w:val="26"/>
                        </w:rPr>
                        <w:t xml:space="preserve">Paperless Programme </w:t>
                      </w:r>
                      <w:r w:rsidRPr="00311076">
                        <w:rPr>
                          <w:rFonts w:ascii="Myriad Pro" w:hAnsi="Myriad Pro"/>
                          <w:b/>
                          <w:smallCaps/>
                          <w:color w:val="FFFFFF"/>
                          <w:szCs w:val="24"/>
                        </w:rPr>
                        <w:t>(internal users only)</w:t>
                      </w:r>
                    </w:p>
                    <w:p w:rsidR="00A901EA" w:rsidRPr="00311076" w:rsidRDefault="00A901EA" w:rsidP="00777D87">
                      <w:pPr>
                        <w:ind w:left="490" w:right="196" w:hanging="490"/>
                        <w:jc w:val="both"/>
                        <w:rPr>
                          <w:rFonts w:ascii="Myriad Pro" w:hAnsi="Myriad Pro" w:cs="Arial"/>
                          <w:color w:val="FFFFFF"/>
                          <w:sz w:val="20"/>
                        </w:rPr>
                      </w:pPr>
                      <w:r w:rsidRPr="00311076">
                        <w:rPr>
                          <w:rFonts w:ascii="Myriad Pro" w:hAnsi="Myriad Pro"/>
                          <w:color w:val="FFFFFF"/>
                          <w:sz w:val="20"/>
                        </w:rPr>
                        <w:t xml:space="preserve">Access CONT committee meeting documents on </w:t>
                      </w:r>
                      <w:hyperlink r:id="rId57" w:history="1">
                        <w:r w:rsidRPr="00311076">
                          <w:rPr>
                            <w:rStyle w:val="Hyperlink"/>
                            <w:rFonts w:ascii="Myriad Pro" w:hAnsi="Myriad Pro"/>
                            <w:color w:val="FFFFFF"/>
                            <w:sz w:val="20"/>
                          </w:rPr>
                          <w:t>eMeeting</w:t>
                        </w:r>
                      </w:hyperlink>
                      <w:r w:rsidRPr="00311076">
                        <w:rPr>
                          <w:rFonts w:ascii="Myriad Pro" w:hAnsi="Myriad Pro"/>
                          <w:color w:val="FFFFFF"/>
                          <w:sz w:val="20"/>
                        </w:rPr>
                        <w:t xml:space="preserve"> or any CONT committee information on </w:t>
                      </w:r>
                      <w:hyperlink r:id="rId58" w:history="1">
                        <w:r w:rsidRPr="00311076">
                          <w:rPr>
                            <w:rStyle w:val="Hyperlink"/>
                            <w:rFonts w:ascii="Myriad Pro" w:hAnsi="Myriad Pro"/>
                            <w:color w:val="FFFFFF"/>
                            <w:sz w:val="20"/>
                          </w:rPr>
                          <w:t>eCommittee</w:t>
                        </w:r>
                      </w:hyperlink>
                    </w:p>
                    <w:p w:rsidR="00A901EA" w:rsidRPr="00311076" w:rsidRDefault="00A901EA" w:rsidP="00777D87">
                      <w:pPr>
                        <w:ind w:left="490" w:right="196" w:hanging="490"/>
                        <w:jc w:val="both"/>
                        <w:rPr>
                          <w:rFonts w:ascii="Myriad Pro" w:hAnsi="Myriad Pro"/>
                          <w:b/>
                          <w:smallCaps/>
                          <w:color w:val="FFFFFF"/>
                          <w:spacing w:val="-10"/>
                          <w:sz w:val="16"/>
                          <w:szCs w:val="16"/>
                        </w:rPr>
                      </w:pPr>
                    </w:p>
                    <w:p w:rsidR="00A901EA" w:rsidRPr="00311076" w:rsidRDefault="00A901EA" w:rsidP="00777D87">
                      <w:pPr>
                        <w:ind w:left="490" w:right="196" w:hanging="490"/>
                        <w:jc w:val="both"/>
                        <w:rPr>
                          <w:rFonts w:ascii="Myriad Pro" w:hAnsi="Myriad Pro"/>
                          <w:b/>
                          <w:smallCaps/>
                          <w:color w:val="FFFFFF"/>
                          <w:spacing w:val="-10"/>
                          <w:sz w:val="26"/>
                        </w:rPr>
                      </w:pPr>
                      <w:r w:rsidRPr="00311076">
                        <w:rPr>
                          <w:rFonts w:ascii="Myriad Pro" w:hAnsi="Myriad Pro"/>
                          <w:b/>
                          <w:smallCaps/>
                          <w:color w:val="FFFFFF"/>
                          <w:sz w:val="26"/>
                        </w:rPr>
                        <w:t>For further information</w:t>
                      </w:r>
                    </w:p>
                    <w:p w:rsidR="00A901EA" w:rsidRPr="00311076" w:rsidRDefault="00A901EA" w:rsidP="00777D87">
                      <w:pPr>
                        <w:ind w:left="488" w:right="198" w:hanging="488"/>
                        <w:jc w:val="both"/>
                        <w:rPr>
                          <w:rFonts w:ascii="Myriad Pro" w:hAnsi="Myriad Pro" w:cs="Arial"/>
                          <w:color w:val="FFFFFF"/>
                          <w:sz w:val="20"/>
                        </w:rPr>
                      </w:pPr>
                      <w:r w:rsidRPr="00311076">
                        <w:rPr>
                          <w:rFonts w:ascii="Myriad Pro" w:hAnsi="Myriad Pro"/>
                          <w:color w:val="FFFFFF"/>
                          <w:sz w:val="20"/>
                        </w:rPr>
                        <w:t xml:space="preserve">Contact the </w:t>
                      </w:r>
                      <w:hyperlink r:id="rId59" w:history="1">
                        <w:r w:rsidRPr="00311076">
                          <w:rPr>
                            <w:rStyle w:val="Hyperlink"/>
                            <w:rFonts w:ascii="Myriad Pro" w:hAnsi="Myriad Pro"/>
                            <w:color w:val="FFFFFF"/>
                            <w:sz w:val="20"/>
                          </w:rPr>
                          <w:t>CONT Secretariat</w:t>
                        </w:r>
                      </w:hyperlink>
                      <w:r w:rsidRPr="00311076">
                        <w:rPr>
                          <w:rFonts w:ascii="Myriad Pro" w:hAnsi="Myriad Pro"/>
                          <w:color w:val="FFFFFF"/>
                          <w:sz w:val="20"/>
                        </w:rPr>
                        <w:t xml:space="preserve"> or visit the </w:t>
                      </w:r>
                      <w:hyperlink r:id="rId60" w:history="1">
                        <w:r w:rsidRPr="00311076">
                          <w:rPr>
                            <w:rStyle w:val="Hyperlink"/>
                            <w:rFonts w:ascii="Myriad Pro" w:hAnsi="Myriad Pro"/>
                            <w:color w:val="FFFFFF"/>
                            <w:sz w:val="20"/>
                          </w:rPr>
                          <w:t>website</w:t>
                        </w:r>
                      </w:hyperlink>
                      <w:r w:rsidRPr="00311076">
                        <w:rPr>
                          <w:rFonts w:ascii="Myriad Pro" w:hAnsi="Myriad Pro"/>
                          <w:color w:val="FFFFFF"/>
                          <w:sz w:val="20"/>
                        </w:rPr>
                        <w:t xml:space="preserve"> of the CONT committee</w:t>
                      </w:r>
                    </w:p>
                  </w:txbxContent>
                </v:textbox>
                <w10:wrap type="square"/>
              </v:shape>
            </w:pict>
          </mc:Fallback>
        </mc:AlternateContent>
      </w:r>
    </w:p>
    <w:p w:rsidR="00777D87" w:rsidRPr="00F41187" w:rsidRDefault="00777D87" w:rsidP="00726BB4">
      <w:pPr>
        <w:widowControl/>
        <w:tabs>
          <w:tab w:val="left" w:pos="3510"/>
        </w:tabs>
        <w:spacing w:after="160" w:line="259" w:lineRule="auto"/>
        <w:ind w:firstLine="283"/>
        <w:rPr>
          <w:rFonts w:ascii="Arial" w:eastAsia="Calibri" w:hAnsi="Arial" w:cs="Arial"/>
          <w:snapToGrid/>
          <w:sz w:val="22"/>
          <w:szCs w:val="22"/>
        </w:rPr>
        <w:sectPr w:rsidR="00777D87" w:rsidRPr="00F41187" w:rsidSect="00A901EA">
          <w:headerReference w:type="default" r:id="rId61"/>
          <w:pgSz w:w="11906" w:h="16838"/>
          <w:pgMar w:top="426" w:right="991" w:bottom="1276" w:left="1440" w:header="708" w:footer="708" w:gutter="0"/>
          <w:cols w:space="708"/>
          <w:docGrid w:linePitch="360"/>
        </w:sectPr>
      </w:pPr>
    </w:p>
    <w:p w:rsidR="00777D87" w:rsidRPr="00F41187" w:rsidRDefault="00777D87" w:rsidP="00726BB4">
      <w:pPr>
        <w:widowControl/>
        <w:ind w:firstLine="283"/>
        <w:rPr>
          <w:rFonts w:ascii="Myriad Pro" w:hAnsi="Myriad Pro" w:cs="Arial"/>
          <w:snapToGrid/>
          <w:sz w:val="20"/>
        </w:rPr>
      </w:pPr>
      <w:r w:rsidRPr="00F41187">
        <w:rPr>
          <w:rFonts w:ascii="Myriad Pro" w:hAnsi="Myriad Pro"/>
          <w:snapToGrid/>
          <w:sz w:val="20"/>
          <w:lang w:eastAsia="en-GB"/>
        </w:rPr>
        <w:lastRenderedPageBreak/>
        <mc:AlternateContent>
          <mc:Choice Requires="wps">
            <w:drawing>
              <wp:inline distT="0" distB="0" distL="0" distR="0" wp14:anchorId="522E7D64" wp14:editId="5C8D343A">
                <wp:extent cx="5926455" cy="434990"/>
                <wp:effectExtent l="0" t="0" r="0" b="317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434990"/>
                        </a:xfrm>
                        <a:prstGeom prst="rect">
                          <a:avLst/>
                        </a:prstGeom>
                        <a:solidFill>
                          <a:srgbClr val="709047">
                            <a:alpha val="20000"/>
                          </a:srgbClr>
                        </a:solidFill>
                        <a:ln>
                          <a:noFill/>
                        </a:ln>
                      </wps:spPr>
                      <wps:txbx>
                        <w:txbxContent>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311076">
                              <w:rPr>
                                <w:rFonts w:ascii="Myriad Pro" w:hAnsi="Myriad Pro"/>
                                <w:b/>
                                <w:smallCaps/>
                                <w:color w:val="709047"/>
                                <w:sz w:val="32"/>
                                <w:szCs w:val="32"/>
                              </w:rPr>
                              <w:t>NEWS FROM POLICY DEPARTMENT - BUDGETARY AFFAIRS</w:t>
                            </w:r>
                          </w:p>
                        </w:txbxContent>
                      </wps:txbx>
                      <wps:bodyPr rot="0" vert="horz" wrap="square" lIns="91440" tIns="45720" rIns="91440" bIns="45720" anchor="t" anchorCtr="0" upright="1">
                        <a:noAutofit/>
                      </wps:bodyPr>
                    </wps:wsp>
                  </a:graphicData>
                </a:graphic>
              </wp:inline>
            </w:drawing>
          </mc:Choice>
          <mc:Fallback>
            <w:pict>
              <v:shape w14:anchorId="522E7D64" id="Text Box 16" o:spid="_x0000_s1029" type="#_x0000_t202" style="width:466.65pt;height: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iqGgIAABkEAAAOAAAAZHJzL2Uyb0RvYy54bWysU9uO2yAQfa/Uf0C8N3ayTrax4qy2WW1V&#10;aXuRdvsBGGMbFTMUSOz06ztAkqbtW9UXxFw4M3POsLmbBkUOwjoJuqLzWU6J0BwaqbuKfn15fPOW&#10;EueZbpgCLSp6FI7ebV+/2oymFAvoQTXCEgTRrhxNRXvvTZlljvdiYG4GRmgMtmAH5tG0XdZYNiL6&#10;oLJFnq+yEWxjLHDhHHofUpBuI37bCu4/t60TnqiKYm8+njaedTiz7YaVnWWml/zUBvuHLgYmNRa9&#10;QD0wz8jeyr+gBsktOGj9jMOQQdtKLuIMOM08/2Oa554ZEWdBcpy50OT+Hyz/dPhiiWxQuxUlmg2o&#10;0YuYPHkHE0EX8jMaV2Las8FEP6Efc+OszjwB/+aIhl3PdCfurYWxF6zB/ubhZXb1NOG4AFKPH6HB&#10;OmzvIQJNrR0CeUgHQXTU6XjRJvTC0blcL1bFckkJx1hxU6zXUbyMlefXxjr/XsBAwqWiFrWP6Ozw&#10;5HzohpXnlFDMgZLNo1QqGrard8qSA8M9uc3XeXGb3irTs+TFbcvPJV1Kj5i/4Sgd0DQE3FQyeCIP&#10;YfREgp/qKVJ+c6a3huaIxFhI+4n/CS892B+UjLibFXXf98wKStQHjeSu50URljkaxfJ2gYa9jtTX&#10;EaY5QlXUU5KuO58+wN5Y2fVYKcmp4R4FaWXkKiiXujq1j/sXxz39lbDg13bM+vWjtz8BAAD//wMA&#10;UEsDBBQABgAIAAAAIQCoxP/12gAAAAQBAAAPAAAAZHJzL2Rvd25yZXYueG1sTI/BasMwEETvhfyD&#10;2EBujZyYmtS1HEIhhban2v2AjbW2TK2VsZTE+fuqvbSXhWGGmbfFfraDuNDke8cKNusEBHHjdM+d&#10;gs/6eL8D4QOyxsExKbiRh325uCsw1+7KH3SpQidiCfscFZgQxlxK3xiy6NduJI5e6yaLIcqpk3rC&#10;ayy3g9wmSSYt9hwXDI70bKj5qs5Wge2zI9b4sn1/TWZj6tBWb65VarWcD08gAs3hLww/+BEdysh0&#10;cmfWXgwK4iPh90bvMU1TECcF2e4BZFnI//DlNwAAAP//AwBQSwECLQAUAAYACAAAACEAtoM4kv4A&#10;AADhAQAAEwAAAAAAAAAAAAAAAAAAAAAAW0NvbnRlbnRfVHlwZXNdLnhtbFBLAQItABQABgAIAAAA&#10;IQA4/SH/1gAAAJQBAAALAAAAAAAAAAAAAAAAAC8BAABfcmVscy8ucmVsc1BLAQItABQABgAIAAAA&#10;IQCJAOiqGgIAABkEAAAOAAAAAAAAAAAAAAAAAC4CAABkcnMvZTJvRG9jLnhtbFBLAQItABQABgAI&#10;AAAAIQCoxP/12gAAAAQBAAAPAAAAAAAAAAAAAAAAAHQEAABkcnMvZG93bnJldi54bWxQSwUGAAAA&#10;AAQABADzAAAAewUAAAAA&#10;" fillcolor="#709047" stroked="f">
                <v:fill opacity="13107f"/>
                <v:textbox>
                  <w:txbxContent>
                    <w:p w:rsidR="00A901EA" w:rsidRPr="00311076" w:rsidRDefault="00A901EA" w:rsidP="00777D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311076">
                        <w:rPr>
                          <w:rFonts w:ascii="Myriad Pro" w:hAnsi="Myriad Pro"/>
                          <w:b/>
                          <w:smallCaps/>
                          <w:color w:val="709047"/>
                          <w:sz w:val="32"/>
                          <w:szCs w:val="32"/>
                        </w:rPr>
                        <w:t>NEWS FROM POLICY DEPARTMENT - BUDGETARY AFFAIRS</w:t>
                      </w:r>
                    </w:p>
                  </w:txbxContent>
                </v:textbox>
                <w10:anchorlock/>
              </v:shape>
            </w:pict>
          </mc:Fallback>
        </mc:AlternateContent>
      </w:r>
    </w:p>
    <w:p w:rsidR="00777D87" w:rsidRPr="00F41187" w:rsidRDefault="00777D87" w:rsidP="00726BB4">
      <w:pPr>
        <w:widowControl/>
        <w:spacing w:after="80" w:line="259" w:lineRule="auto"/>
        <w:ind w:left="-567" w:right="-306" w:firstLine="283"/>
        <w:rPr>
          <w:rFonts w:ascii="Myriad Pro" w:eastAsia="Calibri" w:hAnsi="Myriad Pro" w:cs="Arial"/>
          <w:b/>
          <w:snapToGrid/>
          <w:sz w:val="20"/>
        </w:rPr>
      </w:pPr>
    </w:p>
    <w:p w:rsidR="00777D87" w:rsidRPr="00F41187" w:rsidRDefault="00777D87" w:rsidP="00726BB4">
      <w:pPr>
        <w:widowControl/>
        <w:spacing w:after="80" w:line="259" w:lineRule="auto"/>
        <w:ind w:left="-567" w:right="-306" w:firstLine="283"/>
        <w:rPr>
          <w:rFonts w:ascii="Myriad Pro" w:eastAsia="Calibri" w:hAnsi="Myriad Pro" w:cs="Arial"/>
          <w:b/>
          <w:snapToGrid/>
          <w:vanish/>
          <w:sz w:val="20"/>
        </w:rPr>
      </w:pPr>
      <w:r w:rsidRPr="00F41187">
        <w:rPr>
          <w:rFonts w:ascii="Myriad Pro" w:hAnsi="Myriad Pro"/>
          <w:b/>
          <w:snapToGrid/>
          <w:sz w:val="20"/>
        </w:rPr>
        <w:t>Recent Publications</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 xml:space="preserve"> </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CONT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u w:val="single"/>
        </w:rPr>
      </w:pPr>
      <w:r w:rsidRPr="00F41187">
        <w:rPr>
          <w:rFonts w:ascii="Myriad Pro" w:hAnsi="Myriad Pro"/>
          <w:b/>
          <w:snapToGrid/>
          <w:color w:val="538135"/>
          <w:sz w:val="20"/>
        </w:rPr>
        <w:t>At a Glance “</w:t>
      </w:r>
      <w:hyperlink r:id="rId62" w:history="1">
        <w:r w:rsidRPr="00F41187">
          <w:rPr>
            <w:rFonts w:ascii="Myriad Pro" w:hAnsi="Myriad Pro"/>
            <w:b/>
            <w:snapToGrid/>
            <w:color w:val="0000FF"/>
            <w:sz w:val="20"/>
            <w:u w:val="single"/>
          </w:rPr>
          <w:t>Nominations for Members of the European Court of Auditors</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In-depth Analysis “</w:t>
      </w:r>
      <w:hyperlink r:id="rId63" w:history="1">
        <w:r w:rsidRPr="00F41187">
          <w:rPr>
            <w:rFonts w:ascii="Myriad Pro" w:hAnsi="Myriad Pro"/>
            <w:b/>
            <w:snapToGrid/>
            <w:color w:val="0000FF"/>
            <w:sz w:val="20"/>
            <w:u w:val="single"/>
          </w:rPr>
          <w:t>Follow up to the 2009 and 2014 Studies on the Code of Conduct for Commissioners - Improving Effectiveness and Efficiency</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In-depth Analysis “</w:t>
      </w:r>
      <w:hyperlink r:id="rId64" w:history="1">
        <w:r w:rsidRPr="00F41187">
          <w:rPr>
            <w:rFonts w:ascii="Myriad Pro" w:hAnsi="Myriad Pro"/>
            <w:b/>
            <w:snapToGrid/>
            <w:color w:val="0000FF"/>
            <w:sz w:val="20"/>
            <w:u w:val="single"/>
          </w:rPr>
          <w:t>Gaps and Errors in the TED database</w:t>
        </w:r>
      </w:hyperlink>
      <w:r w:rsidRPr="00F41187">
        <w:rPr>
          <w:rFonts w:ascii="Myriad Pro" w:hAnsi="Myriad Pro"/>
          <w:b/>
          <w:snapToGrid/>
          <w:color w:val="538135"/>
          <w:sz w:val="20"/>
        </w:rPr>
        <w:t xml:space="preserve">” </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Study “</w:t>
      </w:r>
      <w:hyperlink r:id="rId65" w:history="1">
        <w:r w:rsidRPr="00F41187">
          <w:rPr>
            <w:rFonts w:ascii="Myriad Pro" w:hAnsi="Myriad Pro"/>
            <w:b/>
            <w:snapToGrid/>
            <w:color w:val="0000FF"/>
            <w:sz w:val="20"/>
            <w:u w:val="single"/>
          </w:rPr>
          <w:t>The European Public Prosecutor’s Office:</w:t>
        </w:r>
      </w:hyperlink>
      <w:hyperlink r:id="rId66" w:history="1">
        <w:r w:rsidRPr="00F41187">
          <w:rPr>
            <w:rFonts w:ascii="Myriad Pro" w:hAnsi="Myriad Pro"/>
            <w:b/>
            <w:snapToGrid/>
            <w:color w:val="0000FF"/>
            <w:sz w:val="20"/>
            <w:u w:val="single"/>
          </w:rPr>
          <w:t xml:space="preserve"> Strategies for coping with complexity</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Study “</w:t>
      </w:r>
      <w:hyperlink r:id="rId67" w:history="1">
        <w:r w:rsidRPr="00F41187">
          <w:rPr>
            <w:rFonts w:ascii="Myriad Pro" w:hAnsi="Myriad Pro"/>
            <w:b/>
            <w:snapToGrid/>
            <w:color w:val="0000FF"/>
            <w:sz w:val="20"/>
            <w:u w:val="single"/>
          </w:rPr>
          <w:t>Effectiveness of cohesion policy:</w:t>
        </w:r>
      </w:hyperlink>
      <w:hyperlink r:id="rId68" w:history="1">
        <w:r w:rsidRPr="00F41187">
          <w:rPr>
            <w:rFonts w:ascii="Myriad Pro" w:hAnsi="Myriad Pro"/>
            <w:b/>
            <w:snapToGrid/>
            <w:color w:val="0000FF"/>
            <w:sz w:val="20"/>
            <w:u w:val="single"/>
          </w:rPr>
          <w:t xml:space="preserve"> learning from the project characteristics that produce the best results</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BUDG</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Study “</w:t>
      </w:r>
      <w:hyperlink r:id="rId69" w:history="1">
        <w:r w:rsidRPr="00F41187">
          <w:rPr>
            <w:rFonts w:ascii="Myriad Pro" w:hAnsi="Myriad Pro"/>
            <w:b/>
            <w:snapToGrid/>
            <w:color w:val="0000FF"/>
            <w:sz w:val="20"/>
            <w:u w:val="single"/>
          </w:rPr>
          <w:t>Pilot projects and preparatory actions (PP/PA) in the EU budget 2014-2019”</w:t>
        </w:r>
      </w:hyperlink>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Briefing “</w:t>
      </w:r>
      <w:hyperlink r:id="rId70" w:history="1">
        <w:r w:rsidRPr="00F41187">
          <w:rPr>
            <w:rFonts w:ascii="Myriad Pro" w:hAnsi="Myriad Pro"/>
            <w:b/>
            <w:snapToGrid/>
            <w:color w:val="0000FF"/>
            <w:sz w:val="20"/>
            <w:u w:val="single"/>
          </w:rPr>
          <w:t>Next Generation EU - Where are assigned revenue?</w:t>
        </w:r>
      </w:hyperlink>
      <w:hyperlink r:id="rId71" w:history="1">
        <w:r w:rsidRPr="00F41187">
          <w:rPr>
            <w:rFonts w:ascii="Myriad Pro" w:hAnsi="Myriad Pro"/>
            <w:b/>
            <w:snapToGrid/>
            <w:color w:val="0000FF"/>
            <w:sz w:val="20"/>
            <w:u w:val="single"/>
          </w:rPr>
          <w:t xml:space="preserve"> Which impact in 2021?</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Study “</w:t>
      </w:r>
      <w:hyperlink r:id="rId72" w:history="1">
        <w:r w:rsidRPr="00F41187">
          <w:rPr>
            <w:rFonts w:ascii="Myriad Pro" w:hAnsi="Myriad Pro"/>
            <w:b/>
            <w:snapToGrid/>
            <w:color w:val="0000FF"/>
            <w:sz w:val="20"/>
            <w:u w:val="single"/>
          </w:rPr>
          <w:t>How EU funds tackle economic divide in the European Union</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Study “</w:t>
      </w:r>
      <w:hyperlink r:id="rId73" w:history="1">
        <w:r w:rsidRPr="00F41187">
          <w:rPr>
            <w:rFonts w:ascii="Myriad Pro" w:hAnsi="Myriad Pro"/>
            <w:b/>
            <w:snapToGrid/>
            <w:color w:val="0000FF"/>
            <w:sz w:val="20"/>
            <w:u w:val="single"/>
          </w:rPr>
          <w:t>Documenting climate mainstreaming in the EU budget - making the system more transparent, stringent and comprehensive</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Briefing “</w:t>
      </w:r>
      <w:hyperlink r:id="rId74" w:history="1">
        <w:r w:rsidRPr="00F41187">
          <w:rPr>
            <w:rFonts w:ascii="Myriad Pro" w:hAnsi="Myriad Pro"/>
            <w:b/>
            <w:snapToGrid/>
            <w:color w:val="0000FF"/>
            <w:sz w:val="20"/>
            <w:u w:val="single"/>
          </w:rPr>
          <w:t>Assigned revenue in the Recovery Plan - The frog that wishes to be as big as the ox?</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Study “</w:t>
      </w:r>
      <w:hyperlink r:id="rId75" w:history="1">
        <w:r w:rsidRPr="00F41187">
          <w:rPr>
            <w:rFonts w:ascii="Myriad Pro" w:hAnsi="Myriad Pro"/>
            <w:b/>
            <w:snapToGrid/>
            <w:color w:val="0000FF"/>
            <w:sz w:val="20"/>
            <w:u w:val="single"/>
          </w:rPr>
          <w:t>A Just Transition Fund - How the EU budget can best assist in the necessary transition from fossil fuels to sustainable energy</w:t>
        </w:r>
      </w:hyperlink>
      <w:r w:rsidRPr="00F41187">
        <w:rPr>
          <w:rFonts w:ascii="Myriad Pro" w:hAnsi="Myriad Pro"/>
          <w:b/>
          <w:snapToGrid/>
          <w:color w:val="538135"/>
          <w:sz w:val="20"/>
        </w:rPr>
        <w:t xml:space="preserve">" (Available in </w:t>
      </w:r>
      <w:hyperlink r:id="rId76" w:history="1">
        <w:r w:rsidRPr="00F41187">
          <w:rPr>
            <w:rFonts w:ascii="Myriad Pro" w:hAnsi="Myriad Pro"/>
            <w:b/>
            <w:snapToGrid/>
            <w:color w:val="0000FF"/>
            <w:sz w:val="20"/>
            <w:u w:val="single"/>
          </w:rPr>
          <w:t>DE</w:t>
        </w:r>
      </w:hyperlink>
      <w:r w:rsidRPr="00F41187">
        <w:rPr>
          <w:rFonts w:ascii="Myriad Pro" w:hAnsi="Myriad Pro"/>
          <w:b/>
          <w:snapToGrid/>
          <w:color w:val="538135"/>
          <w:sz w:val="20"/>
        </w:rPr>
        <w:t xml:space="preserve">, </w:t>
      </w:r>
      <w:hyperlink r:id="rId77" w:history="1">
        <w:r w:rsidRPr="00F41187">
          <w:rPr>
            <w:rFonts w:ascii="Myriad Pro" w:hAnsi="Myriad Pro"/>
            <w:b/>
            <w:snapToGrid/>
            <w:color w:val="0000FF"/>
            <w:sz w:val="20"/>
            <w:u w:val="single"/>
          </w:rPr>
          <w:t>ES</w:t>
        </w:r>
      </w:hyperlink>
      <w:r w:rsidRPr="00F41187">
        <w:rPr>
          <w:rFonts w:ascii="Myriad Pro" w:hAnsi="Myriad Pro"/>
          <w:b/>
          <w:snapToGrid/>
          <w:color w:val="538135"/>
          <w:sz w:val="20"/>
        </w:rPr>
        <w:t xml:space="preserve">, </w:t>
      </w:r>
      <w:hyperlink r:id="rId78" w:history="1">
        <w:r w:rsidRPr="00F41187">
          <w:rPr>
            <w:rFonts w:ascii="Myriad Pro" w:hAnsi="Myriad Pro"/>
            <w:b/>
            <w:snapToGrid/>
            <w:color w:val="0000FF"/>
            <w:sz w:val="20"/>
            <w:u w:val="single"/>
          </w:rPr>
          <w:t>FR</w:t>
        </w:r>
      </w:hyperlink>
      <w:r w:rsidRPr="00F41187">
        <w:rPr>
          <w:rFonts w:ascii="Myriad Pro" w:hAnsi="Myriad Pro"/>
          <w:b/>
          <w:snapToGrid/>
          <w:color w:val="538135"/>
          <w:sz w:val="20"/>
        </w:rPr>
        <w:t xml:space="preserve">, </w:t>
      </w:r>
      <w:hyperlink r:id="rId79" w:history="1">
        <w:r w:rsidRPr="00F41187">
          <w:rPr>
            <w:rFonts w:ascii="Myriad Pro" w:hAnsi="Myriad Pro"/>
            <w:b/>
            <w:snapToGrid/>
            <w:color w:val="0000FF"/>
            <w:sz w:val="20"/>
            <w:u w:val="single"/>
          </w:rPr>
          <w:t>IT</w:t>
        </w:r>
      </w:hyperlink>
      <w:r w:rsidRPr="00F41187">
        <w:rPr>
          <w:rFonts w:ascii="Myriad Pro" w:hAnsi="Myriad Pro"/>
          <w:b/>
          <w:snapToGrid/>
          <w:color w:val="538135"/>
          <w:sz w:val="20"/>
        </w:rPr>
        <w:t xml:space="preserve">, </w:t>
      </w:r>
      <w:hyperlink r:id="rId80" w:history="1">
        <w:r w:rsidRPr="00F41187">
          <w:rPr>
            <w:rFonts w:ascii="Myriad Pro" w:hAnsi="Myriad Pro"/>
            <w:b/>
            <w:snapToGrid/>
            <w:color w:val="0000FF"/>
            <w:sz w:val="20"/>
            <w:u w:val="single"/>
          </w:rPr>
          <w:t>PL</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Briefing “</w:t>
      </w:r>
      <w:hyperlink r:id="rId81" w:history="1">
        <w:r w:rsidRPr="00F41187">
          <w:rPr>
            <w:rFonts w:ascii="Myriad Pro" w:hAnsi="Myriad Pro"/>
            <w:b/>
            <w:snapToGrid/>
            <w:color w:val="0000FF"/>
            <w:sz w:val="20"/>
            <w:u w:val="single"/>
          </w:rPr>
          <w:t>The net operating balances:</w:t>
        </w:r>
      </w:hyperlink>
      <w:hyperlink r:id="rId82" w:history="1">
        <w:r w:rsidRPr="00F41187">
          <w:rPr>
            <w:rFonts w:ascii="Myriad Pro" w:hAnsi="Myriad Pro"/>
            <w:b/>
            <w:snapToGrid/>
            <w:color w:val="0000FF"/>
            <w:sz w:val="20"/>
            <w:u w:val="single"/>
          </w:rPr>
          <w:t xml:space="preserve"> Variants, emerging numbers and history</w:t>
        </w:r>
      </w:hyperlink>
      <w:r w:rsidRPr="00F41187">
        <w:rPr>
          <w:rFonts w:ascii="Myriad Pro" w:hAnsi="Myriad Pro"/>
          <w:b/>
          <w:snapToGrid/>
          <w:color w:val="538135"/>
          <w:sz w:val="20"/>
        </w:rPr>
        <w:t xml:space="preserve">” (Available in </w:t>
      </w:r>
      <w:hyperlink r:id="rId83" w:history="1">
        <w:r w:rsidRPr="00F41187">
          <w:rPr>
            <w:rFonts w:ascii="Myriad Pro" w:hAnsi="Myriad Pro"/>
            <w:b/>
            <w:snapToGrid/>
            <w:color w:val="0000FF"/>
            <w:sz w:val="20"/>
            <w:u w:val="single"/>
          </w:rPr>
          <w:t>DA</w:t>
        </w:r>
      </w:hyperlink>
      <w:r w:rsidRPr="00F41187">
        <w:rPr>
          <w:rFonts w:ascii="Myriad Pro" w:hAnsi="Myriad Pro"/>
          <w:b/>
          <w:snapToGrid/>
          <w:color w:val="538135"/>
          <w:sz w:val="20"/>
        </w:rPr>
        <w:t xml:space="preserve">, </w:t>
      </w:r>
      <w:hyperlink r:id="rId84" w:history="1">
        <w:r w:rsidRPr="00F41187">
          <w:rPr>
            <w:rFonts w:ascii="Myriad Pro" w:hAnsi="Myriad Pro"/>
            <w:b/>
            <w:snapToGrid/>
            <w:color w:val="0000FF"/>
            <w:sz w:val="20"/>
            <w:u w:val="single"/>
          </w:rPr>
          <w:t>DE</w:t>
        </w:r>
      </w:hyperlink>
      <w:r w:rsidRPr="00F41187">
        <w:rPr>
          <w:rFonts w:ascii="Myriad Pro" w:hAnsi="Myriad Pro"/>
          <w:b/>
          <w:snapToGrid/>
          <w:color w:val="538135"/>
          <w:sz w:val="20"/>
        </w:rPr>
        <w:t xml:space="preserve">, </w:t>
      </w:r>
      <w:hyperlink r:id="rId85" w:history="1">
        <w:r w:rsidRPr="00F41187">
          <w:rPr>
            <w:rFonts w:ascii="Myriad Pro" w:hAnsi="Myriad Pro"/>
            <w:b/>
            <w:snapToGrid/>
            <w:color w:val="0000FF"/>
            <w:sz w:val="20"/>
            <w:u w:val="single"/>
          </w:rPr>
          <w:t>ES</w:t>
        </w:r>
      </w:hyperlink>
      <w:r w:rsidRPr="00F41187">
        <w:rPr>
          <w:rFonts w:ascii="Myriad Pro" w:hAnsi="Myriad Pro"/>
          <w:b/>
          <w:snapToGrid/>
          <w:color w:val="538135"/>
          <w:sz w:val="20"/>
        </w:rPr>
        <w:t xml:space="preserve">, </w:t>
      </w:r>
      <w:hyperlink r:id="rId86" w:history="1">
        <w:r w:rsidRPr="00F41187">
          <w:rPr>
            <w:rFonts w:ascii="Myriad Pro" w:hAnsi="Myriad Pro"/>
            <w:b/>
            <w:snapToGrid/>
            <w:color w:val="0000FF"/>
            <w:sz w:val="20"/>
            <w:u w:val="single"/>
          </w:rPr>
          <w:t>FR</w:t>
        </w:r>
      </w:hyperlink>
      <w:r w:rsidRPr="00F41187">
        <w:rPr>
          <w:rFonts w:ascii="Myriad Pro" w:hAnsi="Myriad Pro"/>
          <w:b/>
          <w:snapToGrid/>
          <w:color w:val="538135"/>
          <w:sz w:val="20"/>
        </w:rPr>
        <w:t xml:space="preserve">, </w:t>
      </w:r>
      <w:hyperlink r:id="rId87" w:history="1">
        <w:r w:rsidRPr="00F41187">
          <w:rPr>
            <w:rFonts w:ascii="Myriad Pro" w:hAnsi="Myriad Pro"/>
            <w:b/>
            <w:snapToGrid/>
            <w:color w:val="0000FF"/>
            <w:sz w:val="20"/>
            <w:u w:val="single"/>
          </w:rPr>
          <w:t>IT</w:t>
        </w:r>
      </w:hyperlink>
      <w:r w:rsidRPr="00F41187">
        <w:rPr>
          <w:rFonts w:ascii="Myriad Pro" w:hAnsi="Myriad Pro"/>
          <w:b/>
          <w:snapToGrid/>
          <w:color w:val="538135"/>
          <w:sz w:val="20"/>
        </w:rPr>
        <w:t xml:space="preserve">, </w:t>
      </w:r>
      <w:hyperlink r:id="rId88" w:history="1">
        <w:r w:rsidRPr="00F41187">
          <w:rPr>
            <w:rFonts w:ascii="Myriad Pro" w:hAnsi="Myriad Pro"/>
            <w:b/>
            <w:snapToGrid/>
            <w:color w:val="0000FF"/>
            <w:sz w:val="20"/>
            <w:u w:val="single"/>
          </w:rPr>
          <w:t>NL</w:t>
        </w:r>
      </w:hyperlink>
      <w:r w:rsidRPr="00F41187">
        <w:rPr>
          <w:rFonts w:ascii="Myriad Pro" w:hAnsi="Myriad Pro"/>
          <w:b/>
          <w:snapToGrid/>
          <w:color w:val="538135"/>
          <w:sz w:val="20"/>
        </w:rPr>
        <w:t xml:space="preserve">, </w:t>
      </w:r>
      <w:hyperlink r:id="rId89" w:history="1">
        <w:r w:rsidRPr="00F41187">
          <w:rPr>
            <w:rFonts w:ascii="Myriad Pro" w:hAnsi="Myriad Pro"/>
            <w:b/>
            <w:snapToGrid/>
            <w:color w:val="0000FF"/>
            <w:sz w:val="20"/>
            <w:u w:val="single"/>
          </w:rPr>
          <w:t>PL</w:t>
        </w:r>
      </w:hyperlink>
      <w:r w:rsidRPr="00F41187">
        <w:rPr>
          <w:rFonts w:ascii="Myriad Pro" w:hAnsi="Myriad Pro"/>
          <w:b/>
          <w:snapToGrid/>
          <w:color w:val="538135"/>
          <w:sz w:val="20"/>
        </w:rPr>
        <w:t xml:space="preserve">, </w:t>
      </w:r>
      <w:hyperlink r:id="rId90" w:history="1">
        <w:r w:rsidRPr="00F41187">
          <w:rPr>
            <w:rFonts w:ascii="Myriad Pro" w:hAnsi="Myriad Pro"/>
            <w:b/>
            <w:snapToGrid/>
            <w:color w:val="0000FF"/>
            <w:sz w:val="20"/>
            <w:u w:val="single"/>
          </w:rPr>
          <w:t>SV</w:t>
        </w:r>
      </w:hyperlink>
      <w:r w:rsidRPr="00F41187">
        <w:rPr>
          <w:rFonts w:ascii="Myriad Pro" w:hAnsi="Myriad Pro"/>
          <w:b/>
          <w:snapToGrid/>
          <w:color w:val="538135"/>
          <w:sz w:val="20"/>
        </w:rPr>
        <w:t xml:space="preserve">) </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Briefing “</w:t>
      </w:r>
      <w:hyperlink r:id="rId91" w:history="1">
        <w:r w:rsidRPr="00F41187">
          <w:rPr>
            <w:rFonts w:ascii="Myriad Pro" w:hAnsi="Myriad Pro"/>
            <w:b/>
            <w:snapToGrid/>
            <w:color w:val="0000FF"/>
            <w:sz w:val="20"/>
            <w:u w:val="single"/>
          </w:rPr>
          <w:t>Why net operating balances are a distorted indicator of a Member State’s benefit from the EU budget</w:t>
        </w:r>
      </w:hyperlink>
      <w:r w:rsidRPr="00F41187">
        <w:rPr>
          <w:rFonts w:ascii="Myriad Pro" w:hAnsi="Myriad Pro"/>
          <w:b/>
          <w:snapToGrid/>
          <w:color w:val="538135"/>
          <w:sz w:val="20"/>
        </w:rPr>
        <w:t xml:space="preserve">” (Available in </w:t>
      </w:r>
      <w:hyperlink r:id="rId92" w:history="1">
        <w:r w:rsidRPr="00F41187">
          <w:rPr>
            <w:rFonts w:ascii="Myriad Pro" w:hAnsi="Myriad Pro"/>
            <w:b/>
            <w:snapToGrid/>
            <w:color w:val="0000FF"/>
            <w:sz w:val="20"/>
            <w:u w:val="single"/>
          </w:rPr>
          <w:t>DA</w:t>
        </w:r>
      </w:hyperlink>
      <w:r w:rsidRPr="00F41187">
        <w:rPr>
          <w:rFonts w:ascii="Myriad Pro" w:hAnsi="Myriad Pro"/>
          <w:b/>
          <w:snapToGrid/>
          <w:color w:val="538135"/>
          <w:sz w:val="20"/>
        </w:rPr>
        <w:t xml:space="preserve">, </w:t>
      </w:r>
      <w:hyperlink r:id="rId93" w:history="1">
        <w:r w:rsidRPr="00F41187">
          <w:rPr>
            <w:rFonts w:ascii="Myriad Pro" w:hAnsi="Myriad Pro"/>
            <w:b/>
            <w:snapToGrid/>
            <w:color w:val="0000FF"/>
            <w:sz w:val="20"/>
            <w:u w:val="single"/>
          </w:rPr>
          <w:t>DE</w:t>
        </w:r>
      </w:hyperlink>
      <w:r w:rsidRPr="00F41187">
        <w:rPr>
          <w:rFonts w:ascii="Myriad Pro" w:hAnsi="Myriad Pro"/>
          <w:b/>
          <w:snapToGrid/>
          <w:color w:val="538135"/>
          <w:sz w:val="20"/>
        </w:rPr>
        <w:t xml:space="preserve">, </w:t>
      </w:r>
      <w:hyperlink r:id="rId94" w:history="1">
        <w:r w:rsidRPr="00F41187">
          <w:rPr>
            <w:rFonts w:ascii="Myriad Pro" w:hAnsi="Myriad Pro"/>
            <w:b/>
            <w:snapToGrid/>
            <w:color w:val="0000FF"/>
            <w:sz w:val="20"/>
            <w:u w:val="single"/>
          </w:rPr>
          <w:t>ES</w:t>
        </w:r>
      </w:hyperlink>
      <w:r w:rsidRPr="00F41187">
        <w:rPr>
          <w:rFonts w:ascii="Myriad Pro" w:hAnsi="Myriad Pro"/>
          <w:b/>
          <w:snapToGrid/>
          <w:color w:val="538135"/>
          <w:sz w:val="20"/>
        </w:rPr>
        <w:t xml:space="preserve">, </w:t>
      </w:r>
      <w:hyperlink r:id="rId95" w:history="1">
        <w:r w:rsidRPr="00F41187">
          <w:rPr>
            <w:rFonts w:ascii="Myriad Pro" w:hAnsi="Myriad Pro"/>
            <w:b/>
            <w:snapToGrid/>
            <w:color w:val="0000FF"/>
            <w:sz w:val="20"/>
            <w:u w:val="single"/>
          </w:rPr>
          <w:t>FR</w:t>
        </w:r>
      </w:hyperlink>
      <w:r w:rsidRPr="00F41187">
        <w:rPr>
          <w:rFonts w:ascii="Myriad Pro" w:hAnsi="Myriad Pro"/>
          <w:b/>
          <w:snapToGrid/>
          <w:color w:val="538135"/>
          <w:sz w:val="20"/>
        </w:rPr>
        <w:t xml:space="preserve">, </w:t>
      </w:r>
      <w:hyperlink r:id="rId96" w:history="1">
        <w:r w:rsidRPr="00F41187">
          <w:rPr>
            <w:rFonts w:ascii="Myriad Pro" w:hAnsi="Myriad Pro"/>
            <w:b/>
            <w:snapToGrid/>
            <w:color w:val="0000FF"/>
            <w:sz w:val="20"/>
            <w:u w:val="single"/>
          </w:rPr>
          <w:t>IT</w:t>
        </w:r>
      </w:hyperlink>
      <w:r w:rsidRPr="00F41187">
        <w:rPr>
          <w:rFonts w:ascii="Myriad Pro" w:hAnsi="Myriad Pro"/>
          <w:b/>
          <w:snapToGrid/>
          <w:color w:val="538135"/>
          <w:sz w:val="20"/>
        </w:rPr>
        <w:t xml:space="preserve">, </w:t>
      </w:r>
      <w:hyperlink r:id="rId97" w:history="1">
        <w:r w:rsidRPr="00F41187">
          <w:rPr>
            <w:rFonts w:ascii="Myriad Pro" w:hAnsi="Myriad Pro"/>
            <w:b/>
            <w:snapToGrid/>
            <w:color w:val="0000FF"/>
            <w:sz w:val="20"/>
            <w:u w:val="single"/>
          </w:rPr>
          <w:t>NL</w:t>
        </w:r>
      </w:hyperlink>
      <w:r w:rsidRPr="00F41187">
        <w:rPr>
          <w:rFonts w:ascii="Myriad Pro" w:hAnsi="Myriad Pro"/>
          <w:b/>
          <w:snapToGrid/>
          <w:color w:val="538135"/>
          <w:sz w:val="20"/>
        </w:rPr>
        <w:t xml:space="preserve">, </w:t>
      </w:r>
      <w:hyperlink r:id="rId98" w:history="1">
        <w:r w:rsidRPr="00F41187">
          <w:rPr>
            <w:rFonts w:ascii="Myriad Pro" w:hAnsi="Myriad Pro"/>
            <w:b/>
            <w:snapToGrid/>
            <w:color w:val="0000FF"/>
            <w:sz w:val="20"/>
            <w:u w:val="single"/>
          </w:rPr>
          <w:t>PL</w:t>
        </w:r>
      </w:hyperlink>
      <w:r w:rsidRPr="00F41187">
        <w:rPr>
          <w:rFonts w:ascii="Myriad Pro" w:hAnsi="Myriad Pro"/>
          <w:b/>
          <w:snapToGrid/>
          <w:color w:val="538135"/>
          <w:sz w:val="20"/>
        </w:rPr>
        <w:t xml:space="preserve">, </w:t>
      </w:r>
      <w:hyperlink r:id="rId99" w:history="1">
        <w:r w:rsidRPr="00F41187">
          <w:rPr>
            <w:rFonts w:ascii="Myriad Pro" w:hAnsi="Myriad Pro"/>
            <w:b/>
            <w:snapToGrid/>
            <w:color w:val="0000FF"/>
            <w:sz w:val="20"/>
            <w:u w:val="single"/>
          </w:rPr>
          <w:t>SV</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Briefing “</w:t>
      </w:r>
      <w:hyperlink r:id="rId100" w:history="1">
        <w:r w:rsidRPr="00F41187">
          <w:rPr>
            <w:rFonts w:ascii="Myriad Pro" w:hAnsi="Myriad Pro"/>
            <w:b/>
            <w:snapToGrid/>
            <w:color w:val="0000FF"/>
            <w:sz w:val="20"/>
            <w:u w:val="single"/>
          </w:rPr>
          <w:t>The benefits of EU membership are not measured by net operating balances</w:t>
        </w:r>
      </w:hyperlink>
      <w:r w:rsidRPr="00F41187">
        <w:rPr>
          <w:rFonts w:ascii="Myriad Pro" w:hAnsi="Myriad Pro"/>
          <w:b/>
          <w:snapToGrid/>
          <w:color w:val="538135"/>
          <w:sz w:val="20"/>
        </w:rPr>
        <w:t xml:space="preserve">” (Available in </w:t>
      </w:r>
      <w:hyperlink r:id="rId101" w:history="1">
        <w:r w:rsidRPr="00F41187">
          <w:rPr>
            <w:rFonts w:ascii="Myriad Pro" w:hAnsi="Myriad Pro"/>
            <w:b/>
            <w:snapToGrid/>
            <w:color w:val="0000FF"/>
            <w:sz w:val="20"/>
            <w:u w:val="single"/>
          </w:rPr>
          <w:t>DA</w:t>
        </w:r>
      </w:hyperlink>
      <w:r w:rsidRPr="00F41187">
        <w:rPr>
          <w:rFonts w:ascii="Myriad Pro" w:hAnsi="Myriad Pro"/>
          <w:b/>
          <w:snapToGrid/>
          <w:color w:val="538135"/>
          <w:sz w:val="20"/>
        </w:rPr>
        <w:t xml:space="preserve">, </w:t>
      </w:r>
      <w:hyperlink r:id="rId102" w:history="1">
        <w:r w:rsidRPr="00F41187">
          <w:rPr>
            <w:rFonts w:ascii="Myriad Pro" w:hAnsi="Myriad Pro"/>
            <w:b/>
            <w:snapToGrid/>
            <w:color w:val="0000FF"/>
            <w:sz w:val="20"/>
            <w:u w:val="single"/>
          </w:rPr>
          <w:t>DE</w:t>
        </w:r>
      </w:hyperlink>
      <w:r w:rsidRPr="00F41187">
        <w:rPr>
          <w:rFonts w:ascii="Myriad Pro" w:hAnsi="Myriad Pro"/>
          <w:b/>
          <w:snapToGrid/>
          <w:color w:val="538135"/>
          <w:sz w:val="20"/>
        </w:rPr>
        <w:t xml:space="preserve">, </w:t>
      </w:r>
      <w:hyperlink r:id="rId103" w:history="1">
        <w:r w:rsidRPr="00F41187">
          <w:rPr>
            <w:rFonts w:ascii="Myriad Pro" w:hAnsi="Myriad Pro"/>
            <w:b/>
            <w:snapToGrid/>
            <w:color w:val="0000FF"/>
            <w:sz w:val="20"/>
            <w:u w:val="single"/>
          </w:rPr>
          <w:t>ES</w:t>
        </w:r>
      </w:hyperlink>
      <w:r w:rsidRPr="00F41187">
        <w:rPr>
          <w:rFonts w:ascii="Myriad Pro" w:hAnsi="Myriad Pro"/>
          <w:b/>
          <w:snapToGrid/>
          <w:color w:val="538135"/>
          <w:sz w:val="20"/>
        </w:rPr>
        <w:t xml:space="preserve">, </w:t>
      </w:r>
      <w:hyperlink r:id="rId104" w:history="1">
        <w:r w:rsidRPr="00F41187">
          <w:rPr>
            <w:rFonts w:ascii="Myriad Pro" w:hAnsi="Myriad Pro"/>
            <w:b/>
            <w:snapToGrid/>
            <w:color w:val="0000FF"/>
            <w:sz w:val="20"/>
            <w:u w:val="single"/>
          </w:rPr>
          <w:t>FR</w:t>
        </w:r>
      </w:hyperlink>
      <w:r w:rsidRPr="00F41187">
        <w:rPr>
          <w:rFonts w:ascii="Myriad Pro" w:hAnsi="Myriad Pro"/>
          <w:b/>
          <w:snapToGrid/>
          <w:color w:val="538135"/>
          <w:sz w:val="20"/>
        </w:rPr>
        <w:t xml:space="preserve">, </w:t>
      </w:r>
      <w:hyperlink r:id="rId105" w:history="1">
        <w:r w:rsidRPr="00F41187">
          <w:rPr>
            <w:rFonts w:ascii="Myriad Pro" w:hAnsi="Myriad Pro"/>
            <w:b/>
            <w:snapToGrid/>
            <w:color w:val="0000FF"/>
            <w:sz w:val="20"/>
            <w:u w:val="single"/>
          </w:rPr>
          <w:t>IT</w:t>
        </w:r>
      </w:hyperlink>
      <w:r w:rsidRPr="00F41187">
        <w:rPr>
          <w:rFonts w:ascii="Myriad Pro" w:hAnsi="Myriad Pro"/>
          <w:b/>
          <w:snapToGrid/>
          <w:color w:val="538135"/>
          <w:sz w:val="20"/>
        </w:rPr>
        <w:t xml:space="preserve">, </w:t>
      </w:r>
      <w:hyperlink r:id="rId106" w:history="1">
        <w:r w:rsidRPr="00F41187">
          <w:rPr>
            <w:rFonts w:ascii="Myriad Pro" w:hAnsi="Myriad Pro"/>
            <w:b/>
            <w:snapToGrid/>
            <w:color w:val="0000FF"/>
            <w:sz w:val="20"/>
            <w:u w:val="single"/>
          </w:rPr>
          <w:t>NL</w:t>
        </w:r>
      </w:hyperlink>
      <w:r w:rsidRPr="00F41187">
        <w:rPr>
          <w:rFonts w:ascii="Myriad Pro" w:hAnsi="Myriad Pro"/>
          <w:b/>
          <w:snapToGrid/>
          <w:color w:val="538135"/>
          <w:sz w:val="20"/>
        </w:rPr>
        <w:t xml:space="preserve">, </w:t>
      </w:r>
      <w:hyperlink r:id="rId107" w:history="1">
        <w:r w:rsidRPr="00F41187">
          <w:rPr>
            <w:rFonts w:ascii="Myriad Pro" w:hAnsi="Myriad Pro"/>
            <w:b/>
            <w:snapToGrid/>
            <w:color w:val="0000FF"/>
            <w:sz w:val="20"/>
            <w:u w:val="single"/>
          </w:rPr>
          <w:t>PL</w:t>
        </w:r>
      </w:hyperlink>
      <w:r w:rsidRPr="00F41187">
        <w:rPr>
          <w:rFonts w:ascii="Myriad Pro" w:hAnsi="Myriad Pro"/>
          <w:b/>
          <w:snapToGrid/>
          <w:color w:val="538135"/>
          <w:sz w:val="20"/>
        </w:rPr>
        <w:t xml:space="preserve">, </w:t>
      </w:r>
      <w:hyperlink r:id="rId108" w:history="1">
        <w:r w:rsidRPr="00F41187">
          <w:rPr>
            <w:rFonts w:ascii="Myriad Pro" w:hAnsi="Myriad Pro"/>
            <w:b/>
            <w:snapToGrid/>
            <w:color w:val="0000FF"/>
            <w:sz w:val="20"/>
            <w:u w:val="single"/>
          </w:rPr>
          <w:t>SV</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Briefing “</w:t>
      </w:r>
      <w:hyperlink r:id="rId109" w:history="1">
        <w:r w:rsidRPr="00F41187">
          <w:rPr>
            <w:rFonts w:ascii="Myriad Pro" w:hAnsi="Myriad Pro"/>
            <w:b/>
            <w:snapToGrid/>
            <w:color w:val="0000FF"/>
            <w:sz w:val="20"/>
            <w:u w:val="single"/>
          </w:rPr>
          <w:t xml:space="preserve">Strategies to overcome the </w:t>
        </w:r>
        <w:r w:rsidRPr="00F41187">
          <w:rPr>
            <w:rFonts w:ascii="Myriad Pro" w:hAnsi="Myriad Pro"/>
            <w:b/>
            <w:i/>
            <w:snapToGrid/>
            <w:color w:val="0000FF"/>
            <w:sz w:val="20"/>
            <w:u w:val="single"/>
          </w:rPr>
          <w:t xml:space="preserve">‘juste retour’ </w:t>
        </w:r>
        <w:r w:rsidRPr="00F41187">
          <w:rPr>
            <w:rFonts w:ascii="Myriad Pro" w:hAnsi="Myriad Pro"/>
            <w:b/>
            <w:snapToGrid/>
            <w:color w:val="0000FF"/>
            <w:sz w:val="20"/>
            <w:u w:val="single"/>
          </w:rPr>
          <w:t>perspective on the EU budget”</w:t>
        </w:r>
      </w:hyperlink>
      <w:r w:rsidRPr="00F41187">
        <w:rPr>
          <w:rFonts w:ascii="Myriad Pro" w:hAnsi="Myriad Pro"/>
          <w:b/>
          <w:snapToGrid/>
          <w:color w:val="538135"/>
          <w:sz w:val="20"/>
          <w:u w:val="single"/>
        </w:rPr>
        <w:t xml:space="preserve"> </w:t>
      </w:r>
      <w:r w:rsidRPr="00F41187">
        <w:rPr>
          <w:rFonts w:ascii="Myriad Pro" w:hAnsi="Myriad Pro"/>
          <w:b/>
          <w:snapToGrid/>
          <w:color w:val="538135"/>
          <w:sz w:val="20"/>
        </w:rPr>
        <w:t xml:space="preserve">(Available in </w:t>
      </w:r>
      <w:hyperlink r:id="rId110" w:history="1">
        <w:r w:rsidRPr="00F41187">
          <w:rPr>
            <w:rFonts w:ascii="Myriad Pro" w:hAnsi="Myriad Pro"/>
            <w:b/>
            <w:snapToGrid/>
            <w:color w:val="0000FF"/>
            <w:sz w:val="20"/>
            <w:u w:val="single"/>
          </w:rPr>
          <w:t>DA</w:t>
        </w:r>
      </w:hyperlink>
      <w:r w:rsidRPr="00F41187">
        <w:rPr>
          <w:rFonts w:ascii="Myriad Pro" w:hAnsi="Myriad Pro"/>
          <w:b/>
          <w:snapToGrid/>
          <w:color w:val="538135"/>
          <w:sz w:val="20"/>
        </w:rPr>
        <w:t xml:space="preserve">, </w:t>
      </w:r>
      <w:hyperlink r:id="rId111" w:history="1">
        <w:r w:rsidRPr="00F41187">
          <w:rPr>
            <w:rFonts w:ascii="Myriad Pro" w:hAnsi="Myriad Pro"/>
            <w:b/>
            <w:snapToGrid/>
            <w:color w:val="0000FF"/>
            <w:sz w:val="20"/>
            <w:u w:val="single"/>
          </w:rPr>
          <w:t>DE</w:t>
        </w:r>
      </w:hyperlink>
      <w:r w:rsidRPr="00F41187">
        <w:rPr>
          <w:rFonts w:ascii="Myriad Pro" w:hAnsi="Myriad Pro"/>
          <w:b/>
          <w:snapToGrid/>
          <w:color w:val="538135"/>
          <w:sz w:val="20"/>
        </w:rPr>
        <w:t xml:space="preserve">, </w:t>
      </w:r>
      <w:hyperlink r:id="rId112" w:history="1">
        <w:r w:rsidRPr="00F41187">
          <w:rPr>
            <w:rFonts w:ascii="Myriad Pro" w:hAnsi="Myriad Pro"/>
            <w:b/>
            <w:snapToGrid/>
            <w:color w:val="0000FF"/>
            <w:sz w:val="20"/>
            <w:u w:val="single"/>
          </w:rPr>
          <w:t>ES</w:t>
        </w:r>
      </w:hyperlink>
      <w:r w:rsidRPr="00F41187">
        <w:rPr>
          <w:rFonts w:ascii="Myriad Pro" w:hAnsi="Myriad Pro"/>
          <w:b/>
          <w:snapToGrid/>
          <w:color w:val="538135"/>
          <w:sz w:val="20"/>
        </w:rPr>
        <w:t xml:space="preserve">, </w:t>
      </w:r>
      <w:hyperlink r:id="rId113" w:history="1">
        <w:r w:rsidRPr="00F41187">
          <w:rPr>
            <w:rFonts w:ascii="Myriad Pro" w:hAnsi="Myriad Pro"/>
            <w:b/>
            <w:snapToGrid/>
            <w:color w:val="0000FF"/>
            <w:sz w:val="20"/>
            <w:u w:val="single"/>
          </w:rPr>
          <w:t>FR</w:t>
        </w:r>
      </w:hyperlink>
      <w:r w:rsidRPr="00F41187">
        <w:rPr>
          <w:rFonts w:ascii="Myriad Pro" w:hAnsi="Myriad Pro"/>
          <w:b/>
          <w:snapToGrid/>
          <w:color w:val="538135"/>
          <w:sz w:val="20"/>
        </w:rPr>
        <w:t xml:space="preserve">, </w:t>
      </w:r>
      <w:hyperlink r:id="rId114" w:history="1">
        <w:r w:rsidRPr="00F41187">
          <w:rPr>
            <w:rFonts w:ascii="Myriad Pro" w:hAnsi="Myriad Pro"/>
            <w:b/>
            <w:snapToGrid/>
            <w:color w:val="0000FF"/>
            <w:sz w:val="20"/>
            <w:u w:val="single"/>
          </w:rPr>
          <w:t>IT</w:t>
        </w:r>
      </w:hyperlink>
      <w:r w:rsidRPr="00F41187">
        <w:rPr>
          <w:rFonts w:ascii="Myriad Pro" w:hAnsi="Myriad Pro"/>
          <w:b/>
          <w:snapToGrid/>
          <w:color w:val="538135"/>
          <w:sz w:val="20"/>
        </w:rPr>
        <w:t xml:space="preserve">, </w:t>
      </w:r>
      <w:hyperlink r:id="rId115" w:history="1">
        <w:r w:rsidRPr="00F41187">
          <w:rPr>
            <w:rFonts w:ascii="Myriad Pro" w:hAnsi="Myriad Pro"/>
            <w:b/>
            <w:snapToGrid/>
            <w:color w:val="0000FF"/>
            <w:sz w:val="20"/>
            <w:u w:val="single"/>
          </w:rPr>
          <w:t>NL</w:t>
        </w:r>
      </w:hyperlink>
      <w:r w:rsidRPr="00F41187">
        <w:rPr>
          <w:rFonts w:ascii="Myriad Pro" w:hAnsi="Myriad Pro"/>
          <w:b/>
          <w:snapToGrid/>
          <w:color w:val="538135"/>
          <w:sz w:val="20"/>
        </w:rPr>
        <w:t xml:space="preserve">, </w:t>
      </w:r>
      <w:hyperlink r:id="rId116" w:history="1">
        <w:r w:rsidRPr="00F41187">
          <w:rPr>
            <w:rFonts w:ascii="Myriad Pro" w:hAnsi="Myriad Pro"/>
            <w:b/>
            <w:snapToGrid/>
            <w:color w:val="0000FF"/>
            <w:sz w:val="20"/>
            <w:u w:val="single"/>
          </w:rPr>
          <w:t>PL</w:t>
        </w:r>
      </w:hyperlink>
      <w:r w:rsidRPr="00F41187">
        <w:rPr>
          <w:rFonts w:ascii="Myriad Pro" w:hAnsi="Myriad Pro"/>
          <w:b/>
          <w:snapToGrid/>
          <w:color w:val="538135"/>
          <w:sz w:val="20"/>
        </w:rPr>
        <w:t xml:space="preserve">, </w:t>
      </w:r>
      <w:hyperlink r:id="rId117" w:history="1">
        <w:r w:rsidRPr="00F41187">
          <w:rPr>
            <w:rFonts w:ascii="Myriad Pro" w:hAnsi="Myriad Pro"/>
            <w:b/>
            <w:snapToGrid/>
            <w:color w:val="0000FF"/>
            <w:sz w:val="20"/>
            <w:u w:val="single"/>
          </w:rPr>
          <w:t>SV</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At A Glance “</w:t>
      </w:r>
      <w:hyperlink r:id="rId118" w:history="1">
        <w:r w:rsidRPr="00F41187">
          <w:rPr>
            <w:rFonts w:ascii="Myriad Pro" w:hAnsi="Myriad Pro"/>
            <w:b/>
            <w:snapToGrid/>
            <w:color w:val="0000FF"/>
            <w:sz w:val="20"/>
            <w:u w:val="single"/>
          </w:rPr>
          <w:t>The net operating balances or the “juste retour” approach</w:t>
        </w:r>
      </w:hyperlink>
      <w:r w:rsidRPr="00F41187">
        <w:rPr>
          <w:rFonts w:ascii="Myriad Pro" w:hAnsi="Myriad Pro"/>
          <w:b/>
          <w:snapToGrid/>
          <w:color w:val="538135"/>
          <w:sz w:val="20"/>
        </w:rPr>
        <w:t xml:space="preserve">” (Available in </w:t>
      </w:r>
      <w:hyperlink r:id="rId119" w:history="1">
        <w:r w:rsidRPr="00F41187">
          <w:rPr>
            <w:rFonts w:ascii="Myriad Pro" w:hAnsi="Myriad Pro"/>
            <w:b/>
            <w:snapToGrid/>
            <w:color w:val="0000FF"/>
            <w:sz w:val="20"/>
            <w:u w:val="single"/>
          </w:rPr>
          <w:t>DA</w:t>
        </w:r>
      </w:hyperlink>
      <w:r w:rsidRPr="00F41187">
        <w:rPr>
          <w:rFonts w:ascii="Myriad Pro" w:hAnsi="Myriad Pro"/>
          <w:b/>
          <w:snapToGrid/>
          <w:color w:val="538135"/>
          <w:sz w:val="20"/>
        </w:rPr>
        <w:t xml:space="preserve">, </w:t>
      </w:r>
      <w:hyperlink r:id="rId120" w:history="1">
        <w:r w:rsidRPr="00F41187">
          <w:rPr>
            <w:rFonts w:ascii="Myriad Pro" w:hAnsi="Myriad Pro"/>
            <w:b/>
            <w:snapToGrid/>
            <w:color w:val="0000FF"/>
            <w:sz w:val="20"/>
            <w:u w:val="single"/>
          </w:rPr>
          <w:t>DE</w:t>
        </w:r>
      </w:hyperlink>
      <w:r w:rsidRPr="00F41187">
        <w:rPr>
          <w:rFonts w:ascii="Myriad Pro" w:hAnsi="Myriad Pro"/>
          <w:b/>
          <w:snapToGrid/>
          <w:color w:val="538135"/>
          <w:sz w:val="20"/>
        </w:rPr>
        <w:t xml:space="preserve">, </w:t>
      </w:r>
      <w:hyperlink r:id="rId121" w:history="1">
        <w:r w:rsidRPr="00F41187">
          <w:rPr>
            <w:rFonts w:ascii="Myriad Pro" w:hAnsi="Myriad Pro"/>
            <w:b/>
            <w:snapToGrid/>
            <w:color w:val="0000FF"/>
            <w:sz w:val="20"/>
            <w:u w:val="single"/>
          </w:rPr>
          <w:t>ES</w:t>
        </w:r>
      </w:hyperlink>
      <w:r w:rsidRPr="00F41187">
        <w:rPr>
          <w:rFonts w:ascii="Myriad Pro" w:hAnsi="Myriad Pro"/>
          <w:b/>
          <w:snapToGrid/>
          <w:color w:val="538135"/>
          <w:sz w:val="20"/>
        </w:rPr>
        <w:t xml:space="preserve">, </w:t>
      </w:r>
      <w:hyperlink r:id="rId122" w:history="1">
        <w:r w:rsidRPr="00F41187">
          <w:rPr>
            <w:rFonts w:ascii="Myriad Pro" w:hAnsi="Myriad Pro"/>
            <w:b/>
            <w:snapToGrid/>
            <w:color w:val="0000FF"/>
            <w:sz w:val="20"/>
            <w:u w:val="single"/>
          </w:rPr>
          <w:t>FR</w:t>
        </w:r>
      </w:hyperlink>
      <w:r w:rsidRPr="00F41187">
        <w:rPr>
          <w:rFonts w:ascii="Myriad Pro" w:hAnsi="Myriad Pro"/>
          <w:b/>
          <w:snapToGrid/>
          <w:color w:val="538135"/>
          <w:sz w:val="20"/>
        </w:rPr>
        <w:t xml:space="preserve">, </w:t>
      </w:r>
      <w:hyperlink r:id="rId123" w:history="1">
        <w:r w:rsidRPr="00F41187">
          <w:rPr>
            <w:rFonts w:ascii="Myriad Pro" w:hAnsi="Myriad Pro"/>
            <w:b/>
            <w:snapToGrid/>
            <w:color w:val="0000FF"/>
            <w:sz w:val="20"/>
            <w:u w:val="single"/>
          </w:rPr>
          <w:t>IT</w:t>
        </w:r>
      </w:hyperlink>
      <w:r w:rsidRPr="00F41187">
        <w:rPr>
          <w:rFonts w:ascii="Myriad Pro" w:hAnsi="Myriad Pro"/>
          <w:b/>
          <w:snapToGrid/>
          <w:color w:val="538135"/>
          <w:sz w:val="20"/>
        </w:rPr>
        <w:t xml:space="preserve">, </w:t>
      </w:r>
      <w:hyperlink r:id="rId124" w:history="1">
        <w:r w:rsidRPr="00F41187">
          <w:rPr>
            <w:rFonts w:ascii="Myriad Pro" w:hAnsi="Myriad Pro"/>
            <w:b/>
            <w:snapToGrid/>
            <w:color w:val="0000FF"/>
            <w:sz w:val="20"/>
            <w:u w:val="single"/>
          </w:rPr>
          <w:t>NL</w:t>
        </w:r>
      </w:hyperlink>
      <w:r w:rsidRPr="00F41187">
        <w:rPr>
          <w:rFonts w:ascii="Myriad Pro" w:hAnsi="Myriad Pro"/>
          <w:b/>
          <w:snapToGrid/>
          <w:color w:val="538135"/>
          <w:sz w:val="20"/>
        </w:rPr>
        <w:t xml:space="preserve">, </w:t>
      </w:r>
      <w:hyperlink r:id="rId125" w:history="1">
        <w:r w:rsidRPr="00F41187">
          <w:rPr>
            <w:rFonts w:ascii="Myriad Pro" w:hAnsi="Myriad Pro"/>
            <w:b/>
            <w:snapToGrid/>
            <w:color w:val="0000FF"/>
            <w:sz w:val="20"/>
            <w:u w:val="single"/>
          </w:rPr>
          <w:t>PL</w:t>
        </w:r>
      </w:hyperlink>
      <w:r w:rsidRPr="00F41187">
        <w:rPr>
          <w:rFonts w:ascii="Myriad Pro" w:hAnsi="Myriad Pro"/>
          <w:b/>
          <w:snapToGrid/>
          <w:color w:val="538135"/>
          <w:sz w:val="20"/>
        </w:rPr>
        <w:t xml:space="preserve">, </w:t>
      </w:r>
      <w:hyperlink r:id="rId126" w:history="1">
        <w:r w:rsidRPr="00F41187">
          <w:rPr>
            <w:rFonts w:ascii="Myriad Pro" w:hAnsi="Myriad Pro"/>
            <w:b/>
            <w:snapToGrid/>
            <w:color w:val="0000FF"/>
            <w:sz w:val="20"/>
            <w:u w:val="single"/>
          </w:rPr>
          <w:t>SV</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At A Glance “</w:t>
      </w:r>
      <w:hyperlink r:id="rId127" w:history="1">
        <w:r w:rsidRPr="00F41187">
          <w:rPr>
            <w:rFonts w:ascii="Myriad Pro" w:hAnsi="Myriad Pro"/>
            <w:b/>
            <w:snapToGrid/>
            <w:color w:val="0000FF"/>
            <w:sz w:val="20"/>
            <w:u w:val="single"/>
          </w:rPr>
          <w:t>Net operating balances indicator:</w:t>
        </w:r>
      </w:hyperlink>
      <w:hyperlink r:id="rId128" w:history="1">
        <w:r w:rsidRPr="00F41187">
          <w:rPr>
            <w:rFonts w:ascii="Myriad Pro" w:hAnsi="Myriad Pro"/>
            <w:b/>
            <w:snapToGrid/>
            <w:color w:val="0000FF"/>
            <w:sz w:val="20"/>
            <w:u w:val="single"/>
          </w:rPr>
          <w:t xml:space="preserve"> A distorted indicator of a Member State’s benefit from the EU budget</w:t>
        </w:r>
      </w:hyperlink>
      <w:r w:rsidRPr="00F41187">
        <w:rPr>
          <w:rFonts w:ascii="Myriad Pro" w:hAnsi="Myriad Pro"/>
          <w:b/>
          <w:snapToGrid/>
          <w:color w:val="538135"/>
          <w:sz w:val="20"/>
        </w:rPr>
        <w:t xml:space="preserve">” (Available in </w:t>
      </w:r>
      <w:hyperlink r:id="rId129" w:history="1">
        <w:r w:rsidRPr="00F41187">
          <w:rPr>
            <w:rFonts w:ascii="Myriad Pro" w:hAnsi="Myriad Pro"/>
            <w:b/>
            <w:snapToGrid/>
            <w:color w:val="0000FF"/>
            <w:sz w:val="20"/>
            <w:u w:val="single"/>
          </w:rPr>
          <w:t>DA</w:t>
        </w:r>
      </w:hyperlink>
      <w:r w:rsidRPr="00F41187">
        <w:rPr>
          <w:rFonts w:ascii="Myriad Pro" w:hAnsi="Myriad Pro"/>
          <w:b/>
          <w:snapToGrid/>
          <w:color w:val="538135"/>
          <w:sz w:val="20"/>
        </w:rPr>
        <w:t xml:space="preserve">, </w:t>
      </w:r>
      <w:hyperlink r:id="rId130" w:history="1">
        <w:r w:rsidRPr="00F41187">
          <w:rPr>
            <w:rFonts w:ascii="Myriad Pro" w:hAnsi="Myriad Pro"/>
            <w:b/>
            <w:snapToGrid/>
            <w:color w:val="0000FF"/>
            <w:sz w:val="20"/>
            <w:u w:val="single"/>
          </w:rPr>
          <w:t>DE</w:t>
        </w:r>
      </w:hyperlink>
      <w:r w:rsidRPr="00F41187">
        <w:rPr>
          <w:rFonts w:ascii="Myriad Pro" w:hAnsi="Myriad Pro"/>
          <w:b/>
          <w:snapToGrid/>
          <w:color w:val="538135"/>
          <w:sz w:val="20"/>
        </w:rPr>
        <w:t xml:space="preserve">, </w:t>
      </w:r>
      <w:hyperlink r:id="rId131" w:history="1">
        <w:r w:rsidRPr="00F41187">
          <w:rPr>
            <w:rFonts w:ascii="Myriad Pro" w:hAnsi="Myriad Pro"/>
            <w:b/>
            <w:snapToGrid/>
            <w:color w:val="0000FF"/>
            <w:sz w:val="20"/>
            <w:u w:val="single"/>
          </w:rPr>
          <w:t>ES</w:t>
        </w:r>
      </w:hyperlink>
      <w:r w:rsidRPr="00F41187">
        <w:rPr>
          <w:rFonts w:ascii="Myriad Pro" w:hAnsi="Myriad Pro"/>
          <w:b/>
          <w:snapToGrid/>
          <w:color w:val="538135"/>
          <w:sz w:val="20"/>
        </w:rPr>
        <w:t xml:space="preserve">, </w:t>
      </w:r>
      <w:hyperlink r:id="rId132" w:history="1">
        <w:r w:rsidRPr="00F41187">
          <w:rPr>
            <w:rFonts w:ascii="Myriad Pro" w:hAnsi="Myriad Pro"/>
            <w:b/>
            <w:snapToGrid/>
            <w:color w:val="0000FF"/>
            <w:sz w:val="20"/>
            <w:u w:val="single"/>
          </w:rPr>
          <w:t>FR</w:t>
        </w:r>
      </w:hyperlink>
      <w:r w:rsidRPr="00F41187">
        <w:rPr>
          <w:rFonts w:ascii="Myriad Pro" w:hAnsi="Myriad Pro"/>
          <w:b/>
          <w:snapToGrid/>
          <w:color w:val="538135"/>
          <w:sz w:val="20"/>
        </w:rPr>
        <w:t xml:space="preserve">, </w:t>
      </w:r>
      <w:hyperlink r:id="rId133" w:history="1">
        <w:r w:rsidRPr="00F41187">
          <w:rPr>
            <w:rFonts w:ascii="Myriad Pro" w:hAnsi="Myriad Pro"/>
            <w:b/>
            <w:snapToGrid/>
            <w:color w:val="0000FF"/>
            <w:sz w:val="20"/>
            <w:u w:val="single"/>
          </w:rPr>
          <w:t>IT</w:t>
        </w:r>
      </w:hyperlink>
      <w:r w:rsidRPr="00F41187">
        <w:rPr>
          <w:rFonts w:ascii="Myriad Pro" w:hAnsi="Myriad Pro"/>
          <w:b/>
          <w:snapToGrid/>
          <w:color w:val="538135"/>
          <w:sz w:val="20"/>
        </w:rPr>
        <w:t xml:space="preserve">, </w:t>
      </w:r>
      <w:hyperlink r:id="rId134" w:history="1">
        <w:r w:rsidRPr="00F41187">
          <w:rPr>
            <w:rFonts w:ascii="Myriad Pro" w:hAnsi="Myriad Pro"/>
            <w:b/>
            <w:snapToGrid/>
            <w:color w:val="0000FF"/>
            <w:sz w:val="20"/>
            <w:u w:val="single"/>
          </w:rPr>
          <w:t>NL</w:t>
        </w:r>
      </w:hyperlink>
      <w:r w:rsidRPr="00F41187">
        <w:rPr>
          <w:rFonts w:ascii="Myriad Pro" w:hAnsi="Myriad Pro"/>
          <w:b/>
          <w:snapToGrid/>
          <w:color w:val="538135"/>
          <w:sz w:val="20"/>
        </w:rPr>
        <w:t xml:space="preserve">, </w:t>
      </w:r>
      <w:hyperlink r:id="rId135" w:history="1">
        <w:r w:rsidRPr="00F41187">
          <w:rPr>
            <w:rFonts w:ascii="Myriad Pro" w:hAnsi="Myriad Pro"/>
            <w:b/>
            <w:snapToGrid/>
            <w:color w:val="0000FF"/>
            <w:sz w:val="20"/>
            <w:u w:val="single"/>
          </w:rPr>
          <w:t>PL</w:t>
        </w:r>
      </w:hyperlink>
      <w:r w:rsidRPr="00F41187">
        <w:rPr>
          <w:rFonts w:ascii="Myriad Pro" w:hAnsi="Myriad Pro"/>
          <w:b/>
          <w:snapToGrid/>
          <w:color w:val="538135"/>
          <w:sz w:val="20"/>
        </w:rPr>
        <w:t xml:space="preserve">, </w:t>
      </w:r>
      <w:hyperlink r:id="rId136" w:history="1">
        <w:r w:rsidRPr="00F41187">
          <w:rPr>
            <w:rFonts w:ascii="Myriad Pro" w:hAnsi="Myriad Pro"/>
            <w:b/>
            <w:snapToGrid/>
            <w:color w:val="0000FF"/>
            <w:sz w:val="20"/>
            <w:u w:val="single"/>
          </w:rPr>
          <w:t>SV</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At A Glance “</w:t>
      </w:r>
      <w:hyperlink r:id="rId137" w:history="1">
        <w:r w:rsidRPr="00F41187">
          <w:rPr>
            <w:rFonts w:ascii="Myriad Pro" w:hAnsi="Myriad Pro"/>
            <w:b/>
            <w:snapToGrid/>
            <w:color w:val="0000FF"/>
            <w:sz w:val="20"/>
            <w:u w:val="single"/>
          </w:rPr>
          <w:t>EU membership benefits:</w:t>
        </w:r>
      </w:hyperlink>
      <w:hyperlink r:id="rId138" w:history="1">
        <w:r w:rsidRPr="00F41187">
          <w:rPr>
            <w:rFonts w:ascii="Myriad Pro" w:hAnsi="Myriad Pro"/>
            <w:b/>
            <w:snapToGrid/>
            <w:color w:val="0000FF"/>
            <w:sz w:val="20"/>
            <w:u w:val="single"/>
          </w:rPr>
          <w:t xml:space="preserve"> Not measured by net operating balances</w:t>
        </w:r>
      </w:hyperlink>
      <w:r w:rsidRPr="00F41187">
        <w:rPr>
          <w:rFonts w:ascii="Myriad Pro" w:hAnsi="Myriad Pro"/>
          <w:b/>
          <w:snapToGrid/>
          <w:color w:val="538135"/>
          <w:sz w:val="20"/>
        </w:rPr>
        <w:t xml:space="preserve">” (Available in </w:t>
      </w:r>
      <w:hyperlink r:id="rId139" w:history="1">
        <w:r w:rsidRPr="00F41187">
          <w:rPr>
            <w:rFonts w:ascii="Myriad Pro" w:hAnsi="Myriad Pro"/>
            <w:b/>
            <w:snapToGrid/>
            <w:color w:val="0000FF"/>
            <w:sz w:val="20"/>
            <w:u w:val="single"/>
          </w:rPr>
          <w:t>DA</w:t>
        </w:r>
      </w:hyperlink>
      <w:r w:rsidRPr="00F41187">
        <w:rPr>
          <w:rFonts w:ascii="Myriad Pro" w:hAnsi="Myriad Pro"/>
          <w:b/>
          <w:snapToGrid/>
          <w:color w:val="538135"/>
          <w:sz w:val="20"/>
        </w:rPr>
        <w:t xml:space="preserve">, </w:t>
      </w:r>
      <w:hyperlink r:id="rId140" w:history="1">
        <w:r w:rsidRPr="00F41187">
          <w:rPr>
            <w:rFonts w:ascii="Myriad Pro" w:hAnsi="Myriad Pro"/>
            <w:b/>
            <w:snapToGrid/>
            <w:color w:val="0000FF"/>
            <w:sz w:val="20"/>
            <w:u w:val="single"/>
          </w:rPr>
          <w:t>DE</w:t>
        </w:r>
      </w:hyperlink>
      <w:r w:rsidRPr="00F41187">
        <w:rPr>
          <w:rFonts w:ascii="Myriad Pro" w:hAnsi="Myriad Pro"/>
          <w:b/>
          <w:snapToGrid/>
          <w:color w:val="538135"/>
          <w:sz w:val="20"/>
        </w:rPr>
        <w:t xml:space="preserve">, </w:t>
      </w:r>
      <w:hyperlink r:id="rId141" w:history="1">
        <w:r w:rsidRPr="00F41187">
          <w:rPr>
            <w:rFonts w:ascii="Myriad Pro" w:hAnsi="Myriad Pro"/>
            <w:b/>
            <w:snapToGrid/>
            <w:color w:val="0000FF"/>
            <w:sz w:val="20"/>
            <w:u w:val="single"/>
          </w:rPr>
          <w:t>ES</w:t>
        </w:r>
      </w:hyperlink>
      <w:r w:rsidRPr="00F41187">
        <w:rPr>
          <w:rFonts w:ascii="Myriad Pro" w:hAnsi="Myriad Pro"/>
          <w:b/>
          <w:snapToGrid/>
          <w:color w:val="538135"/>
          <w:sz w:val="20"/>
        </w:rPr>
        <w:t xml:space="preserve">, </w:t>
      </w:r>
      <w:hyperlink r:id="rId142" w:history="1">
        <w:r w:rsidRPr="00F41187">
          <w:rPr>
            <w:rFonts w:ascii="Myriad Pro" w:hAnsi="Myriad Pro"/>
            <w:b/>
            <w:snapToGrid/>
            <w:color w:val="0000FF"/>
            <w:sz w:val="20"/>
            <w:u w:val="single"/>
          </w:rPr>
          <w:t>FR</w:t>
        </w:r>
      </w:hyperlink>
      <w:r w:rsidRPr="00F41187">
        <w:rPr>
          <w:rFonts w:ascii="Myriad Pro" w:hAnsi="Myriad Pro"/>
          <w:b/>
          <w:snapToGrid/>
          <w:color w:val="538135"/>
          <w:sz w:val="20"/>
        </w:rPr>
        <w:t xml:space="preserve">, </w:t>
      </w:r>
      <w:hyperlink r:id="rId143" w:history="1">
        <w:r w:rsidRPr="00F41187">
          <w:rPr>
            <w:rFonts w:ascii="Myriad Pro" w:hAnsi="Myriad Pro"/>
            <w:b/>
            <w:snapToGrid/>
            <w:color w:val="0000FF"/>
            <w:sz w:val="20"/>
            <w:u w:val="single"/>
          </w:rPr>
          <w:t>IT</w:t>
        </w:r>
      </w:hyperlink>
      <w:r w:rsidRPr="00F41187">
        <w:rPr>
          <w:rFonts w:ascii="Myriad Pro" w:hAnsi="Myriad Pro"/>
          <w:b/>
          <w:snapToGrid/>
          <w:color w:val="538135"/>
          <w:sz w:val="20"/>
        </w:rPr>
        <w:t xml:space="preserve">, </w:t>
      </w:r>
      <w:hyperlink r:id="rId144" w:history="1">
        <w:r w:rsidRPr="00F41187">
          <w:rPr>
            <w:rFonts w:ascii="Myriad Pro" w:hAnsi="Myriad Pro"/>
            <w:b/>
            <w:snapToGrid/>
            <w:color w:val="0000FF"/>
            <w:sz w:val="20"/>
            <w:u w:val="single"/>
          </w:rPr>
          <w:t>NL</w:t>
        </w:r>
      </w:hyperlink>
      <w:r w:rsidRPr="00F41187">
        <w:rPr>
          <w:rFonts w:ascii="Myriad Pro" w:hAnsi="Myriad Pro"/>
          <w:b/>
          <w:snapToGrid/>
          <w:color w:val="538135"/>
          <w:sz w:val="20"/>
        </w:rPr>
        <w:t xml:space="preserve">, </w:t>
      </w:r>
      <w:hyperlink r:id="rId145" w:history="1">
        <w:r w:rsidRPr="00F41187">
          <w:rPr>
            <w:rFonts w:ascii="Myriad Pro" w:hAnsi="Myriad Pro"/>
            <w:b/>
            <w:snapToGrid/>
            <w:color w:val="0000FF"/>
            <w:sz w:val="20"/>
            <w:u w:val="single"/>
          </w:rPr>
          <w:t>PL</w:t>
        </w:r>
      </w:hyperlink>
      <w:r w:rsidRPr="00F41187">
        <w:rPr>
          <w:rFonts w:ascii="Myriad Pro" w:hAnsi="Myriad Pro"/>
          <w:b/>
          <w:snapToGrid/>
          <w:color w:val="538135"/>
          <w:sz w:val="20"/>
        </w:rPr>
        <w:t xml:space="preserve">, </w:t>
      </w:r>
      <w:hyperlink r:id="rId146" w:history="1">
        <w:r w:rsidRPr="00F41187">
          <w:rPr>
            <w:rFonts w:ascii="Myriad Pro" w:hAnsi="Myriad Pro"/>
            <w:b/>
            <w:snapToGrid/>
            <w:color w:val="0000FF"/>
            <w:sz w:val="20"/>
            <w:u w:val="single"/>
          </w:rPr>
          <w:t>SV</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At A Glance “</w:t>
      </w:r>
      <w:hyperlink r:id="rId147" w:history="1">
        <w:r w:rsidRPr="00F41187">
          <w:rPr>
            <w:rFonts w:ascii="Myriad Pro" w:hAnsi="Myriad Pro"/>
            <w:b/>
            <w:snapToGrid/>
            <w:color w:val="0000FF"/>
            <w:sz w:val="20"/>
            <w:u w:val="single"/>
          </w:rPr>
          <w:t>How to overcome the “juste retour” obsession</w:t>
        </w:r>
      </w:hyperlink>
      <w:r w:rsidRPr="00F41187">
        <w:rPr>
          <w:rFonts w:ascii="Myriad Pro" w:hAnsi="Myriad Pro"/>
          <w:b/>
          <w:snapToGrid/>
          <w:color w:val="538135"/>
          <w:sz w:val="20"/>
        </w:rPr>
        <w:t xml:space="preserve">” (Available in </w:t>
      </w:r>
      <w:hyperlink r:id="rId148" w:history="1">
        <w:r w:rsidRPr="00F41187">
          <w:rPr>
            <w:rFonts w:ascii="Myriad Pro" w:hAnsi="Myriad Pro"/>
            <w:b/>
            <w:snapToGrid/>
            <w:color w:val="0000FF"/>
            <w:sz w:val="20"/>
            <w:u w:val="single"/>
          </w:rPr>
          <w:t>DA</w:t>
        </w:r>
      </w:hyperlink>
      <w:r w:rsidRPr="00F41187">
        <w:rPr>
          <w:rFonts w:ascii="Myriad Pro" w:hAnsi="Myriad Pro"/>
          <w:b/>
          <w:snapToGrid/>
          <w:color w:val="538135"/>
          <w:sz w:val="20"/>
        </w:rPr>
        <w:t xml:space="preserve">, </w:t>
      </w:r>
      <w:hyperlink r:id="rId149" w:history="1">
        <w:r w:rsidRPr="00F41187">
          <w:rPr>
            <w:rFonts w:ascii="Myriad Pro" w:hAnsi="Myriad Pro"/>
            <w:b/>
            <w:snapToGrid/>
            <w:color w:val="0000FF"/>
            <w:sz w:val="20"/>
            <w:u w:val="single"/>
          </w:rPr>
          <w:t>DE</w:t>
        </w:r>
      </w:hyperlink>
      <w:r w:rsidRPr="00F41187">
        <w:rPr>
          <w:rFonts w:ascii="Myriad Pro" w:hAnsi="Myriad Pro"/>
          <w:b/>
          <w:snapToGrid/>
          <w:color w:val="538135"/>
          <w:sz w:val="20"/>
        </w:rPr>
        <w:t xml:space="preserve">, </w:t>
      </w:r>
      <w:hyperlink r:id="rId150" w:history="1">
        <w:r w:rsidRPr="00F41187">
          <w:rPr>
            <w:rFonts w:ascii="Myriad Pro" w:hAnsi="Myriad Pro"/>
            <w:b/>
            <w:snapToGrid/>
            <w:color w:val="0000FF"/>
            <w:sz w:val="20"/>
            <w:u w:val="single"/>
          </w:rPr>
          <w:t>ES</w:t>
        </w:r>
      </w:hyperlink>
      <w:r w:rsidRPr="00F41187">
        <w:rPr>
          <w:rFonts w:ascii="Myriad Pro" w:hAnsi="Myriad Pro"/>
          <w:b/>
          <w:snapToGrid/>
          <w:color w:val="538135"/>
          <w:sz w:val="20"/>
        </w:rPr>
        <w:t xml:space="preserve">, </w:t>
      </w:r>
      <w:hyperlink r:id="rId151" w:history="1">
        <w:r w:rsidRPr="00F41187">
          <w:rPr>
            <w:rFonts w:ascii="Myriad Pro" w:hAnsi="Myriad Pro"/>
            <w:b/>
            <w:snapToGrid/>
            <w:color w:val="0000FF"/>
            <w:sz w:val="20"/>
            <w:u w:val="single"/>
          </w:rPr>
          <w:t>FR,</w:t>
        </w:r>
      </w:hyperlink>
      <w:r w:rsidRPr="00F41187">
        <w:rPr>
          <w:rFonts w:ascii="Myriad Pro" w:hAnsi="Myriad Pro"/>
          <w:b/>
          <w:snapToGrid/>
          <w:color w:val="538135"/>
          <w:sz w:val="20"/>
        </w:rPr>
        <w:t xml:space="preserve"> </w:t>
      </w:r>
      <w:hyperlink r:id="rId152" w:history="1">
        <w:r w:rsidRPr="00F41187">
          <w:rPr>
            <w:rFonts w:ascii="Myriad Pro" w:hAnsi="Myriad Pro"/>
            <w:b/>
            <w:snapToGrid/>
            <w:color w:val="0000FF"/>
            <w:sz w:val="20"/>
            <w:u w:val="single"/>
          </w:rPr>
          <w:t>IT</w:t>
        </w:r>
      </w:hyperlink>
      <w:r w:rsidRPr="00F41187">
        <w:rPr>
          <w:rFonts w:ascii="Myriad Pro" w:hAnsi="Myriad Pro"/>
          <w:b/>
          <w:snapToGrid/>
          <w:color w:val="538135"/>
          <w:sz w:val="20"/>
        </w:rPr>
        <w:t xml:space="preserve">, </w:t>
      </w:r>
      <w:hyperlink r:id="rId153" w:history="1">
        <w:r w:rsidRPr="00F41187">
          <w:rPr>
            <w:rFonts w:ascii="Myriad Pro" w:hAnsi="Myriad Pro"/>
            <w:b/>
            <w:snapToGrid/>
            <w:color w:val="0000FF"/>
            <w:sz w:val="20"/>
            <w:u w:val="single"/>
          </w:rPr>
          <w:t>NL</w:t>
        </w:r>
      </w:hyperlink>
      <w:r w:rsidRPr="00F41187">
        <w:rPr>
          <w:rFonts w:ascii="Myriad Pro" w:hAnsi="Myriad Pro"/>
          <w:b/>
          <w:snapToGrid/>
          <w:color w:val="538135"/>
          <w:sz w:val="20"/>
        </w:rPr>
        <w:t xml:space="preserve">, </w:t>
      </w:r>
      <w:hyperlink r:id="rId154" w:history="1">
        <w:r w:rsidRPr="00F41187">
          <w:rPr>
            <w:rFonts w:ascii="Myriad Pro" w:hAnsi="Myriad Pro"/>
            <w:b/>
            <w:snapToGrid/>
            <w:color w:val="0000FF"/>
            <w:sz w:val="20"/>
            <w:u w:val="single"/>
          </w:rPr>
          <w:t>PL</w:t>
        </w:r>
      </w:hyperlink>
      <w:r w:rsidRPr="00F41187">
        <w:rPr>
          <w:rFonts w:ascii="Myriad Pro" w:hAnsi="Myriad Pro"/>
          <w:b/>
          <w:snapToGrid/>
          <w:color w:val="538135"/>
          <w:sz w:val="20"/>
        </w:rPr>
        <w:t xml:space="preserve">, </w:t>
      </w:r>
      <w:hyperlink r:id="rId155" w:history="1">
        <w:r w:rsidRPr="00F41187">
          <w:rPr>
            <w:rFonts w:ascii="Myriad Pro" w:hAnsi="Myriad Pro"/>
            <w:b/>
            <w:snapToGrid/>
            <w:color w:val="0000FF"/>
            <w:sz w:val="20"/>
            <w:u w:val="single"/>
          </w:rPr>
          <w:t>SV</w:t>
        </w:r>
      </w:hyperlink>
      <w:r w:rsidRPr="00F41187">
        <w:rPr>
          <w:rFonts w:ascii="Myriad Pro" w:hAnsi="Myriad Pro"/>
          <w:b/>
          <w:snapToGrid/>
          <w:color w:val="538135"/>
          <w:sz w:val="20"/>
        </w:rPr>
        <w:t>)</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p>
    <w:p w:rsidR="00777D87" w:rsidRPr="00F41187" w:rsidRDefault="00777D87" w:rsidP="00726BB4">
      <w:pPr>
        <w:widowControl/>
        <w:spacing w:after="80" w:line="259" w:lineRule="auto"/>
        <w:ind w:left="-567" w:right="-306" w:firstLine="283"/>
        <w:rPr>
          <w:rFonts w:ascii="Myriad Pro" w:eastAsia="Calibri" w:hAnsi="Myriad Pro" w:cs="Arial"/>
          <w:b/>
          <w:snapToGrid/>
          <w:sz w:val="20"/>
        </w:rPr>
      </w:pPr>
    </w:p>
    <w:p w:rsidR="00777D87" w:rsidRPr="00F41187" w:rsidRDefault="00777D87" w:rsidP="00726BB4">
      <w:pPr>
        <w:widowControl/>
        <w:spacing w:after="80" w:line="259" w:lineRule="auto"/>
        <w:ind w:left="-567" w:right="-306" w:firstLine="283"/>
        <w:rPr>
          <w:rFonts w:ascii="Myriad Pro" w:eastAsia="Calibri" w:hAnsi="Myriad Pro" w:cs="Arial"/>
          <w:b/>
          <w:snapToGrid/>
          <w:sz w:val="20"/>
        </w:rPr>
      </w:pPr>
      <w:r w:rsidRPr="00F41187">
        <w:rPr>
          <w:rFonts w:ascii="Myriad Pro" w:hAnsi="Myriad Pro"/>
          <w:b/>
          <w:snapToGrid/>
          <w:sz w:val="20"/>
        </w:rPr>
        <w:t>Forthcoming Publications</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CONT</w:t>
      </w:r>
    </w:p>
    <w:p w:rsidR="00777D87" w:rsidRPr="00F41187"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 Study ‘The largest 50 beneficiaries in each EU Member State of CAP and cohesion funds’</w:t>
      </w:r>
    </w:p>
    <w:p w:rsidR="00777D87" w:rsidRPr="00F41187"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 Study ‘MEP’s pension rights before and after the Members Statute in 2009’</w:t>
      </w:r>
    </w:p>
    <w:p w:rsidR="00777D87" w:rsidRPr="00F41187"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rPr>
      </w:pPr>
    </w:p>
    <w:p w:rsidR="00777D87" w:rsidRPr="00F41187" w:rsidRDefault="00777D87" w:rsidP="00726BB4">
      <w:pPr>
        <w:widowControl/>
        <w:spacing w:after="160" w:line="259" w:lineRule="auto"/>
        <w:ind w:firstLine="283"/>
        <w:rPr>
          <w:rFonts w:ascii="Myriad Pro" w:eastAsia="Calibri" w:hAnsi="Myriad Pro" w:cs="Arial"/>
          <w:b/>
          <w:snapToGrid/>
          <w:sz w:val="20"/>
        </w:rPr>
      </w:pPr>
      <w:r w:rsidRPr="00F41187">
        <w:br w:type="page"/>
      </w:r>
    </w:p>
    <w:p w:rsidR="00777D87" w:rsidRPr="00F41187" w:rsidRDefault="00777D87" w:rsidP="00726BB4">
      <w:pPr>
        <w:widowControl/>
        <w:spacing w:after="80" w:line="259" w:lineRule="auto"/>
        <w:ind w:left="-567" w:right="-306" w:firstLine="283"/>
        <w:rPr>
          <w:rFonts w:ascii="Myriad Pro" w:eastAsia="Calibri" w:hAnsi="Myriad Pro" w:cs="Arial"/>
          <w:b/>
          <w:snapToGrid/>
          <w:sz w:val="20"/>
        </w:rPr>
      </w:pPr>
    </w:p>
    <w:p w:rsidR="00777D87" w:rsidRPr="00F41187" w:rsidRDefault="00777D87" w:rsidP="00726BB4">
      <w:pPr>
        <w:widowControl/>
        <w:spacing w:after="80" w:line="259" w:lineRule="auto"/>
        <w:ind w:left="-567" w:right="-306" w:firstLine="283"/>
        <w:rPr>
          <w:rFonts w:ascii="Myriad Pro" w:eastAsia="Calibri" w:hAnsi="Myriad Pro" w:cs="Arial"/>
          <w:b/>
          <w:snapToGrid/>
          <w:sz w:val="20"/>
        </w:rPr>
      </w:pPr>
      <w:r w:rsidRPr="00F41187">
        <w:rPr>
          <w:rFonts w:ascii="Myriad Pro" w:hAnsi="Myriad Pro"/>
          <w:b/>
          <w:snapToGrid/>
          <w:sz w:val="20"/>
        </w:rPr>
        <w:t>Forthcoming Events</w:t>
      </w:r>
    </w:p>
    <w:p w:rsidR="00777D87" w:rsidRPr="00F41187" w:rsidRDefault="00777D87" w:rsidP="00726BB4">
      <w:pPr>
        <w:widowControl/>
        <w:shd w:val="clear" w:color="auto" w:fill="E2EFD9"/>
        <w:ind w:left="-567" w:right="-306" w:firstLine="283"/>
        <w:rPr>
          <w:rFonts w:ascii="Myriad Pro" w:eastAsia="Calibri" w:hAnsi="Myriad Pro" w:cs="Arial"/>
          <w:b/>
          <w:snapToGrid/>
          <w:color w:val="538135"/>
          <w:sz w:val="20"/>
        </w:rPr>
      </w:pPr>
    </w:p>
    <w:p w:rsidR="00777D87" w:rsidRPr="00F41187" w:rsidRDefault="00777D87" w:rsidP="00726BB4">
      <w:pPr>
        <w:widowControl/>
        <w:shd w:val="clear" w:color="auto" w:fill="E2EFD9"/>
        <w:spacing w:line="259" w:lineRule="auto"/>
        <w:ind w:left="-567" w:right="-306" w:firstLine="283"/>
        <w:rPr>
          <w:rFonts w:ascii="Myriad Pro" w:eastAsia="Calibri" w:hAnsi="Myriad Pro" w:cs="Arial"/>
          <w:b/>
          <w:i/>
          <w:snapToGrid/>
          <w:color w:val="538135"/>
          <w:sz w:val="20"/>
        </w:rPr>
      </w:pPr>
      <w:r w:rsidRPr="00F41187">
        <w:rPr>
          <w:rFonts w:ascii="Myriad Pro" w:hAnsi="Myriad Pro"/>
          <w:b/>
          <w:snapToGrid/>
          <w:color w:val="538135"/>
          <w:sz w:val="20"/>
        </w:rPr>
        <w:t>CONT Workshop on “Open spaces at EU institutions versus traditional work spaces: justification, evolution, evaluation and results” -</w:t>
      </w:r>
      <w:r w:rsidRPr="00F41187">
        <w:rPr>
          <w:rFonts w:ascii="Myriad Pro" w:hAnsi="Myriad Pro"/>
          <w:b/>
          <w:i/>
          <w:snapToGrid/>
          <w:color w:val="538135"/>
          <w:sz w:val="20"/>
        </w:rPr>
        <w:t xml:space="preserve"> 29 October 2020</w:t>
      </w:r>
    </w:p>
    <w:p w:rsidR="00777D87" w:rsidRPr="00F41187" w:rsidRDefault="00777D87" w:rsidP="00726BB4">
      <w:pPr>
        <w:widowControl/>
        <w:shd w:val="clear" w:color="auto" w:fill="E2EFD9"/>
        <w:spacing w:line="259" w:lineRule="auto"/>
        <w:ind w:left="-567" w:right="-306" w:firstLine="283"/>
        <w:rPr>
          <w:rFonts w:ascii="Myriad Pro" w:eastAsia="Calibri" w:hAnsi="Myriad Pro" w:cs="Arial"/>
          <w:b/>
          <w:i/>
          <w:snapToGrid/>
          <w:color w:val="538135"/>
          <w:sz w:val="20"/>
        </w:rPr>
      </w:pPr>
    </w:p>
    <w:p w:rsidR="00777D87" w:rsidRPr="00F41187"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rPr>
      </w:pPr>
      <w:r w:rsidRPr="00F41187">
        <w:rPr>
          <w:rFonts w:ascii="Myriad Pro" w:hAnsi="Myriad Pro"/>
          <w:b/>
          <w:snapToGrid/>
          <w:color w:val="538135"/>
          <w:sz w:val="20"/>
        </w:rPr>
        <w:t>CONT Study presentation on “Horizon 2020: Geographical balance of beneficiaries”</w:t>
      </w:r>
    </w:p>
    <w:p w:rsidR="00777D87" w:rsidRPr="00F41187" w:rsidRDefault="00777D87" w:rsidP="00726BB4">
      <w:pPr>
        <w:widowControl/>
        <w:shd w:val="clear" w:color="auto" w:fill="E2EFD9"/>
        <w:spacing w:line="259" w:lineRule="auto"/>
        <w:ind w:left="-567" w:right="-306" w:firstLine="283"/>
        <w:rPr>
          <w:rFonts w:ascii="Myriad Pro" w:eastAsia="Calibri" w:hAnsi="Myriad Pro" w:cs="Arial"/>
          <w:b/>
          <w:snapToGrid/>
          <w:color w:val="538135"/>
          <w:sz w:val="20"/>
        </w:rPr>
      </w:pPr>
    </w:p>
    <w:p w:rsidR="00777D87" w:rsidRPr="00F41187" w:rsidRDefault="00777D87" w:rsidP="00726BB4">
      <w:pPr>
        <w:widowControl/>
        <w:spacing w:after="160" w:line="259" w:lineRule="auto"/>
        <w:ind w:left="-567" w:firstLine="283"/>
        <w:jc w:val="both"/>
        <w:rPr>
          <w:rFonts w:ascii="Myriad Pro" w:eastAsia="Calibri" w:hAnsi="Myriad Pro"/>
          <w:snapToGrid/>
          <w:sz w:val="20"/>
        </w:rPr>
      </w:pPr>
    </w:p>
    <w:p w:rsidR="00777D87" w:rsidRPr="00F41187" w:rsidRDefault="00777D87" w:rsidP="00726BB4">
      <w:pPr>
        <w:widowControl/>
        <w:spacing w:after="160" w:line="259" w:lineRule="auto"/>
        <w:ind w:left="-567" w:firstLine="283"/>
        <w:jc w:val="both"/>
        <w:rPr>
          <w:rFonts w:ascii="Myriad Pro" w:eastAsia="Calibri" w:hAnsi="Myriad Pro"/>
          <w:snapToGrid/>
          <w:sz w:val="20"/>
        </w:rPr>
      </w:pPr>
      <w:r w:rsidRPr="00F41187">
        <w:rPr>
          <w:rFonts w:ascii="Myriad Pro" w:hAnsi="Myriad Pro"/>
          <w:snapToGrid/>
          <w:sz w:val="20"/>
        </w:rPr>
        <w:t xml:space="preserve">The European Parliament has concluded a </w:t>
      </w:r>
      <w:r w:rsidRPr="00F41187">
        <w:rPr>
          <w:rFonts w:ascii="Myriad Pro" w:hAnsi="Myriad Pro"/>
          <w:b/>
          <w:bCs/>
          <w:snapToGrid/>
          <w:sz w:val="20"/>
        </w:rPr>
        <w:t>new framework contract on external expertise</w:t>
      </w:r>
      <w:r w:rsidRPr="00F41187">
        <w:rPr>
          <w:rFonts w:ascii="Myriad Pro" w:hAnsi="Myriad Pro"/>
          <w:snapToGrid/>
          <w:sz w:val="20"/>
        </w:rPr>
        <w:t xml:space="preserve"> in the field of budgetary affairs, mainly for the BUDG and CONT committees. Following on a public call for tenders, seven bids have been received, checked and evaluated. Service contracts for the years 2020-24 have been signed with the following consultancies and think-tanks: </w:t>
      </w:r>
    </w:p>
    <w:p w:rsidR="00777D87" w:rsidRPr="00F41187" w:rsidRDefault="00777D87" w:rsidP="00726BB4">
      <w:pPr>
        <w:widowControl/>
        <w:spacing w:after="160" w:line="259" w:lineRule="auto"/>
        <w:ind w:left="-567" w:firstLine="283"/>
        <w:rPr>
          <w:rFonts w:ascii="Myriad Pro" w:eastAsia="Calibri" w:hAnsi="Myriad Pro"/>
          <w:snapToGrid/>
          <w:sz w:val="20"/>
        </w:rPr>
      </w:pPr>
      <w:r w:rsidRPr="00F41187">
        <w:rPr>
          <w:rFonts w:ascii="Myriad Pro" w:hAnsi="Myriad Pro"/>
          <w:b/>
          <w:bCs/>
          <w:snapToGrid/>
          <w:sz w:val="20"/>
        </w:rPr>
        <w:t>AEGIS</w:t>
      </w:r>
      <w:r w:rsidRPr="00F41187">
        <w:rPr>
          <w:rFonts w:ascii="Myriad Pro" w:hAnsi="Myriad Pro"/>
          <w:snapToGrid/>
          <w:sz w:val="20"/>
        </w:rPr>
        <w:t>, a network of academics from different universities, the main partners from Spain, Germany and Italy;</w:t>
      </w:r>
    </w:p>
    <w:p w:rsidR="00777D87" w:rsidRPr="00F41187" w:rsidRDefault="00777D87" w:rsidP="00726BB4">
      <w:pPr>
        <w:widowControl/>
        <w:spacing w:after="160" w:line="259" w:lineRule="auto"/>
        <w:ind w:left="-567" w:firstLine="283"/>
        <w:rPr>
          <w:rFonts w:ascii="Myriad Pro" w:eastAsia="Calibri" w:hAnsi="Myriad Pro"/>
          <w:snapToGrid/>
          <w:sz w:val="20"/>
        </w:rPr>
      </w:pPr>
      <w:r w:rsidRPr="00F41187">
        <w:rPr>
          <w:rFonts w:ascii="Myriad Pro" w:hAnsi="Myriad Pro"/>
          <w:b/>
          <w:bCs/>
          <w:snapToGrid/>
          <w:sz w:val="20"/>
        </w:rPr>
        <w:t>Blomeyer &amp; Sanz Ltd</w:t>
      </w:r>
      <w:r w:rsidRPr="00F41187">
        <w:rPr>
          <w:rFonts w:ascii="Myriad Pro" w:hAnsi="Myriad Pro"/>
          <w:snapToGrid/>
          <w:sz w:val="20"/>
        </w:rPr>
        <w:t>., based in Spain, leading a group of institutes from Austria, Czechia, Germany, Italy and Poland;</w:t>
      </w:r>
    </w:p>
    <w:p w:rsidR="00777D87" w:rsidRPr="00F41187" w:rsidRDefault="00777D87" w:rsidP="00726BB4">
      <w:pPr>
        <w:widowControl/>
        <w:spacing w:after="160" w:line="259" w:lineRule="auto"/>
        <w:ind w:left="-567" w:firstLine="283"/>
        <w:rPr>
          <w:rFonts w:ascii="Myriad Pro" w:eastAsia="Calibri" w:hAnsi="Myriad Pro"/>
          <w:b/>
          <w:bCs/>
          <w:snapToGrid/>
          <w:sz w:val="20"/>
        </w:rPr>
      </w:pPr>
    </w:p>
    <w:p w:rsidR="00777D87" w:rsidRPr="00F41187" w:rsidRDefault="00777D87" w:rsidP="00726BB4">
      <w:pPr>
        <w:widowControl/>
        <w:spacing w:after="160" w:line="259" w:lineRule="auto"/>
        <w:ind w:left="-567" w:firstLine="283"/>
        <w:rPr>
          <w:rFonts w:ascii="Myriad Pro" w:eastAsia="Calibri" w:hAnsi="Myriad Pro"/>
          <w:snapToGrid/>
          <w:sz w:val="20"/>
        </w:rPr>
      </w:pPr>
      <w:r w:rsidRPr="00F41187">
        <w:rPr>
          <w:rFonts w:ascii="Myriad Pro" w:hAnsi="Myriad Pro"/>
          <w:b/>
          <w:bCs/>
          <w:snapToGrid/>
          <w:sz w:val="20"/>
        </w:rPr>
        <w:t>Centre for European Policy Studies (CEPS)</w:t>
      </w:r>
      <w:r w:rsidRPr="00F41187">
        <w:rPr>
          <w:rFonts w:ascii="Myriad Pro" w:hAnsi="Myriad Pro"/>
          <w:snapToGrid/>
          <w:sz w:val="20"/>
        </w:rPr>
        <w:t>, a research think-tank from Brussels, with partners from Belgium, France, Latvia and UK;</w:t>
      </w:r>
    </w:p>
    <w:p w:rsidR="00777D87" w:rsidRPr="00F41187" w:rsidRDefault="00777D87" w:rsidP="00726BB4">
      <w:pPr>
        <w:widowControl/>
        <w:spacing w:after="160" w:line="259" w:lineRule="auto"/>
        <w:ind w:left="-567" w:firstLine="283"/>
        <w:rPr>
          <w:rFonts w:ascii="Myriad Pro" w:eastAsia="Calibri" w:hAnsi="Myriad Pro"/>
          <w:snapToGrid/>
          <w:sz w:val="20"/>
        </w:rPr>
      </w:pPr>
      <w:r w:rsidRPr="00F41187">
        <w:rPr>
          <w:rFonts w:ascii="Myriad Pro" w:hAnsi="Myriad Pro"/>
          <w:b/>
          <w:bCs/>
          <w:snapToGrid/>
          <w:sz w:val="20"/>
        </w:rPr>
        <w:t>Centre for Strategy &amp; Evaluation Services LLP (CSES)</w:t>
      </w:r>
      <w:r w:rsidRPr="00F41187">
        <w:rPr>
          <w:rFonts w:ascii="Myriad Pro" w:hAnsi="Myriad Pro"/>
          <w:snapToGrid/>
          <w:sz w:val="20"/>
        </w:rPr>
        <w:t>, a consultancy from UK and Ireland;</w:t>
      </w:r>
    </w:p>
    <w:p w:rsidR="00777D87" w:rsidRPr="00F41187" w:rsidRDefault="00777D87" w:rsidP="00726BB4">
      <w:pPr>
        <w:widowControl/>
        <w:spacing w:after="160" w:line="259" w:lineRule="auto"/>
        <w:ind w:left="-567" w:firstLine="283"/>
        <w:rPr>
          <w:rFonts w:ascii="Myriad Pro" w:eastAsia="Calibri" w:hAnsi="Myriad Pro"/>
          <w:snapToGrid/>
          <w:sz w:val="20"/>
        </w:rPr>
      </w:pPr>
      <w:r w:rsidRPr="00F41187">
        <w:rPr>
          <w:rFonts w:ascii="Myriad Pro" w:hAnsi="Myriad Pro"/>
          <w:b/>
          <w:bCs/>
          <w:snapToGrid/>
          <w:sz w:val="20"/>
        </w:rPr>
        <w:t>Deloitte Belgium</w:t>
      </w:r>
      <w:r w:rsidRPr="00F41187">
        <w:rPr>
          <w:rFonts w:ascii="Myriad Pro" w:hAnsi="Myriad Pro"/>
          <w:snapToGrid/>
          <w:sz w:val="20"/>
        </w:rPr>
        <w:t>, an audit company;</w:t>
      </w:r>
    </w:p>
    <w:p w:rsidR="00777D87" w:rsidRPr="00F41187" w:rsidRDefault="00777D87" w:rsidP="00726BB4">
      <w:pPr>
        <w:widowControl/>
        <w:spacing w:after="160" w:line="259" w:lineRule="auto"/>
        <w:ind w:left="-567" w:firstLine="283"/>
        <w:rPr>
          <w:rFonts w:ascii="Myriad Pro" w:eastAsia="Calibri" w:hAnsi="Myriad Pro"/>
          <w:snapToGrid/>
          <w:sz w:val="20"/>
        </w:rPr>
      </w:pPr>
      <w:r w:rsidRPr="00F41187">
        <w:rPr>
          <w:rFonts w:ascii="Myriad Pro" w:hAnsi="Myriad Pro"/>
          <w:b/>
          <w:bCs/>
          <w:snapToGrid/>
          <w:sz w:val="20"/>
        </w:rPr>
        <w:t>European Economic Research Ltd. (Europe-Economics)</w:t>
      </w:r>
      <w:r w:rsidRPr="00F41187">
        <w:rPr>
          <w:rFonts w:ascii="Myriad Pro" w:hAnsi="Myriad Pro"/>
          <w:snapToGrid/>
          <w:sz w:val="20"/>
        </w:rPr>
        <w:t>, a consultancy from UK;</w:t>
      </w:r>
    </w:p>
    <w:p w:rsidR="00777D87" w:rsidRPr="00F41187" w:rsidRDefault="00777D87" w:rsidP="00726BB4">
      <w:pPr>
        <w:widowControl/>
        <w:spacing w:after="160" w:line="259" w:lineRule="auto"/>
        <w:ind w:left="-567" w:firstLine="283"/>
        <w:rPr>
          <w:rFonts w:ascii="Myriad Pro" w:eastAsia="Calibri" w:hAnsi="Myriad Pro"/>
          <w:snapToGrid/>
          <w:sz w:val="20"/>
        </w:rPr>
      </w:pPr>
      <w:r w:rsidRPr="00F41187">
        <w:rPr>
          <w:rFonts w:ascii="Myriad Pro" w:hAnsi="Myriad Pro"/>
          <w:b/>
          <w:bCs/>
          <w:snapToGrid/>
          <w:sz w:val="20"/>
        </w:rPr>
        <w:t>Mr Ivailo KALFIN</w:t>
      </w:r>
      <w:r w:rsidRPr="00F41187">
        <w:rPr>
          <w:rFonts w:ascii="Myriad Pro" w:hAnsi="Myriad Pro"/>
          <w:snapToGrid/>
          <w:sz w:val="20"/>
        </w:rPr>
        <w:t>, a former MEP and former Minister in Bulgaria, with some associated experts.</w:t>
      </w:r>
    </w:p>
    <w:p w:rsidR="00777D87" w:rsidRPr="00F41187" w:rsidRDefault="00777D87" w:rsidP="00726BB4">
      <w:pPr>
        <w:widowControl/>
        <w:spacing w:after="160" w:line="259" w:lineRule="auto"/>
        <w:ind w:left="-567" w:firstLine="283"/>
        <w:rPr>
          <w:rFonts w:ascii="Myriad Pro" w:eastAsia="Calibri" w:hAnsi="Myriad Pro"/>
          <w:snapToGrid/>
          <w:sz w:val="20"/>
        </w:rPr>
      </w:pPr>
      <w:r w:rsidRPr="00F41187">
        <w:rPr>
          <w:rFonts w:ascii="Myriad Pro" w:hAnsi="Myriad Pro"/>
          <w:snapToGrid/>
          <w:sz w:val="20"/>
        </w:rPr>
        <w:t xml:space="preserve">For more information see the publication of the procurement outcome: </w:t>
      </w:r>
      <w:hyperlink r:id="rId156" w:history="1">
        <w:r w:rsidRPr="00F41187">
          <w:rPr>
            <w:rFonts w:ascii="Myriad Pro" w:hAnsi="Myriad Pro"/>
            <w:snapToGrid/>
            <w:color w:val="0000FF"/>
            <w:sz w:val="20"/>
            <w:u w:val="single"/>
          </w:rPr>
          <w:t>https://ted.europa.eu/udl?uri=TED:NOTICE:215928-2020:TEXT:EN:HTML</w:t>
        </w:r>
      </w:hyperlink>
      <w:r w:rsidRPr="00F41187">
        <w:rPr>
          <w:rFonts w:ascii="Myriad Pro" w:hAnsi="Myriad Pro"/>
          <w:snapToGrid/>
          <w:sz w:val="20"/>
        </w:rPr>
        <w:t xml:space="preserve"> or contact the Policy Department: </w:t>
      </w:r>
      <w:hyperlink r:id="rId157" w:history="1">
        <w:r w:rsidRPr="00F41187">
          <w:rPr>
            <w:rFonts w:ascii="Myriad Pro" w:hAnsi="Myriad Pro"/>
            <w:snapToGrid/>
            <w:color w:val="0000FF"/>
            <w:sz w:val="20"/>
            <w:u w:val="single"/>
          </w:rPr>
          <w:t>poldep-budg@europarl.europa.eu</w:t>
        </w:r>
      </w:hyperlink>
      <w:r w:rsidRPr="00F41187">
        <w:rPr>
          <w:rFonts w:ascii="Myriad Pro" w:hAnsi="Myriad Pro"/>
          <w:snapToGrid/>
          <w:sz w:val="20"/>
        </w:rPr>
        <w:t xml:space="preserve"> </w:t>
      </w:r>
    </w:p>
    <w:p w:rsidR="00777D87" w:rsidRPr="00F41187" w:rsidRDefault="00777D87" w:rsidP="00726BB4">
      <w:pPr>
        <w:widowControl/>
        <w:spacing w:line="259" w:lineRule="auto"/>
        <w:ind w:left="-567" w:right="-306" w:firstLine="283"/>
        <w:rPr>
          <w:rFonts w:ascii="Myriad Pro" w:eastAsia="Calibri" w:hAnsi="Myriad Pro" w:cs="Arial"/>
          <w:b/>
          <w:snapToGrid/>
          <w:sz w:val="20"/>
        </w:rPr>
      </w:pPr>
      <w:r w:rsidRPr="00F41187">
        <w:rPr>
          <w:rFonts w:ascii="Myriad Pro" w:hAnsi="Myriad Pro"/>
          <w:b/>
          <w:snapToGrid/>
          <w:sz w:val="20"/>
        </w:rPr>
        <w:t>CONTACTS</w:t>
      </w:r>
    </w:p>
    <w:p w:rsidR="00777D87" w:rsidRPr="00F41187" w:rsidRDefault="00777D87" w:rsidP="00726BB4">
      <w:pPr>
        <w:widowControl/>
        <w:spacing w:line="259" w:lineRule="auto"/>
        <w:ind w:left="-567" w:right="-306" w:firstLine="283"/>
        <w:rPr>
          <w:rFonts w:ascii="Myriad Pro" w:eastAsia="Calibri" w:hAnsi="Myriad Pro" w:cs="Arial"/>
          <w:snapToGrid/>
          <w:sz w:val="20"/>
        </w:rPr>
      </w:pPr>
      <w:r w:rsidRPr="00F41187">
        <w:rPr>
          <w:rFonts w:ascii="Myriad Pro" w:hAnsi="Myriad Pro"/>
          <w:snapToGrid/>
          <w:sz w:val="20"/>
        </w:rPr>
        <w:t>Policy Department for Budgetary Affairs</w:t>
      </w:r>
    </w:p>
    <w:p w:rsidR="00777D87" w:rsidRPr="00F41187" w:rsidRDefault="00F41187" w:rsidP="00726BB4">
      <w:pPr>
        <w:widowControl/>
        <w:spacing w:line="259" w:lineRule="auto"/>
        <w:ind w:left="-567" w:right="-306" w:firstLine="283"/>
        <w:rPr>
          <w:rFonts w:ascii="Myriad Pro" w:eastAsia="Calibri" w:hAnsi="Myriad Pro" w:cs="Arial"/>
          <w:snapToGrid/>
          <w:color w:val="0000FF"/>
          <w:sz w:val="20"/>
          <w:u w:val="single"/>
        </w:rPr>
      </w:pPr>
      <w:hyperlink r:id="rId158" w:history="1">
        <w:r w:rsidR="00C826D6" w:rsidRPr="00F41187">
          <w:rPr>
            <w:rFonts w:ascii="Myriad Pro" w:hAnsi="Myriad Pro"/>
            <w:snapToGrid/>
            <w:color w:val="0000FF"/>
            <w:sz w:val="20"/>
            <w:u w:val="single"/>
          </w:rPr>
          <w:t>poldep-budg@ep.europa.eu</w:t>
        </w:r>
      </w:hyperlink>
    </w:p>
    <w:p w:rsidR="00777D87" w:rsidRPr="00F41187" w:rsidRDefault="00F41187" w:rsidP="00726BB4">
      <w:pPr>
        <w:widowControl/>
        <w:spacing w:line="259" w:lineRule="auto"/>
        <w:ind w:left="-567" w:right="-306" w:firstLine="283"/>
        <w:rPr>
          <w:rFonts w:ascii="Myriad Pro" w:eastAsia="Calibri" w:hAnsi="Myriad Pro"/>
          <w:b/>
          <w:snapToGrid/>
          <w:color w:val="595959"/>
          <w:sz w:val="20"/>
        </w:rPr>
      </w:pPr>
      <w:hyperlink r:id="rId159" w:history="1">
        <w:r w:rsidR="00C826D6" w:rsidRPr="00F41187">
          <w:rPr>
            <w:rFonts w:ascii="Myriad Pro" w:hAnsi="Myriad Pro"/>
            <w:snapToGrid/>
            <w:color w:val="0000FF"/>
            <w:sz w:val="20"/>
            <w:u w:val="single"/>
          </w:rPr>
          <w:t>Policy Department Webpage</w:t>
        </w:r>
      </w:hyperlink>
    </w:p>
    <w:p w:rsidR="00777D87" w:rsidRPr="00F41187" w:rsidRDefault="00777D87" w:rsidP="00726BB4">
      <w:pPr>
        <w:widowControl/>
        <w:ind w:left="-567" w:firstLine="283"/>
        <w:rPr>
          <w:rFonts w:ascii="Myriad Pro" w:eastAsia="Calibri" w:hAnsi="Myriad Pro"/>
          <w:b/>
          <w:snapToGrid/>
          <w:color w:val="595959"/>
          <w:sz w:val="20"/>
          <w:u w:val="single"/>
        </w:rPr>
      </w:pPr>
    </w:p>
    <w:p w:rsidR="00777D87" w:rsidRPr="00F41187" w:rsidRDefault="00777D87" w:rsidP="00726BB4">
      <w:pPr>
        <w:widowControl/>
        <w:ind w:left="-567" w:firstLine="283"/>
        <w:rPr>
          <w:rFonts w:ascii="Myriad Pro" w:eastAsia="Calibri" w:hAnsi="Myriad Pro"/>
          <w:b/>
          <w:snapToGrid/>
          <w:color w:val="595959"/>
          <w:sz w:val="18"/>
          <w:szCs w:val="18"/>
          <w:u w:val="single"/>
        </w:rPr>
      </w:pPr>
    </w:p>
    <w:p w:rsidR="00777D87" w:rsidRPr="00F41187" w:rsidRDefault="00777D87" w:rsidP="00726BB4">
      <w:pPr>
        <w:widowControl/>
        <w:ind w:left="-567" w:firstLine="283"/>
        <w:rPr>
          <w:rFonts w:ascii="Myriad Pro" w:eastAsia="Calibri" w:hAnsi="Myriad Pro"/>
          <w:b/>
          <w:snapToGrid/>
          <w:color w:val="595959"/>
          <w:sz w:val="18"/>
          <w:szCs w:val="18"/>
          <w:u w:val="single"/>
        </w:rPr>
      </w:pPr>
    </w:p>
    <w:p w:rsidR="00777D87" w:rsidRPr="00F41187" w:rsidRDefault="00777D87" w:rsidP="00726BB4">
      <w:pPr>
        <w:widowControl/>
        <w:ind w:left="-567" w:firstLine="283"/>
        <w:rPr>
          <w:rFonts w:ascii="Myriad Pro" w:eastAsia="Calibri" w:hAnsi="Myriad Pro"/>
          <w:b/>
          <w:snapToGrid/>
          <w:color w:val="595959"/>
          <w:sz w:val="18"/>
          <w:szCs w:val="18"/>
          <w:u w:val="single"/>
        </w:rPr>
      </w:pPr>
    </w:p>
    <w:p w:rsidR="00777D87" w:rsidRPr="00F41187" w:rsidRDefault="00777D87" w:rsidP="00726BB4">
      <w:pPr>
        <w:widowControl/>
        <w:ind w:left="-567" w:firstLine="283"/>
        <w:rPr>
          <w:rFonts w:ascii="Myriad Pro" w:eastAsia="Calibri" w:hAnsi="Myriad Pro"/>
          <w:b/>
          <w:snapToGrid/>
          <w:color w:val="595959"/>
          <w:sz w:val="18"/>
          <w:szCs w:val="18"/>
          <w:u w:val="single"/>
        </w:rPr>
      </w:pPr>
    </w:p>
    <w:p w:rsidR="00777D87" w:rsidRPr="00F41187" w:rsidRDefault="00777D87" w:rsidP="00726BB4">
      <w:pPr>
        <w:widowControl/>
        <w:ind w:left="-567" w:firstLine="283"/>
        <w:rPr>
          <w:rFonts w:ascii="Myriad Pro" w:eastAsia="Calibri" w:hAnsi="Myriad Pro"/>
          <w:b/>
          <w:snapToGrid/>
          <w:color w:val="595959"/>
          <w:sz w:val="18"/>
          <w:szCs w:val="18"/>
          <w:u w:val="single"/>
        </w:rPr>
      </w:pPr>
    </w:p>
    <w:p w:rsidR="00777D87" w:rsidRPr="00F41187" w:rsidRDefault="00777D87" w:rsidP="00726BB4">
      <w:pPr>
        <w:widowControl/>
        <w:ind w:left="-567" w:firstLine="283"/>
        <w:rPr>
          <w:rFonts w:ascii="Myriad Pro" w:eastAsia="Calibri" w:hAnsi="Myriad Pro"/>
          <w:b/>
          <w:snapToGrid/>
          <w:color w:val="595959"/>
          <w:sz w:val="18"/>
          <w:szCs w:val="18"/>
          <w:u w:val="single"/>
        </w:rPr>
      </w:pPr>
      <w:r w:rsidRPr="00F41187">
        <w:rPr>
          <w:rFonts w:ascii="Myriad Pro" w:hAnsi="Myriad Pro"/>
          <w:b/>
          <w:snapToGrid/>
          <w:color w:val="595959"/>
          <w:sz w:val="18"/>
          <w:szCs w:val="18"/>
          <w:u w:val="single"/>
        </w:rPr>
        <w:t>Disclaimer</w:t>
      </w:r>
    </w:p>
    <w:p w:rsidR="00777D87" w:rsidRPr="00F41187" w:rsidRDefault="00777D87" w:rsidP="00726BB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right="401" w:firstLine="283"/>
        <w:jc w:val="both"/>
        <w:rPr>
          <w:rFonts w:ascii="Myriad Pro" w:hAnsi="Myriad Pro" w:cs="Arial"/>
          <w:snapToGrid/>
          <w:sz w:val="20"/>
        </w:rPr>
      </w:pPr>
      <w:r w:rsidRPr="00F41187">
        <w:rPr>
          <w:rFonts w:ascii="Myriad Pro" w:hAnsi="Myriad Pro"/>
          <w:b/>
          <w:iCs/>
          <w:snapToGrid/>
          <w:color w:val="595959"/>
          <w:sz w:val="18"/>
          <w:szCs w:val="18"/>
        </w:rPr>
        <w:t xml:space="preserve">The items contained herein are drafted by the Secretariat of the Budgetary Control Committee of the European Parliament and are provided for general information purposes only. The opinions expressed in this document are the sole responsibility of the author(s) and do not necessarily represent the official position of the European Parliament. This document may contain links to websites that are created and maintained by other organisations. The Secretariat does not necessarily endorse the view(s) expressed on these websites. </w:t>
      </w:r>
    </w:p>
    <w:p w:rsidR="00777D87" w:rsidRPr="00F41187" w:rsidRDefault="00777D87" w:rsidP="00726BB4">
      <w:pPr>
        <w:widowControl/>
        <w:ind w:left="-224" w:firstLine="283"/>
        <w:rPr>
          <w:rFonts w:ascii="Myriad Pro" w:hAnsi="Myriad Pro" w:cs="Arial"/>
          <w:snapToGrid/>
          <w:sz w:val="20"/>
        </w:rPr>
      </w:pPr>
    </w:p>
    <w:p w:rsidR="00777D87" w:rsidRPr="00F41187" w:rsidRDefault="00777D87" w:rsidP="00726BB4">
      <w:pPr>
        <w:pStyle w:val="AttendancePV"/>
        <w:ind w:firstLine="283"/>
      </w:pPr>
    </w:p>
    <w:sectPr w:rsidR="00777D87" w:rsidRPr="00F41187" w:rsidSect="001E4EBD">
      <w:footnotePr>
        <w:numRestart w:val="eachSect"/>
      </w:footnotePr>
      <w:pgSz w:w="11907" w:h="16840" w:code="9"/>
      <w:pgMar w:top="1134" w:right="1418" w:bottom="1418" w:left="1418"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1EA" w:rsidRPr="00311076" w:rsidRDefault="00A901EA">
      <w:r w:rsidRPr="00311076">
        <w:separator/>
      </w:r>
    </w:p>
    <w:p w:rsidR="00A901EA" w:rsidRPr="00311076" w:rsidRDefault="00A901EA"/>
  </w:endnote>
  <w:endnote w:type="continuationSeparator" w:id="0">
    <w:p w:rsidR="00A901EA" w:rsidRPr="00311076" w:rsidRDefault="00A901EA">
      <w:r w:rsidRPr="00311076">
        <w:continuationSeparator/>
      </w:r>
    </w:p>
    <w:p w:rsidR="00A901EA" w:rsidRPr="00311076" w:rsidRDefault="00A90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okChampa">
    <w:charset w:val="DE"/>
    <w:family w:val="swiss"/>
    <w:pitch w:val="variable"/>
    <w:sig w:usb0="00000000"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Myriad Pro">
    <w:panose1 w:val="020B0503030403020204"/>
    <w:charset w:val="00"/>
    <w:family w:val="swiss"/>
    <w:notTrueType/>
    <w:pitch w:val="variable"/>
    <w:sig w:usb0="A00002AF" w:usb1="5000204B"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ヒラギノ角ゴ Pro W3">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076" w:rsidRPr="00311076" w:rsidRDefault="00311076" w:rsidP="00311076">
    <w:pPr>
      <w:pStyle w:val="EPFooter"/>
    </w:pPr>
    <w:r w:rsidRPr="00311076">
      <w:t>PE</w:t>
    </w:r>
    <w:r w:rsidRPr="00311076">
      <w:rPr>
        <w:rStyle w:val="HideTWBExt"/>
        <w:noProof w:val="0"/>
      </w:rPr>
      <w:t>&lt;NoPE&gt;</w:t>
    </w:r>
    <w:r w:rsidRPr="00311076">
      <w:t>661.827</w:t>
    </w:r>
    <w:r w:rsidRPr="00311076">
      <w:rPr>
        <w:rStyle w:val="HideTWBExt"/>
        <w:noProof w:val="0"/>
      </w:rPr>
      <w:t>&lt;/NoPE&gt;&lt;Version&gt;</w:t>
    </w:r>
    <w:r w:rsidRPr="00311076">
      <w:t>v01-00</w:t>
    </w:r>
    <w:r w:rsidRPr="00311076">
      <w:rPr>
        <w:rStyle w:val="HideTWBExt"/>
        <w:noProof w:val="0"/>
      </w:rPr>
      <w:t>&lt;/Version&gt;</w:t>
    </w:r>
    <w:r w:rsidRPr="00311076">
      <w:tab/>
    </w:r>
    <w:r w:rsidRPr="00311076">
      <w:fldChar w:fldCharType="begin"/>
    </w:r>
    <w:r w:rsidRPr="00311076">
      <w:instrText xml:space="preserve"> PAGE  \* MERGEFORMAT </w:instrText>
    </w:r>
    <w:r w:rsidRPr="00311076">
      <w:fldChar w:fldCharType="separate"/>
    </w:r>
    <w:r w:rsidR="00F41187">
      <w:rPr>
        <w:noProof/>
      </w:rPr>
      <w:t>22</w:t>
    </w:r>
    <w:r w:rsidRPr="00311076">
      <w:fldChar w:fldCharType="end"/>
    </w:r>
    <w:r w:rsidRPr="00311076">
      <w:t>/</w:t>
    </w:r>
    <w:fldSimple w:instr=" NUMPAGES  \* MERGEFORMAT ">
      <w:r w:rsidR="00F41187">
        <w:rPr>
          <w:noProof/>
        </w:rPr>
        <w:t>23</w:t>
      </w:r>
    </w:fldSimple>
    <w:r w:rsidRPr="00311076">
      <w:tab/>
    </w:r>
    <w:r w:rsidRPr="00311076">
      <w:rPr>
        <w:rStyle w:val="HideTWBExt"/>
        <w:noProof w:val="0"/>
      </w:rPr>
      <w:t>&lt;PathFdR&gt;</w:t>
    </w:r>
    <w:r w:rsidRPr="00311076">
      <w:t>PV\1219186PT.docx</w:t>
    </w:r>
    <w:r w:rsidRPr="00311076">
      <w:rPr>
        <w:rStyle w:val="HideTWBExt"/>
        <w:noProof w:val="0"/>
      </w:rPr>
      <w:t>&lt;/PathFdR&gt;</w:t>
    </w:r>
  </w:p>
  <w:p w:rsidR="00A901EA" w:rsidRPr="00311076" w:rsidRDefault="00311076" w:rsidP="00311076">
    <w:pPr>
      <w:pStyle w:val="EPFooter2"/>
    </w:pPr>
    <w:r w:rsidRPr="00311076">
      <w:t>PT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076" w:rsidRPr="00311076" w:rsidRDefault="00311076" w:rsidP="00311076">
    <w:pPr>
      <w:pStyle w:val="EPFooter"/>
    </w:pPr>
    <w:r w:rsidRPr="00311076">
      <w:rPr>
        <w:rStyle w:val="HideTWBExt"/>
        <w:noProof w:val="0"/>
      </w:rPr>
      <w:t>&lt;PathFdR&gt;</w:t>
    </w:r>
    <w:r w:rsidRPr="00311076">
      <w:t>PV\1219186PT.docx</w:t>
    </w:r>
    <w:r w:rsidRPr="00311076">
      <w:rPr>
        <w:rStyle w:val="HideTWBExt"/>
        <w:noProof w:val="0"/>
      </w:rPr>
      <w:t>&lt;/PathFdR&gt;</w:t>
    </w:r>
    <w:r w:rsidRPr="00311076">
      <w:tab/>
    </w:r>
    <w:r w:rsidRPr="00311076">
      <w:fldChar w:fldCharType="begin"/>
    </w:r>
    <w:r w:rsidRPr="00311076">
      <w:instrText xml:space="preserve"> PAGE  \* MERGEFORMAT </w:instrText>
    </w:r>
    <w:r w:rsidRPr="00311076">
      <w:fldChar w:fldCharType="separate"/>
    </w:r>
    <w:r w:rsidR="00F41187">
      <w:rPr>
        <w:noProof/>
      </w:rPr>
      <w:t>23</w:t>
    </w:r>
    <w:r w:rsidRPr="00311076">
      <w:fldChar w:fldCharType="end"/>
    </w:r>
    <w:r w:rsidRPr="00311076">
      <w:t>/</w:t>
    </w:r>
    <w:fldSimple w:instr=" NUMPAGES  \* MERGEFORMAT ">
      <w:r w:rsidR="00F41187">
        <w:rPr>
          <w:noProof/>
        </w:rPr>
        <w:t>23</w:t>
      </w:r>
    </w:fldSimple>
    <w:r w:rsidRPr="00311076">
      <w:tab/>
      <w:t>PE</w:t>
    </w:r>
    <w:r w:rsidRPr="00311076">
      <w:rPr>
        <w:rStyle w:val="HideTWBExt"/>
        <w:noProof w:val="0"/>
      </w:rPr>
      <w:t>&lt;NoPE&gt;</w:t>
    </w:r>
    <w:r w:rsidRPr="00311076">
      <w:t>661.827</w:t>
    </w:r>
    <w:r w:rsidRPr="00311076">
      <w:rPr>
        <w:rStyle w:val="HideTWBExt"/>
        <w:noProof w:val="0"/>
      </w:rPr>
      <w:t>&lt;/NoPE&gt;&lt;Version&gt;</w:t>
    </w:r>
    <w:r w:rsidRPr="00311076">
      <w:t>v01-00</w:t>
    </w:r>
    <w:r w:rsidRPr="00311076">
      <w:rPr>
        <w:rStyle w:val="HideTWBExt"/>
        <w:noProof w:val="0"/>
      </w:rPr>
      <w:t>&lt;/Version&gt;</w:t>
    </w:r>
  </w:p>
  <w:p w:rsidR="00A901EA" w:rsidRPr="00311076" w:rsidRDefault="00311076" w:rsidP="00311076">
    <w:pPr>
      <w:pStyle w:val="EPFooter2"/>
    </w:pPr>
    <w:r w:rsidRPr="00311076">
      <w:tab/>
    </w:r>
    <w:r w:rsidRPr="00311076">
      <w:tab/>
      <w:t>PT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076" w:rsidRPr="00311076" w:rsidRDefault="00311076" w:rsidP="00311076">
    <w:pPr>
      <w:pStyle w:val="EPFooter"/>
    </w:pPr>
    <w:r w:rsidRPr="00311076">
      <w:rPr>
        <w:rStyle w:val="HideTWBExt"/>
        <w:noProof w:val="0"/>
      </w:rPr>
      <w:t>&lt;PathFdR&gt;</w:t>
    </w:r>
    <w:r w:rsidRPr="00311076">
      <w:t>PV\1219186PT.docx</w:t>
    </w:r>
    <w:r w:rsidRPr="00311076">
      <w:rPr>
        <w:rStyle w:val="HideTWBExt"/>
        <w:noProof w:val="0"/>
      </w:rPr>
      <w:t>&lt;/PathFdR&gt;</w:t>
    </w:r>
    <w:r w:rsidRPr="00311076">
      <w:tab/>
    </w:r>
    <w:r w:rsidRPr="00311076">
      <w:tab/>
      <w:t>PE</w:t>
    </w:r>
    <w:r w:rsidRPr="00311076">
      <w:rPr>
        <w:rStyle w:val="HideTWBExt"/>
        <w:noProof w:val="0"/>
      </w:rPr>
      <w:t>&lt;NoPE&gt;</w:t>
    </w:r>
    <w:r w:rsidRPr="00311076">
      <w:t>661.827</w:t>
    </w:r>
    <w:r w:rsidRPr="00311076">
      <w:rPr>
        <w:rStyle w:val="HideTWBExt"/>
        <w:noProof w:val="0"/>
      </w:rPr>
      <w:t>&lt;/NoPE&gt;&lt;Version&gt;</w:t>
    </w:r>
    <w:r w:rsidRPr="00311076">
      <w:t>v01-00</w:t>
    </w:r>
    <w:r w:rsidRPr="00311076">
      <w:rPr>
        <w:rStyle w:val="HideTWBExt"/>
        <w:noProof w:val="0"/>
      </w:rPr>
      <w:t>&lt;/Version&gt;</w:t>
    </w:r>
  </w:p>
  <w:p w:rsidR="00A901EA" w:rsidRPr="00311076" w:rsidRDefault="00311076" w:rsidP="00311076">
    <w:pPr>
      <w:pStyle w:val="EPFooter2"/>
    </w:pPr>
    <w:r w:rsidRPr="00311076">
      <w:t>PT</w:t>
    </w:r>
    <w:r w:rsidRPr="00311076">
      <w:tab/>
    </w:r>
    <w:r w:rsidRPr="00311076">
      <w:rPr>
        <w:b w:val="0"/>
        <w:i/>
        <w:color w:val="C0C0C0"/>
        <w:sz w:val="22"/>
      </w:rPr>
      <w:t>Unida na diversidade</w:t>
    </w:r>
    <w:r w:rsidRPr="00311076">
      <w:tab/>
      <w:t>PT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1EA" w:rsidRPr="00311076" w:rsidRDefault="00A901EA">
      <w:r w:rsidRPr="00311076">
        <w:separator/>
      </w:r>
    </w:p>
    <w:p w:rsidR="00A901EA" w:rsidRPr="00311076" w:rsidRDefault="00A901EA"/>
  </w:footnote>
  <w:footnote w:type="continuationSeparator" w:id="0">
    <w:p w:rsidR="00A901EA" w:rsidRPr="00311076" w:rsidRDefault="00A901EA">
      <w:r w:rsidRPr="00311076">
        <w:continuationSeparator/>
      </w:r>
    </w:p>
    <w:p w:rsidR="00A901EA" w:rsidRPr="00311076" w:rsidRDefault="00A901E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FC0" w:rsidRDefault="009F4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FC0" w:rsidRDefault="009F4F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4FC0" w:rsidRDefault="009F4F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1EA" w:rsidRDefault="00A901EA" w:rsidP="00A901EA">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4DEA3"/>
    <w:multiLevelType w:val="multilevel"/>
    <w:tmpl w:val="4B8D0A22"/>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D50E9"/>
    <w:multiLevelType w:val="multilevel"/>
    <w:tmpl w:val="7B82119B"/>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6C53B7"/>
    <w:multiLevelType w:val="multilevel"/>
    <w:tmpl w:val="742184D5"/>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58130E"/>
    <w:multiLevelType w:val="multilevel"/>
    <w:tmpl w:val="47FC11E8"/>
    <w:lvl w:ilvl="0">
      <w:start w:val="1"/>
      <w:numFmt w:val="decimal"/>
      <w:pStyle w:val="PVxHeading"/>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2FC96B62"/>
    <w:multiLevelType w:val="multilevel"/>
    <w:tmpl w:val="554A4ECC"/>
    <w:styleLink w:val="Style11"/>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5F63AA"/>
    <w:multiLevelType w:val="multilevel"/>
    <w:tmpl w:val="08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2378ABF"/>
    <w:multiLevelType w:val="multilevel"/>
    <w:tmpl w:val="115C0F22"/>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5CF0CF9"/>
    <w:multiLevelType w:val="multilevel"/>
    <w:tmpl w:val="2F598F06"/>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3449E1"/>
    <w:multiLevelType w:val="hybridMultilevel"/>
    <w:tmpl w:val="FAF4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833CE"/>
    <w:multiLevelType w:val="multilevel"/>
    <w:tmpl w:val="74FC5176"/>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6089CCEB"/>
    <w:multiLevelType w:val="multilevel"/>
    <w:tmpl w:val="4775F4D7"/>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24D156"/>
    <w:multiLevelType w:val="multilevel"/>
    <w:tmpl w:val="2AF0730F"/>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963A61"/>
    <w:multiLevelType w:val="multilevel"/>
    <w:tmpl w:val="42601461"/>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2A142CF"/>
    <w:multiLevelType w:val="multilevel"/>
    <w:tmpl w:val="06CACCD7"/>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5C79D9C"/>
    <w:multiLevelType w:val="multilevel"/>
    <w:tmpl w:val="52FE20F3"/>
    <w:lvl w:ilvl="0">
      <w:start w:val="1"/>
      <w:numFmt w:val="bullet"/>
      <w:lvlText w:val=""/>
      <w:lvlJc w:val="left"/>
      <w:pPr>
        <w:tabs>
          <w:tab w:val="left" w:pos="1100"/>
        </w:tabs>
        <w:ind w:left="1100" w:hanging="400"/>
      </w:pPr>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3"/>
  </w:num>
  <w:num w:numId="9">
    <w:abstractNumId w:val="11"/>
  </w:num>
  <w:num w:numId="10">
    <w:abstractNumId w:val="1"/>
  </w:num>
  <w:num w:numId="11">
    <w:abstractNumId w:val="10"/>
  </w:num>
  <w:num w:numId="12">
    <w:abstractNumId w:val="13"/>
  </w:num>
  <w:num w:numId="13">
    <w:abstractNumId w:val="14"/>
  </w:num>
  <w:num w:numId="14">
    <w:abstractNumId w:val="7"/>
  </w:num>
  <w:num w:numId="15">
    <w:abstractNumId w:val="0"/>
  </w:num>
  <w:num w:numId="16">
    <w:abstractNumId w:val="2"/>
  </w:num>
  <w:num w:numId="17">
    <w:abstractNumId w:val="6"/>
  </w:num>
  <w:num w:numId="18">
    <w:abstractNumId w:val="12"/>
  </w:num>
  <w:num w:numId="19">
    <w:abstractNumId w:val="8"/>
  </w:num>
  <w:num w:numId="20">
    <w:abstractNumId w:val="5"/>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KEY" w:val="CONT"/>
    <w:docVar w:name="LastEditedSection" w:val=" 2"/>
    <w:docVar w:name="MEETMNU" w:val=" 1"/>
    <w:docVar w:name="STOREDT1" w:val="15/10/2020"/>
    <w:docVar w:name="strDocTypeID" w:val="PVx"/>
    <w:docVar w:name="strSubDir" w:val="1219"/>
    <w:docVar w:name="TXTLANGUE" w:val="EN"/>
    <w:docVar w:name="TXTLANGUEMIN" w:val="en"/>
    <w:docVar w:name="TXTNRPE" w:val="661.827"/>
    <w:docVar w:name="TXTPEorAP" w:val="PE"/>
    <w:docVar w:name="TXTROUTE" w:val="PV\1219186EN.docx"/>
    <w:docVar w:name="TXTVERSION" w:val="01-00"/>
  </w:docVars>
  <w:rsids>
    <w:rsidRoot w:val="00A65DED"/>
    <w:rsid w:val="00007788"/>
    <w:rsid w:val="00021AD6"/>
    <w:rsid w:val="000265BD"/>
    <w:rsid w:val="00041A79"/>
    <w:rsid w:val="000533F1"/>
    <w:rsid w:val="000637F3"/>
    <w:rsid w:val="0006514D"/>
    <w:rsid w:val="00080681"/>
    <w:rsid w:val="00092111"/>
    <w:rsid w:val="0009235A"/>
    <w:rsid w:val="000952B6"/>
    <w:rsid w:val="000A769E"/>
    <w:rsid w:val="000B13F7"/>
    <w:rsid w:val="000B1C1A"/>
    <w:rsid w:val="000B727D"/>
    <w:rsid w:val="000C1967"/>
    <w:rsid w:val="000C46ED"/>
    <w:rsid w:val="000D4F53"/>
    <w:rsid w:val="000D5FD7"/>
    <w:rsid w:val="000E082D"/>
    <w:rsid w:val="000F0B40"/>
    <w:rsid w:val="000F6376"/>
    <w:rsid w:val="0011399B"/>
    <w:rsid w:val="00114A86"/>
    <w:rsid w:val="00115496"/>
    <w:rsid w:val="00115EB1"/>
    <w:rsid w:val="001173AC"/>
    <w:rsid w:val="00117BF4"/>
    <w:rsid w:val="00164E56"/>
    <w:rsid w:val="00175A4C"/>
    <w:rsid w:val="00176DCC"/>
    <w:rsid w:val="001813D5"/>
    <w:rsid w:val="001857BA"/>
    <w:rsid w:val="00190F58"/>
    <w:rsid w:val="00194506"/>
    <w:rsid w:val="0019636C"/>
    <w:rsid w:val="001A3AE0"/>
    <w:rsid w:val="001B7D29"/>
    <w:rsid w:val="001C4040"/>
    <w:rsid w:val="001D14AA"/>
    <w:rsid w:val="001E20EC"/>
    <w:rsid w:val="001E4EBD"/>
    <w:rsid w:val="0020777E"/>
    <w:rsid w:val="0022027F"/>
    <w:rsid w:val="00225BAF"/>
    <w:rsid w:val="0022750E"/>
    <w:rsid w:val="00236A0D"/>
    <w:rsid w:val="00250F5D"/>
    <w:rsid w:val="00251D85"/>
    <w:rsid w:val="0026136B"/>
    <w:rsid w:val="002659A2"/>
    <w:rsid w:val="00273DB4"/>
    <w:rsid w:val="002753C7"/>
    <w:rsid w:val="002870DD"/>
    <w:rsid w:val="002A27BB"/>
    <w:rsid w:val="002B7C53"/>
    <w:rsid w:val="002D74B5"/>
    <w:rsid w:val="002D7816"/>
    <w:rsid w:val="002E083E"/>
    <w:rsid w:val="002E1CB6"/>
    <w:rsid w:val="002E2B09"/>
    <w:rsid w:val="002E37A9"/>
    <w:rsid w:val="00311076"/>
    <w:rsid w:val="00316C24"/>
    <w:rsid w:val="00317AE4"/>
    <w:rsid w:val="00323589"/>
    <w:rsid w:val="003345F5"/>
    <w:rsid w:val="0033767A"/>
    <w:rsid w:val="00343EBA"/>
    <w:rsid w:val="003547F9"/>
    <w:rsid w:val="0036013B"/>
    <w:rsid w:val="00367FF0"/>
    <w:rsid w:val="00370637"/>
    <w:rsid w:val="00374A20"/>
    <w:rsid w:val="003A0A68"/>
    <w:rsid w:val="003A4EA4"/>
    <w:rsid w:val="003B1167"/>
    <w:rsid w:val="003B11A6"/>
    <w:rsid w:val="003B4372"/>
    <w:rsid w:val="003C12C7"/>
    <w:rsid w:val="003C7A12"/>
    <w:rsid w:val="003D1CBB"/>
    <w:rsid w:val="003E0A41"/>
    <w:rsid w:val="003E0BDE"/>
    <w:rsid w:val="003E0D2D"/>
    <w:rsid w:val="003E43F4"/>
    <w:rsid w:val="003E582C"/>
    <w:rsid w:val="003E67D2"/>
    <w:rsid w:val="003F18DC"/>
    <w:rsid w:val="00405A95"/>
    <w:rsid w:val="004062E2"/>
    <w:rsid w:val="004176E2"/>
    <w:rsid w:val="00431ECE"/>
    <w:rsid w:val="0045430B"/>
    <w:rsid w:val="00467244"/>
    <w:rsid w:val="00472CBA"/>
    <w:rsid w:val="004775FF"/>
    <w:rsid w:val="00481465"/>
    <w:rsid w:val="00481807"/>
    <w:rsid w:val="0048229C"/>
    <w:rsid w:val="00497850"/>
    <w:rsid w:val="004A2D31"/>
    <w:rsid w:val="004A4538"/>
    <w:rsid w:val="004A4927"/>
    <w:rsid w:val="004B094A"/>
    <w:rsid w:val="004B163A"/>
    <w:rsid w:val="004B6286"/>
    <w:rsid w:val="004B6A94"/>
    <w:rsid w:val="004C1E4A"/>
    <w:rsid w:val="004D6B1E"/>
    <w:rsid w:val="004E577D"/>
    <w:rsid w:val="004F1219"/>
    <w:rsid w:val="004F12D3"/>
    <w:rsid w:val="004F151F"/>
    <w:rsid w:val="004F6ED0"/>
    <w:rsid w:val="004F76B3"/>
    <w:rsid w:val="005019B0"/>
    <w:rsid w:val="00543EF6"/>
    <w:rsid w:val="00545823"/>
    <w:rsid w:val="00553CD4"/>
    <w:rsid w:val="0056777A"/>
    <w:rsid w:val="00571482"/>
    <w:rsid w:val="00574D4D"/>
    <w:rsid w:val="005828F0"/>
    <w:rsid w:val="00582FD5"/>
    <w:rsid w:val="005838E8"/>
    <w:rsid w:val="0059220C"/>
    <w:rsid w:val="00596A5E"/>
    <w:rsid w:val="005970B3"/>
    <w:rsid w:val="005A28B9"/>
    <w:rsid w:val="005A4857"/>
    <w:rsid w:val="005B7835"/>
    <w:rsid w:val="005C25B9"/>
    <w:rsid w:val="005D2A4F"/>
    <w:rsid w:val="005D2D78"/>
    <w:rsid w:val="005D4FEF"/>
    <w:rsid w:val="005D5A08"/>
    <w:rsid w:val="005D7428"/>
    <w:rsid w:val="005E11B3"/>
    <w:rsid w:val="005E2DEF"/>
    <w:rsid w:val="005E6C44"/>
    <w:rsid w:val="005F6C89"/>
    <w:rsid w:val="00601859"/>
    <w:rsid w:val="006132D6"/>
    <w:rsid w:val="00615488"/>
    <w:rsid w:val="006177F2"/>
    <w:rsid w:val="006275CD"/>
    <w:rsid w:val="00640211"/>
    <w:rsid w:val="006418F2"/>
    <w:rsid w:val="0064227F"/>
    <w:rsid w:val="00643758"/>
    <w:rsid w:val="00650AF2"/>
    <w:rsid w:val="00654687"/>
    <w:rsid w:val="00672690"/>
    <w:rsid w:val="00675887"/>
    <w:rsid w:val="0067649D"/>
    <w:rsid w:val="006B2516"/>
    <w:rsid w:val="006B2AF7"/>
    <w:rsid w:val="006C1AC2"/>
    <w:rsid w:val="006C52AC"/>
    <w:rsid w:val="006C6F0A"/>
    <w:rsid w:val="006D0C4F"/>
    <w:rsid w:val="006D2283"/>
    <w:rsid w:val="006D3CC8"/>
    <w:rsid w:val="006D6EB9"/>
    <w:rsid w:val="006E2C80"/>
    <w:rsid w:val="00704D52"/>
    <w:rsid w:val="0070508E"/>
    <w:rsid w:val="0070694C"/>
    <w:rsid w:val="00713B78"/>
    <w:rsid w:val="00714F25"/>
    <w:rsid w:val="007153A2"/>
    <w:rsid w:val="00726BB4"/>
    <w:rsid w:val="00754C89"/>
    <w:rsid w:val="00755125"/>
    <w:rsid w:val="00765523"/>
    <w:rsid w:val="00765E1E"/>
    <w:rsid w:val="0076749D"/>
    <w:rsid w:val="00777D87"/>
    <w:rsid w:val="00785E9B"/>
    <w:rsid w:val="00792939"/>
    <w:rsid w:val="00793FB9"/>
    <w:rsid w:val="00793FC2"/>
    <w:rsid w:val="00796645"/>
    <w:rsid w:val="007A3289"/>
    <w:rsid w:val="007B0C9D"/>
    <w:rsid w:val="007C674A"/>
    <w:rsid w:val="007D1D46"/>
    <w:rsid w:val="007D6B19"/>
    <w:rsid w:val="007E0B3D"/>
    <w:rsid w:val="007E5C31"/>
    <w:rsid w:val="00801684"/>
    <w:rsid w:val="00803FD1"/>
    <w:rsid w:val="00804AE1"/>
    <w:rsid w:val="0082592C"/>
    <w:rsid w:val="0083209D"/>
    <w:rsid w:val="0083601E"/>
    <w:rsid w:val="00844D91"/>
    <w:rsid w:val="008452E8"/>
    <w:rsid w:val="0087034E"/>
    <w:rsid w:val="00872F47"/>
    <w:rsid w:val="0088003A"/>
    <w:rsid w:val="0088601A"/>
    <w:rsid w:val="00891C54"/>
    <w:rsid w:val="00897306"/>
    <w:rsid w:val="008978D3"/>
    <w:rsid w:val="008A0730"/>
    <w:rsid w:val="008A5B14"/>
    <w:rsid w:val="008A7874"/>
    <w:rsid w:val="008B0D40"/>
    <w:rsid w:val="008C12BD"/>
    <w:rsid w:val="008C2A65"/>
    <w:rsid w:val="008C3BBA"/>
    <w:rsid w:val="008D4BA7"/>
    <w:rsid w:val="008D7AD4"/>
    <w:rsid w:val="008E131C"/>
    <w:rsid w:val="008E4DD5"/>
    <w:rsid w:val="008E68DC"/>
    <w:rsid w:val="008E6B98"/>
    <w:rsid w:val="008F6F69"/>
    <w:rsid w:val="008F7A17"/>
    <w:rsid w:val="00905F78"/>
    <w:rsid w:val="009119A3"/>
    <w:rsid w:val="00926DB0"/>
    <w:rsid w:val="009408CB"/>
    <w:rsid w:val="009515D1"/>
    <w:rsid w:val="00956466"/>
    <w:rsid w:val="00960270"/>
    <w:rsid w:val="009643F0"/>
    <w:rsid w:val="0097066F"/>
    <w:rsid w:val="00972263"/>
    <w:rsid w:val="00981D14"/>
    <w:rsid w:val="00984248"/>
    <w:rsid w:val="00992882"/>
    <w:rsid w:val="0099346B"/>
    <w:rsid w:val="009940F4"/>
    <w:rsid w:val="00994629"/>
    <w:rsid w:val="009D17C3"/>
    <w:rsid w:val="009D762D"/>
    <w:rsid w:val="009E0B27"/>
    <w:rsid w:val="009E24B6"/>
    <w:rsid w:val="009E7A82"/>
    <w:rsid w:val="009F4FC0"/>
    <w:rsid w:val="00A00F95"/>
    <w:rsid w:val="00A13D65"/>
    <w:rsid w:val="00A13DDE"/>
    <w:rsid w:val="00A16FC5"/>
    <w:rsid w:val="00A36A4E"/>
    <w:rsid w:val="00A427A6"/>
    <w:rsid w:val="00A44C95"/>
    <w:rsid w:val="00A5325A"/>
    <w:rsid w:val="00A6035E"/>
    <w:rsid w:val="00A6073D"/>
    <w:rsid w:val="00A65248"/>
    <w:rsid w:val="00A65DED"/>
    <w:rsid w:val="00A66B35"/>
    <w:rsid w:val="00A81EEA"/>
    <w:rsid w:val="00A87091"/>
    <w:rsid w:val="00A901EA"/>
    <w:rsid w:val="00A91422"/>
    <w:rsid w:val="00A92F32"/>
    <w:rsid w:val="00AA186A"/>
    <w:rsid w:val="00AB0669"/>
    <w:rsid w:val="00AB7DBA"/>
    <w:rsid w:val="00AC4D9A"/>
    <w:rsid w:val="00AC5E30"/>
    <w:rsid w:val="00AC660B"/>
    <w:rsid w:val="00AC70F9"/>
    <w:rsid w:val="00AD4CEB"/>
    <w:rsid w:val="00AE1834"/>
    <w:rsid w:val="00AF2827"/>
    <w:rsid w:val="00B01DC3"/>
    <w:rsid w:val="00B15084"/>
    <w:rsid w:val="00B2395C"/>
    <w:rsid w:val="00B408BE"/>
    <w:rsid w:val="00B44908"/>
    <w:rsid w:val="00B501B7"/>
    <w:rsid w:val="00B51AD5"/>
    <w:rsid w:val="00B93FBF"/>
    <w:rsid w:val="00BA4044"/>
    <w:rsid w:val="00BA464F"/>
    <w:rsid w:val="00BB057F"/>
    <w:rsid w:val="00BB0B38"/>
    <w:rsid w:val="00BC697F"/>
    <w:rsid w:val="00BC7215"/>
    <w:rsid w:val="00BD3F38"/>
    <w:rsid w:val="00BE20BF"/>
    <w:rsid w:val="00BF102E"/>
    <w:rsid w:val="00BF288C"/>
    <w:rsid w:val="00BF333A"/>
    <w:rsid w:val="00BF4AAA"/>
    <w:rsid w:val="00BF54D6"/>
    <w:rsid w:val="00C01C42"/>
    <w:rsid w:val="00C13E92"/>
    <w:rsid w:val="00C346F1"/>
    <w:rsid w:val="00C36FC4"/>
    <w:rsid w:val="00C46B37"/>
    <w:rsid w:val="00C634EF"/>
    <w:rsid w:val="00C63594"/>
    <w:rsid w:val="00C63E0B"/>
    <w:rsid w:val="00C64625"/>
    <w:rsid w:val="00C701DE"/>
    <w:rsid w:val="00C76C40"/>
    <w:rsid w:val="00C826D6"/>
    <w:rsid w:val="00C82F5B"/>
    <w:rsid w:val="00C90B1B"/>
    <w:rsid w:val="00CA2394"/>
    <w:rsid w:val="00CA53ED"/>
    <w:rsid w:val="00CA70CB"/>
    <w:rsid w:val="00CB12EE"/>
    <w:rsid w:val="00CC5762"/>
    <w:rsid w:val="00CC6E1E"/>
    <w:rsid w:val="00CD01A6"/>
    <w:rsid w:val="00CD0CF5"/>
    <w:rsid w:val="00CD4116"/>
    <w:rsid w:val="00CE29F4"/>
    <w:rsid w:val="00CE5AEB"/>
    <w:rsid w:val="00CF2BB3"/>
    <w:rsid w:val="00CF2D24"/>
    <w:rsid w:val="00CF45C4"/>
    <w:rsid w:val="00CF78F5"/>
    <w:rsid w:val="00D11A34"/>
    <w:rsid w:val="00D329C8"/>
    <w:rsid w:val="00D3380B"/>
    <w:rsid w:val="00D342CE"/>
    <w:rsid w:val="00D374CC"/>
    <w:rsid w:val="00D45997"/>
    <w:rsid w:val="00D6668F"/>
    <w:rsid w:val="00D915A9"/>
    <w:rsid w:val="00DA373C"/>
    <w:rsid w:val="00DB2330"/>
    <w:rsid w:val="00DB5CC6"/>
    <w:rsid w:val="00DB7BC4"/>
    <w:rsid w:val="00DC061F"/>
    <w:rsid w:val="00DC629C"/>
    <w:rsid w:val="00DC63A9"/>
    <w:rsid w:val="00DC7AF1"/>
    <w:rsid w:val="00DD64B7"/>
    <w:rsid w:val="00DF0DC8"/>
    <w:rsid w:val="00E14108"/>
    <w:rsid w:val="00E17EDA"/>
    <w:rsid w:val="00E21182"/>
    <w:rsid w:val="00E2213D"/>
    <w:rsid w:val="00E2660A"/>
    <w:rsid w:val="00E352CD"/>
    <w:rsid w:val="00E413A9"/>
    <w:rsid w:val="00E64BA6"/>
    <w:rsid w:val="00E6537C"/>
    <w:rsid w:val="00E8424C"/>
    <w:rsid w:val="00E85748"/>
    <w:rsid w:val="00E92D38"/>
    <w:rsid w:val="00EA0B23"/>
    <w:rsid w:val="00EA74BF"/>
    <w:rsid w:val="00EA7E10"/>
    <w:rsid w:val="00EB4FBD"/>
    <w:rsid w:val="00EC7932"/>
    <w:rsid w:val="00EE0704"/>
    <w:rsid w:val="00EE1928"/>
    <w:rsid w:val="00EE3F96"/>
    <w:rsid w:val="00EF2B19"/>
    <w:rsid w:val="00EF34BA"/>
    <w:rsid w:val="00F0068D"/>
    <w:rsid w:val="00F05E49"/>
    <w:rsid w:val="00F0751C"/>
    <w:rsid w:val="00F124C7"/>
    <w:rsid w:val="00F24FAF"/>
    <w:rsid w:val="00F258C1"/>
    <w:rsid w:val="00F262FB"/>
    <w:rsid w:val="00F267B4"/>
    <w:rsid w:val="00F31226"/>
    <w:rsid w:val="00F36557"/>
    <w:rsid w:val="00F41187"/>
    <w:rsid w:val="00F4356E"/>
    <w:rsid w:val="00F51C97"/>
    <w:rsid w:val="00F5491E"/>
    <w:rsid w:val="00F60A98"/>
    <w:rsid w:val="00F64B87"/>
    <w:rsid w:val="00F84353"/>
    <w:rsid w:val="00F87059"/>
    <w:rsid w:val="00F909BF"/>
    <w:rsid w:val="00F97A4F"/>
    <w:rsid w:val="00FA0152"/>
    <w:rsid w:val="00FA6AF5"/>
    <w:rsid w:val="00FB09D1"/>
    <w:rsid w:val="00FB3DF0"/>
    <w:rsid w:val="00FC1B11"/>
    <w:rsid w:val="00FD183B"/>
    <w:rsid w:val="00FF04B4"/>
    <w:rsid w:val="00FF4EF0"/>
    <w:rsid w:val="00FF553A"/>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3212]"/>
    </o:shapedefaults>
    <o:shapelayout v:ext="edit">
      <o:idmap v:ext="edit" data="1"/>
    </o:shapelayout>
  </w:shapeDefaults>
  <w:decimalSymbol w:val=","/>
  <w:listSeparator w:val=";"/>
  <w15:chartTrackingRefBased/>
  <w15:docId w15:val="{E3E7C1CD-1E90-4579-8914-C2E424CB7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semiHidden="1"/>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C31"/>
    <w:pPr>
      <w:widowControl w:val="0"/>
    </w:pPr>
    <w:rPr>
      <w:snapToGrid w:val="0"/>
      <w:sz w:val="24"/>
      <w:lang w:eastAsia="en-US"/>
    </w:rPr>
  </w:style>
  <w:style w:type="paragraph" w:styleId="Heading1">
    <w:name w:val="heading 1"/>
    <w:basedOn w:val="Normal"/>
    <w:next w:val="Normal"/>
    <w:link w:val="Heading1Char"/>
    <w:uiPriority w:val="9"/>
    <w:qFormat/>
    <w:pPr>
      <w:keepNext/>
      <w:widowControl/>
      <w:tabs>
        <w:tab w:val="left" w:pos="-1057"/>
        <w:tab w:val="left" w:pos="-720"/>
        <w:tab w:val="left" w:pos="0"/>
        <w:tab w:val="left" w:pos="720"/>
        <w:tab w:val="left" w:pos="2154"/>
        <w:tab w:val="left" w:pos="2880"/>
      </w:tabs>
      <w:ind w:left="2155" w:hanging="2155"/>
      <w:jc w:val="both"/>
      <w:outlineLvl w:val="0"/>
    </w:pPr>
    <w:rPr>
      <w:b/>
    </w:rPr>
  </w:style>
  <w:style w:type="paragraph" w:styleId="Heading2">
    <w:name w:val="heading 2"/>
    <w:basedOn w:val="Normal"/>
    <w:next w:val="Normal"/>
    <w:link w:val="Heading2Char"/>
    <w:uiPriority w:val="9"/>
    <w:qFormat/>
    <w:pPr>
      <w:keepNext/>
      <w:spacing w:before="240" w:after="60"/>
      <w:outlineLvl w:val="1"/>
    </w:pPr>
    <w:rPr>
      <w:rFonts w:ascii="Arial" w:hAnsi="Arial"/>
      <w:b/>
      <w:i/>
    </w:rPr>
  </w:style>
  <w:style w:type="paragraph" w:styleId="Heading3">
    <w:name w:val="heading 3"/>
    <w:basedOn w:val="Normal"/>
    <w:next w:val="Normal"/>
    <w:semiHidden/>
    <w:qFormat/>
    <w:pPr>
      <w:keepNext/>
      <w:numPr>
        <w:ilvl w:val="2"/>
        <w:numId w:val="1"/>
      </w:numPr>
      <w:spacing w:before="240" w:after="60"/>
      <w:outlineLvl w:val="2"/>
    </w:pPr>
    <w:rPr>
      <w:rFonts w:ascii="Arial" w:hAnsi="Arial"/>
    </w:rPr>
  </w:style>
  <w:style w:type="paragraph" w:styleId="Heading4">
    <w:name w:val="heading 4"/>
    <w:basedOn w:val="Normal"/>
    <w:next w:val="Normal"/>
    <w:semiHidden/>
    <w:qFormat/>
    <w:pPr>
      <w:keepNext/>
      <w:numPr>
        <w:ilvl w:val="3"/>
        <w:numId w:val="2"/>
      </w:numPr>
      <w:spacing w:before="240" w:after="60"/>
      <w:outlineLvl w:val="3"/>
    </w:pPr>
    <w:rPr>
      <w:rFonts w:ascii="Arial" w:hAnsi="Arial"/>
      <w:b/>
    </w:rPr>
  </w:style>
  <w:style w:type="paragraph" w:styleId="Heading5">
    <w:name w:val="heading 5"/>
    <w:basedOn w:val="Normal"/>
    <w:next w:val="Normal"/>
    <w:semiHidden/>
    <w:qFormat/>
    <w:pPr>
      <w:numPr>
        <w:ilvl w:val="4"/>
        <w:numId w:val="3"/>
      </w:numPr>
      <w:spacing w:before="240" w:after="60"/>
      <w:outlineLvl w:val="4"/>
    </w:pPr>
    <w:rPr>
      <w:sz w:val="22"/>
    </w:rPr>
  </w:style>
  <w:style w:type="paragraph" w:styleId="Heading6">
    <w:name w:val="heading 6"/>
    <w:basedOn w:val="Normal"/>
    <w:next w:val="Normal"/>
    <w:semiHidden/>
    <w:qFormat/>
    <w:pPr>
      <w:numPr>
        <w:ilvl w:val="5"/>
        <w:numId w:val="4"/>
      </w:numPr>
      <w:spacing w:before="240" w:after="60"/>
      <w:outlineLvl w:val="5"/>
    </w:pPr>
    <w:rPr>
      <w:i/>
      <w:sz w:val="22"/>
    </w:rPr>
  </w:style>
  <w:style w:type="paragraph" w:styleId="Heading7">
    <w:name w:val="heading 7"/>
    <w:basedOn w:val="Normal"/>
    <w:next w:val="Normal"/>
    <w:semiHidden/>
    <w:qFormat/>
    <w:pPr>
      <w:numPr>
        <w:ilvl w:val="6"/>
        <w:numId w:val="5"/>
      </w:numPr>
      <w:spacing w:before="240" w:after="60"/>
      <w:outlineLvl w:val="6"/>
    </w:pPr>
    <w:rPr>
      <w:rFonts w:ascii="Arial" w:hAnsi="Arial"/>
      <w:sz w:val="20"/>
    </w:rPr>
  </w:style>
  <w:style w:type="paragraph" w:styleId="Heading8">
    <w:name w:val="heading 8"/>
    <w:basedOn w:val="Normal"/>
    <w:next w:val="Normal"/>
    <w:semiHidden/>
    <w:qFormat/>
    <w:pPr>
      <w:numPr>
        <w:ilvl w:val="7"/>
        <w:numId w:val="6"/>
      </w:numPr>
      <w:spacing w:before="240" w:after="60"/>
      <w:outlineLvl w:val="7"/>
    </w:pPr>
    <w:rPr>
      <w:rFonts w:ascii="Arial" w:hAnsi="Arial"/>
      <w:i/>
      <w:sz w:val="20"/>
    </w:rPr>
  </w:style>
  <w:style w:type="paragraph" w:styleId="Heading9">
    <w:name w:val="heading 9"/>
    <w:basedOn w:val="Normal"/>
    <w:next w:val="Normal"/>
    <w:semiHidden/>
    <w:qFormat/>
    <w:pPr>
      <w:numPr>
        <w:ilvl w:val="8"/>
        <w:numId w:val="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dancePV">
    <w:name w:val="AttendancePV"/>
    <w:basedOn w:val="Normal"/>
    <w:rsid w:val="00AD4CEB"/>
    <w:rPr>
      <w:sz w:val="16"/>
    </w:rPr>
  </w:style>
  <w:style w:type="paragraph" w:customStyle="1" w:styleId="PVxIndent">
    <w:name w:val="PVxIndent"/>
    <w:basedOn w:val="Normal"/>
    <w:rsid w:val="006B2AF7"/>
    <w:pPr>
      <w:ind w:left="567"/>
    </w:pPr>
  </w:style>
  <w:style w:type="paragraph" w:customStyle="1" w:styleId="PVxHeading">
    <w:name w:val="PVxHeading"/>
    <w:basedOn w:val="Normal"/>
    <w:next w:val="Normal"/>
    <w:rsid w:val="00316C24"/>
    <w:pPr>
      <w:keepNext/>
      <w:widowControl/>
      <w:numPr>
        <w:numId w:val="8"/>
      </w:numPr>
      <w:tabs>
        <w:tab w:val="clear" w:pos="720"/>
        <w:tab w:val="num" w:pos="360"/>
        <w:tab w:val="right" w:pos="9072"/>
      </w:tabs>
      <w:spacing w:before="240" w:after="240"/>
      <w:ind w:left="567" w:hanging="567"/>
    </w:pPr>
    <w:rPr>
      <w:b/>
    </w:rPr>
  </w:style>
  <w:style w:type="paragraph" w:customStyle="1" w:styleId="PVxSubheading12a">
    <w:name w:val="PVxSubheading12a"/>
    <w:basedOn w:val="Normal"/>
    <w:next w:val="Normal"/>
    <w:rsid w:val="006B2AF7"/>
    <w:pPr>
      <w:widowControl/>
      <w:spacing w:after="240"/>
      <w:ind w:left="567"/>
    </w:pPr>
    <w:rPr>
      <w:b/>
      <w:i/>
    </w:rPr>
  </w:style>
  <w:style w:type="paragraph" w:customStyle="1" w:styleId="PVxSubheadingTab12b">
    <w:name w:val="PVxSubheadingTab12b"/>
    <w:basedOn w:val="Normal"/>
    <w:rsid w:val="0048229C"/>
    <w:pPr>
      <w:tabs>
        <w:tab w:val="left" w:pos="2268"/>
      </w:tabs>
      <w:spacing w:before="240"/>
      <w:ind w:left="567"/>
    </w:pPr>
    <w:rPr>
      <w:b/>
      <w:i/>
    </w:rPr>
  </w:style>
  <w:style w:type="paragraph" w:customStyle="1" w:styleId="PVxSubheadingTab12b12a">
    <w:name w:val="PVxSubheadingTab12b12a"/>
    <w:basedOn w:val="Normal"/>
    <w:next w:val="Normal"/>
    <w:rsid w:val="0048229C"/>
    <w:pPr>
      <w:tabs>
        <w:tab w:val="left" w:pos="2268"/>
      </w:tabs>
      <w:spacing w:before="240" w:after="240"/>
      <w:ind w:left="567"/>
    </w:pPr>
    <w:rPr>
      <w:b/>
      <w:i/>
    </w:rPr>
  </w:style>
  <w:style w:type="character" w:customStyle="1" w:styleId="HideTWBExt">
    <w:name w:val="HideTWBExt"/>
    <w:basedOn w:val="DefaultParagraphFont"/>
    <w:rPr>
      <w:rFonts w:ascii="Arial" w:hAnsi="Arial" w:cs="Arial"/>
      <w:b w:val="0"/>
      <w:i w:val="0"/>
      <w:strike w:val="0"/>
      <w:noProof/>
      <w:vanish/>
      <w:color w:val="000080"/>
      <w:sz w:val="20"/>
    </w:rPr>
  </w:style>
  <w:style w:type="paragraph" w:customStyle="1" w:styleId="PVxIndentRightTab">
    <w:name w:val="PVxIndentRightTab"/>
    <w:basedOn w:val="Normal"/>
    <w:rsid w:val="00CD0CF5"/>
    <w:pPr>
      <w:tabs>
        <w:tab w:val="right" w:pos="9072"/>
      </w:tabs>
      <w:ind w:left="567"/>
    </w:pPr>
  </w:style>
  <w:style w:type="paragraph" w:customStyle="1" w:styleId="NormalHanging12b">
    <w:name w:val="NormalHanging12b"/>
    <w:basedOn w:val="Normal"/>
    <w:rsid w:val="004062E2"/>
    <w:pPr>
      <w:spacing w:before="240"/>
      <w:ind w:left="567" w:hanging="567"/>
    </w:pPr>
    <w:rPr>
      <w:snapToGrid/>
      <w:lang w:eastAsia="en-GB"/>
    </w:rPr>
  </w:style>
  <w:style w:type="paragraph" w:styleId="TOC1">
    <w:name w:val="toc 1"/>
    <w:basedOn w:val="Normal"/>
    <w:next w:val="Normal"/>
    <w:autoRedefine/>
    <w:uiPriority w:val="39"/>
    <w:rsid w:val="00A16FC5"/>
  </w:style>
  <w:style w:type="character" w:styleId="Hyperlink">
    <w:name w:val="Hyperlink"/>
    <w:uiPriority w:val="99"/>
    <w:rsid w:val="004A4538"/>
    <w:rPr>
      <w:color w:val="0563C1"/>
      <w:u w:val="single"/>
    </w:rPr>
  </w:style>
  <w:style w:type="paragraph" w:styleId="TOC2">
    <w:name w:val="toc 2"/>
    <w:basedOn w:val="Normal"/>
    <w:next w:val="Normal"/>
    <w:autoRedefine/>
    <w:uiPriority w:val="39"/>
    <w:rsid w:val="00A16FC5"/>
    <w:pPr>
      <w:ind w:left="426"/>
    </w:pPr>
  </w:style>
  <w:style w:type="paragraph" w:customStyle="1" w:styleId="RollCallTable">
    <w:name w:val="RollCallTable"/>
    <w:basedOn w:val="Normal"/>
    <w:rsid w:val="002659A2"/>
    <w:pPr>
      <w:spacing w:before="120" w:after="120"/>
    </w:pPr>
    <w:rPr>
      <w:sz w:val="16"/>
    </w:rPr>
  </w:style>
  <w:style w:type="paragraph" w:styleId="FootnoteText">
    <w:name w:val="footnote text"/>
    <w:basedOn w:val="Normal"/>
    <w:link w:val="FootnoteTextChar"/>
    <w:uiPriority w:val="99"/>
    <w:semiHidden/>
    <w:rPr>
      <w:sz w:val="20"/>
    </w:rPr>
  </w:style>
  <w:style w:type="paragraph" w:customStyle="1" w:styleId="RollCallSymbols12pt">
    <w:name w:val="RollCallSymbols12pt"/>
    <w:basedOn w:val="Normal"/>
    <w:rsid w:val="002659A2"/>
    <w:pPr>
      <w:spacing w:before="120" w:after="120"/>
      <w:jc w:val="center"/>
    </w:pPr>
    <w:rPr>
      <w:rFonts w:ascii="Arial" w:hAnsi="Arial"/>
      <w:b/>
      <w:bCs/>
    </w:rPr>
  </w:style>
  <w:style w:type="paragraph" w:customStyle="1" w:styleId="EPFooter2">
    <w:name w:val="EPFooter2"/>
    <w:basedOn w:val="Normal"/>
    <w:next w:val="Normal"/>
    <w:pPr>
      <w:widowControl/>
      <w:tabs>
        <w:tab w:val="center" w:pos="4535"/>
        <w:tab w:val="right" w:pos="9921"/>
      </w:tabs>
      <w:ind w:left="-850" w:right="-850"/>
    </w:pPr>
    <w:rPr>
      <w:rFonts w:ascii="Arial" w:hAnsi="Arial" w:cs="Arial"/>
      <w:b/>
      <w:snapToGrid/>
      <w:sz w:val="48"/>
    </w:rPr>
  </w:style>
  <w:style w:type="table" w:styleId="TableGrid">
    <w:name w:val="Table Grid"/>
    <w:basedOn w:val="TableNormal"/>
    <w:rsid w:val="00F64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Body">
    <w:name w:val="EPBody"/>
    <w:basedOn w:val="Normal"/>
    <w:rsid w:val="00F64B87"/>
    <w:pPr>
      <w:jc w:val="center"/>
    </w:pPr>
    <w:rPr>
      <w:rFonts w:ascii="Arial" w:hAnsi="Arial" w:cs="Arial"/>
      <w:i/>
      <w:snapToGrid/>
      <w:sz w:val="22"/>
      <w:szCs w:val="22"/>
      <w:lang w:eastAsia="en-GB"/>
    </w:rPr>
  </w:style>
  <w:style w:type="paragraph" w:customStyle="1" w:styleId="RollCallSymbols14pt">
    <w:name w:val="RollCallSymbols14pt"/>
    <w:basedOn w:val="Normal"/>
    <w:rsid w:val="002659A2"/>
    <w:pPr>
      <w:spacing w:before="120" w:after="120"/>
      <w:jc w:val="center"/>
    </w:pPr>
    <w:rPr>
      <w:rFonts w:ascii="Arial" w:hAnsi="Arial"/>
      <w:b/>
      <w:bCs/>
      <w:sz w:val="28"/>
    </w:rPr>
  </w:style>
  <w:style w:type="paragraph" w:customStyle="1" w:styleId="NormalBold12b">
    <w:name w:val="NormalBold12b"/>
    <w:basedOn w:val="Normal"/>
    <w:pPr>
      <w:spacing w:before="240"/>
    </w:pPr>
    <w:rPr>
      <w:b/>
    </w:rPr>
  </w:style>
  <w:style w:type="paragraph" w:customStyle="1" w:styleId="PVxIndentTab">
    <w:name w:val="PVxIndentTab"/>
    <w:basedOn w:val="Normal"/>
    <w:rsid w:val="004062E2"/>
    <w:pPr>
      <w:tabs>
        <w:tab w:val="left" w:pos="2268"/>
      </w:tabs>
      <w:ind w:left="567"/>
    </w:pPr>
  </w:style>
  <w:style w:type="paragraph" w:customStyle="1" w:styleId="PVxIndentTab12b">
    <w:name w:val="PVxIndentTab12b"/>
    <w:basedOn w:val="Normal"/>
    <w:next w:val="Normal"/>
    <w:rsid w:val="00CD0CF5"/>
    <w:pPr>
      <w:tabs>
        <w:tab w:val="left" w:pos="2268"/>
      </w:tabs>
      <w:spacing w:before="240"/>
      <w:ind w:left="567"/>
    </w:pPr>
  </w:style>
  <w:style w:type="paragraph" w:customStyle="1" w:styleId="PVxIndent12a">
    <w:name w:val="PVxIndent12a"/>
    <w:basedOn w:val="Normal"/>
    <w:rsid w:val="006B2AF7"/>
    <w:pPr>
      <w:spacing w:after="240"/>
      <w:ind w:left="567"/>
    </w:pPr>
  </w:style>
  <w:style w:type="paragraph" w:customStyle="1" w:styleId="RollCallVotes">
    <w:name w:val="RollCallVotes"/>
    <w:basedOn w:val="Normal"/>
    <w:rsid w:val="002659A2"/>
    <w:pPr>
      <w:spacing w:before="120" w:after="120"/>
      <w:jc w:val="center"/>
    </w:pPr>
    <w:rPr>
      <w:b/>
      <w:bCs/>
      <w:sz w:val="16"/>
    </w:rPr>
  </w:style>
  <w:style w:type="paragraph" w:customStyle="1" w:styleId="RollCallHeading">
    <w:name w:val="RollCallHeading"/>
    <w:basedOn w:val="Normal"/>
    <w:qFormat/>
    <w:rsid w:val="003A0A68"/>
    <w:pPr>
      <w:spacing w:before="480" w:after="480"/>
      <w:jc w:val="center"/>
    </w:pPr>
    <w:rPr>
      <w:b/>
      <w:sz w:val="28"/>
    </w:rPr>
  </w:style>
  <w:style w:type="character" w:customStyle="1" w:styleId="HideTWBInt">
    <w:name w:val="HideTWBInt"/>
    <w:rPr>
      <w:rFonts w:ascii="Arial" w:hAnsi="Arial" w:cs="Arial"/>
      <w:vanish/>
      <w:color w:val="808080"/>
      <w:sz w:val="20"/>
    </w:rPr>
  </w:style>
  <w:style w:type="paragraph" w:customStyle="1" w:styleId="PVxIndent12b">
    <w:name w:val="PVxIndent12b"/>
    <w:basedOn w:val="Normal"/>
    <w:next w:val="Normal"/>
    <w:rsid w:val="006B2AF7"/>
    <w:pPr>
      <w:spacing w:before="240"/>
      <w:ind w:left="567"/>
    </w:pPr>
  </w:style>
  <w:style w:type="paragraph" w:customStyle="1" w:styleId="NormalBold">
    <w:name w:val="NormalBold"/>
    <w:basedOn w:val="Normal"/>
    <w:rPr>
      <w:b/>
    </w:rPr>
  </w:style>
  <w:style w:type="paragraph" w:customStyle="1" w:styleId="LineTop">
    <w:name w:val="LineTop"/>
    <w:basedOn w:val="Normal"/>
    <w:next w:val="Normal"/>
    <w:rsid w:val="00F64B87"/>
    <w:pPr>
      <w:pBdr>
        <w:top w:val="single" w:sz="4" w:space="1" w:color="auto"/>
      </w:pBdr>
      <w:jc w:val="center"/>
    </w:pPr>
    <w:rPr>
      <w:rFonts w:ascii="Arial" w:hAnsi="Arial" w:cs="Arial"/>
      <w:snapToGrid/>
      <w:sz w:val="16"/>
      <w:szCs w:val="16"/>
      <w:lang w:eastAsia="en-GB"/>
    </w:rPr>
  </w:style>
  <w:style w:type="paragraph" w:customStyle="1" w:styleId="LineBottom">
    <w:name w:val="LineBottom"/>
    <w:basedOn w:val="Normal"/>
    <w:next w:val="Normal"/>
    <w:rsid w:val="001173AC"/>
    <w:pPr>
      <w:pBdr>
        <w:bottom w:val="single" w:sz="4" w:space="1" w:color="auto"/>
      </w:pBdr>
      <w:spacing w:after="240"/>
      <w:jc w:val="center"/>
    </w:pPr>
    <w:rPr>
      <w:rFonts w:ascii="Arial" w:hAnsi="Arial" w:cs="Arial"/>
      <w:snapToGrid/>
      <w:sz w:val="16"/>
      <w:szCs w:val="16"/>
      <w:lang w:eastAsia="en-GB"/>
    </w:rPr>
  </w:style>
  <w:style w:type="paragraph" w:customStyle="1" w:styleId="RollCallTitle">
    <w:name w:val="RollCallTitle"/>
    <w:basedOn w:val="Normal"/>
    <w:qFormat/>
    <w:rsid w:val="00AD4CEB"/>
    <w:pPr>
      <w:spacing w:after="240"/>
    </w:pPr>
  </w:style>
  <w:style w:type="paragraph" w:customStyle="1" w:styleId="RollCallContents">
    <w:name w:val="RollCallContents"/>
    <w:basedOn w:val="Normal"/>
    <w:qFormat/>
    <w:rsid w:val="00DC63A9"/>
    <w:pPr>
      <w:spacing w:before="480" w:after="480"/>
      <w:jc w:val="center"/>
    </w:pPr>
    <w:rPr>
      <w:b/>
    </w:rPr>
  </w:style>
  <w:style w:type="paragraph" w:customStyle="1" w:styleId="RollCallSubtitle">
    <w:name w:val="RollCallSubtitle"/>
    <w:basedOn w:val="RollCallTitle"/>
    <w:qFormat/>
    <w:rsid w:val="008A7874"/>
  </w:style>
  <w:style w:type="paragraph" w:customStyle="1" w:styleId="RollCallTabs">
    <w:name w:val="RollCallTabs"/>
    <w:basedOn w:val="Normal"/>
    <w:qFormat/>
    <w:rsid w:val="000A769E"/>
    <w:pPr>
      <w:tabs>
        <w:tab w:val="center" w:pos="284"/>
        <w:tab w:val="left" w:pos="426"/>
      </w:tabs>
    </w:pPr>
  </w:style>
  <w:style w:type="paragraph" w:customStyle="1" w:styleId="EPName">
    <w:name w:val="EPName"/>
    <w:basedOn w:val="Normal"/>
    <w:rsid w:val="00DF0DC8"/>
    <w:pPr>
      <w:spacing w:before="80" w:after="80"/>
    </w:pPr>
    <w:rPr>
      <w:rFonts w:ascii="Arial Narrow" w:hAnsi="Arial Narrow" w:cs="Arial"/>
      <w:b/>
      <w:snapToGrid/>
      <w:sz w:val="32"/>
      <w:szCs w:val="22"/>
      <w:lang w:eastAsia="en-GB"/>
    </w:rPr>
  </w:style>
  <w:style w:type="paragraph" w:customStyle="1" w:styleId="EPTerm">
    <w:name w:val="EPTerm"/>
    <w:basedOn w:val="Normal"/>
    <w:next w:val="Normal"/>
    <w:rsid w:val="00DF0DC8"/>
    <w:pPr>
      <w:spacing w:after="80"/>
    </w:pPr>
    <w:rPr>
      <w:rFonts w:ascii="Arial" w:hAnsi="Arial" w:cs="Arial"/>
      <w:snapToGrid/>
      <w:sz w:val="20"/>
      <w:szCs w:val="22"/>
      <w:lang w:eastAsia="en-GB"/>
    </w:rPr>
  </w:style>
  <w:style w:type="paragraph" w:customStyle="1" w:styleId="EPLogo">
    <w:name w:val="EPLogo"/>
    <w:basedOn w:val="Normal"/>
    <w:qFormat/>
    <w:rsid w:val="00DF0DC8"/>
    <w:pPr>
      <w:jc w:val="right"/>
    </w:pPr>
    <w:rPr>
      <w:snapToGrid/>
      <w:lang w:eastAsia="en-GB"/>
    </w:rPr>
  </w:style>
  <w:style w:type="paragraph" w:customStyle="1" w:styleId="AttendancePVTable">
    <w:name w:val="AttendancePVTable"/>
    <w:basedOn w:val="Normal"/>
    <w:rsid w:val="00AD4CEB"/>
    <w:pPr>
      <w:spacing w:before="120" w:after="120"/>
    </w:pPr>
    <w:rPr>
      <w:sz w:val="16"/>
    </w:rPr>
  </w:style>
  <w:style w:type="paragraph" w:customStyle="1" w:styleId="AttendancePVFootnote">
    <w:name w:val="AttendancePVFootnote"/>
    <w:basedOn w:val="Normal"/>
    <w:rsid w:val="00AD4CEB"/>
    <w:pPr>
      <w:tabs>
        <w:tab w:val="left" w:pos="170"/>
        <w:tab w:val="left" w:pos="510"/>
      </w:tabs>
      <w:ind w:left="680" w:hanging="680"/>
    </w:pPr>
    <w:rPr>
      <w:sz w:val="16"/>
    </w:rPr>
  </w:style>
  <w:style w:type="paragraph" w:customStyle="1" w:styleId="AttendancePVTitle">
    <w:name w:val="AttendancePVTitle"/>
    <w:basedOn w:val="Normal"/>
    <w:rsid w:val="00A66B35"/>
    <w:pPr>
      <w:spacing w:after="480"/>
      <w:jc w:val="center"/>
    </w:pPr>
    <w:rPr>
      <w:b/>
      <w:sz w:val="16"/>
    </w:rPr>
  </w:style>
  <w:style w:type="paragraph" w:customStyle="1" w:styleId="Normal12a">
    <w:name w:val="Normal12a"/>
    <w:basedOn w:val="Normal"/>
    <w:rsid w:val="00AD4CEB"/>
    <w:pPr>
      <w:spacing w:after="240"/>
    </w:pPr>
    <w:rPr>
      <w:snapToGrid/>
      <w:lang w:eastAsia="en-GB"/>
    </w:rPr>
  </w:style>
  <w:style w:type="paragraph" w:customStyle="1" w:styleId="NormalBoldCenter">
    <w:name w:val="NormalBoldCenter"/>
    <w:basedOn w:val="Normal"/>
    <w:rsid w:val="00AD4CEB"/>
    <w:pPr>
      <w:jc w:val="center"/>
    </w:pPr>
    <w:rPr>
      <w:b/>
      <w:lang w:eastAsia="en-GB"/>
    </w:rPr>
  </w:style>
  <w:style w:type="paragraph" w:customStyle="1" w:styleId="HeadingReferenceOJPV">
    <w:name w:val="HeadingReferenceOJPV"/>
    <w:basedOn w:val="Normal"/>
    <w:rsid w:val="001173AC"/>
    <w:pPr>
      <w:spacing w:before="840" w:after="720"/>
      <w:jc w:val="right"/>
    </w:pPr>
    <w:rPr>
      <w:rFonts w:ascii="Arial" w:hAnsi="Arial"/>
      <w:b/>
      <w:lang w:eastAsia="en-GB"/>
    </w:rPr>
  </w:style>
  <w:style w:type="paragraph" w:customStyle="1" w:styleId="EPFooter">
    <w:name w:val="EPFooter"/>
    <w:basedOn w:val="Normal"/>
    <w:rsid w:val="005A4857"/>
    <w:pPr>
      <w:tabs>
        <w:tab w:val="center" w:pos="4535"/>
        <w:tab w:val="right" w:pos="9071"/>
      </w:tabs>
      <w:spacing w:before="240" w:after="240"/>
    </w:pPr>
    <w:rPr>
      <w:color w:val="010000"/>
      <w:sz w:val="22"/>
    </w:rPr>
  </w:style>
  <w:style w:type="paragraph" w:styleId="TOCHeading">
    <w:name w:val="TOC Heading"/>
    <w:basedOn w:val="Normal"/>
    <w:next w:val="Normal"/>
    <w:uiPriority w:val="39"/>
    <w:semiHidden/>
    <w:unhideWhenUsed/>
    <w:qFormat/>
    <w:rsid w:val="000637F3"/>
    <w:pPr>
      <w:keepLines/>
      <w:spacing w:before="240" w:after="240"/>
    </w:pPr>
    <w:rPr>
      <w:rFonts w:asciiTheme="majorHAnsi" w:eastAsiaTheme="majorEastAsia" w:hAnsiTheme="majorHAnsi" w:cstheme="majorBidi"/>
      <w:b/>
      <w:color w:val="2E74B5" w:themeColor="accent1" w:themeShade="BF"/>
      <w:sz w:val="32"/>
      <w:szCs w:val="32"/>
    </w:rPr>
  </w:style>
  <w:style w:type="paragraph" w:styleId="Header">
    <w:name w:val="header"/>
    <w:basedOn w:val="Normal"/>
    <w:link w:val="HeaderChar"/>
    <w:rsid w:val="001E4EBD"/>
    <w:pPr>
      <w:tabs>
        <w:tab w:val="center" w:pos="4513"/>
        <w:tab w:val="right" w:pos="9026"/>
      </w:tabs>
    </w:pPr>
  </w:style>
  <w:style w:type="character" w:customStyle="1" w:styleId="HeaderChar">
    <w:name w:val="Header Char"/>
    <w:basedOn w:val="DefaultParagraphFont"/>
    <w:link w:val="Header"/>
    <w:rsid w:val="001E4EBD"/>
    <w:rPr>
      <w:snapToGrid w:val="0"/>
      <w:sz w:val="24"/>
      <w:lang w:eastAsia="en-US"/>
    </w:rPr>
  </w:style>
  <w:style w:type="paragraph" w:customStyle="1" w:styleId="MeetingIntro">
    <w:name w:val="MeetingIntro"/>
    <w:basedOn w:val="Normal"/>
    <w:rsid w:val="001173AC"/>
    <w:pPr>
      <w:spacing w:before="600" w:after="600"/>
    </w:pPr>
    <w:rPr>
      <w:lang w:eastAsia="en-GB"/>
    </w:rPr>
  </w:style>
  <w:style w:type="paragraph" w:customStyle="1" w:styleId="MeetingClosing">
    <w:name w:val="MeetingClosing"/>
    <w:basedOn w:val="Normal"/>
    <w:rsid w:val="001173AC"/>
    <w:pPr>
      <w:spacing w:before="600" w:after="240"/>
    </w:pPr>
  </w:style>
  <w:style w:type="paragraph" w:customStyle="1" w:styleId="HeadingDocType24a">
    <w:name w:val="HeadingDocType24a"/>
    <w:basedOn w:val="Normal"/>
    <w:rsid w:val="001173AC"/>
    <w:pPr>
      <w:spacing w:after="480"/>
      <w:jc w:val="center"/>
    </w:pPr>
    <w:rPr>
      <w:rFonts w:ascii="Arial" w:hAnsi="Arial"/>
      <w:b/>
      <w:snapToGrid/>
      <w:sz w:val="48"/>
      <w:lang w:eastAsia="en-GB"/>
    </w:rPr>
  </w:style>
  <w:style w:type="paragraph" w:customStyle="1" w:styleId="HeadingCenter12a">
    <w:name w:val="HeadingCenter12a"/>
    <w:basedOn w:val="Normal"/>
    <w:rsid w:val="001173AC"/>
    <w:pPr>
      <w:spacing w:after="240"/>
      <w:jc w:val="center"/>
    </w:pPr>
    <w:rPr>
      <w:b/>
      <w:snapToGrid/>
      <w:lang w:eastAsia="en-GB"/>
    </w:rPr>
  </w:style>
  <w:style w:type="paragraph" w:customStyle="1" w:styleId="AnnexRightBold">
    <w:name w:val="AnnexRightBold"/>
    <w:basedOn w:val="Normal"/>
    <w:rsid w:val="0067649D"/>
    <w:pPr>
      <w:spacing w:after="480"/>
      <w:jc w:val="right"/>
    </w:pPr>
    <w:rPr>
      <w:b/>
      <w:snapToGrid/>
      <w:lang w:eastAsia="en-GB"/>
    </w:rPr>
  </w:style>
  <w:style w:type="numbering" w:customStyle="1" w:styleId="NoList1">
    <w:name w:val="No List1"/>
    <w:next w:val="NoList"/>
    <w:uiPriority w:val="99"/>
    <w:semiHidden/>
    <w:unhideWhenUsed/>
    <w:rsid w:val="00777D87"/>
  </w:style>
  <w:style w:type="paragraph" w:styleId="ListParagraph">
    <w:name w:val="List Paragraph"/>
    <w:basedOn w:val="Normal"/>
    <w:uiPriority w:val="34"/>
    <w:qFormat/>
    <w:rsid w:val="00777D87"/>
    <w:pPr>
      <w:widowControl/>
      <w:spacing w:after="160" w:line="259" w:lineRule="auto"/>
      <w:ind w:left="720"/>
      <w:contextualSpacing/>
    </w:pPr>
    <w:rPr>
      <w:rFonts w:ascii="Calibri" w:eastAsia="Calibri" w:hAnsi="Calibri"/>
      <w:snapToGrid/>
      <w:sz w:val="22"/>
      <w:szCs w:val="22"/>
    </w:rPr>
  </w:style>
  <w:style w:type="paragraph" w:styleId="BodyText">
    <w:name w:val="Body Text"/>
    <w:basedOn w:val="Normal"/>
    <w:link w:val="BodyTextChar"/>
    <w:uiPriority w:val="99"/>
    <w:unhideWhenUsed/>
    <w:rsid w:val="00777D87"/>
    <w:pPr>
      <w:widowControl/>
      <w:spacing w:after="120" w:line="276" w:lineRule="auto"/>
    </w:pPr>
    <w:rPr>
      <w:rFonts w:ascii="Calibri" w:eastAsia="Calibri" w:hAnsi="Calibri"/>
      <w:snapToGrid/>
      <w:sz w:val="22"/>
      <w:szCs w:val="22"/>
    </w:rPr>
  </w:style>
  <w:style w:type="character" w:customStyle="1" w:styleId="BodyTextChar">
    <w:name w:val="Body Text Char"/>
    <w:basedOn w:val="DefaultParagraphFont"/>
    <w:link w:val="BodyText"/>
    <w:uiPriority w:val="99"/>
    <w:rsid w:val="00777D87"/>
    <w:rPr>
      <w:rFonts w:ascii="Calibri" w:eastAsia="Calibri" w:hAnsi="Calibri"/>
      <w:sz w:val="22"/>
      <w:szCs w:val="22"/>
      <w:lang w:eastAsia="en-US"/>
    </w:rPr>
  </w:style>
  <w:style w:type="paragraph" w:styleId="Footer">
    <w:name w:val="footer"/>
    <w:basedOn w:val="Normal"/>
    <w:link w:val="FooterChar"/>
    <w:uiPriority w:val="99"/>
    <w:unhideWhenUsed/>
    <w:rsid w:val="00777D87"/>
    <w:pPr>
      <w:widowControl/>
      <w:tabs>
        <w:tab w:val="center" w:pos="4513"/>
        <w:tab w:val="right" w:pos="9026"/>
      </w:tabs>
    </w:pPr>
    <w:rPr>
      <w:rFonts w:ascii="Calibri" w:eastAsia="Calibri" w:hAnsi="Calibri"/>
      <w:snapToGrid/>
      <w:sz w:val="22"/>
      <w:szCs w:val="22"/>
    </w:rPr>
  </w:style>
  <w:style w:type="character" w:customStyle="1" w:styleId="FooterChar">
    <w:name w:val="Footer Char"/>
    <w:basedOn w:val="DefaultParagraphFont"/>
    <w:link w:val="Footer"/>
    <w:uiPriority w:val="99"/>
    <w:rsid w:val="00777D87"/>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777D87"/>
    <w:pPr>
      <w:widowControl/>
    </w:pPr>
    <w:rPr>
      <w:rFonts w:ascii="Segoe UI" w:eastAsia="Calibri" w:hAnsi="Segoe UI" w:cs="Segoe UI"/>
      <w:snapToGrid/>
      <w:sz w:val="18"/>
      <w:szCs w:val="18"/>
    </w:rPr>
  </w:style>
  <w:style w:type="character" w:customStyle="1" w:styleId="BalloonTextChar">
    <w:name w:val="Balloon Text Char"/>
    <w:basedOn w:val="DefaultParagraphFont"/>
    <w:link w:val="BalloonText"/>
    <w:uiPriority w:val="99"/>
    <w:semiHidden/>
    <w:rsid w:val="00777D87"/>
    <w:rPr>
      <w:rFonts w:ascii="Segoe UI" w:eastAsia="Calibri" w:hAnsi="Segoe UI" w:cs="Segoe UI"/>
      <w:sz w:val="18"/>
      <w:szCs w:val="18"/>
      <w:lang w:eastAsia="en-US"/>
    </w:rPr>
  </w:style>
  <w:style w:type="paragraph" w:customStyle="1" w:styleId="Pullquote">
    <w:name w:val="Pullquote"/>
    <w:basedOn w:val="Normal"/>
    <w:rsid w:val="00777D87"/>
    <w:pPr>
      <w:widowControl/>
      <w:pBdr>
        <w:top w:val="single" w:sz="6" w:space="1" w:color="336699"/>
        <w:bottom w:val="single" w:sz="6" w:space="1" w:color="336699"/>
      </w:pBdr>
      <w:spacing w:before="60" w:after="60" w:line="280" w:lineRule="exact"/>
      <w:ind w:left="58" w:right="58"/>
      <w:jc w:val="center"/>
    </w:pPr>
    <w:rPr>
      <w:rFonts w:ascii="Century Gothic" w:hAnsi="Century Gothic"/>
      <w:i/>
      <w:snapToGrid/>
      <w:color w:val="3682A2"/>
      <w:sz w:val="20"/>
    </w:rPr>
  </w:style>
  <w:style w:type="character" w:customStyle="1" w:styleId="FollowedHyperlink1">
    <w:name w:val="FollowedHyperlink1"/>
    <w:basedOn w:val="DefaultParagraphFont"/>
    <w:uiPriority w:val="99"/>
    <w:semiHidden/>
    <w:unhideWhenUsed/>
    <w:rsid w:val="00777D87"/>
    <w:rPr>
      <w:color w:val="954F72"/>
      <w:u w:val="single"/>
    </w:rPr>
  </w:style>
  <w:style w:type="numbering" w:customStyle="1" w:styleId="Style1">
    <w:name w:val="Style1"/>
    <w:uiPriority w:val="99"/>
    <w:rsid w:val="00777D87"/>
    <w:pPr>
      <w:numPr>
        <w:numId w:val="20"/>
      </w:numPr>
    </w:pPr>
  </w:style>
  <w:style w:type="character" w:customStyle="1" w:styleId="header-line-3">
    <w:name w:val="header-line-3"/>
    <w:basedOn w:val="DefaultParagraphFont"/>
    <w:rsid w:val="00777D87"/>
  </w:style>
  <w:style w:type="character" w:styleId="CommentReference">
    <w:name w:val="annotation reference"/>
    <w:basedOn w:val="DefaultParagraphFont"/>
    <w:uiPriority w:val="99"/>
    <w:unhideWhenUsed/>
    <w:rsid w:val="00777D87"/>
    <w:rPr>
      <w:sz w:val="16"/>
      <w:szCs w:val="16"/>
    </w:rPr>
  </w:style>
  <w:style w:type="paragraph" w:styleId="CommentText">
    <w:name w:val="annotation text"/>
    <w:basedOn w:val="Normal"/>
    <w:link w:val="CommentTextChar"/>
    <w:uiPriority w:val="99"/>
    <w:unhideWhenUsed/>
    <w:rsid w:val="00777D87"/>
    <w:pPr>
      <w:widowControl/>
      <w:spacing w:after="160"/>
    </w:pPr>
    <w:rPr>
      <w:rFonts w:ascii="Calibri" w:eastAsia="Calibri" w:hAnsi="Calibri"/>
      <w:snapToGrid/>
      <w:sz w:val="20"/>
    </w:rPr>
  </w:style>
  <w:style w:type="character" w:customStyle="1" w:styleId="CommentTextChar">
    <w:name w:val="Comment Text Char"/>
    <w:basedOn w:val="DefaultParagraphFont"/>
    <w:link w:val="CommentText"/>
    <w:uiPriority w:val="99"/>
    <w:rsid w:val="00777D87"/>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777D87"/>
    <w:rPr>
      <w:b/>
      <w:bCs/>
    </w:rPr>
  </w:style>
  <w:style w:type="character" w:customStyle="1" w:styleId="CommentSubjectChar">
    <w:name w:val="Comment Subject Char"/>
    <w:basedOn w:val="CommentTextChar"/>
    <w:link w:val="CommentSubject"/>
    <w:uiPriority w:val="99"/>
    <w:semiHidden/>
    <w:rsid w:val="00777D87"/>
    <w:rPr>
      <w:rFonts w:ascii="Calibri" w:eastAsia="Calibri" w:hAnsi="Calibri"/>
      <w:b/>
      <w:bCs/>
      <w:lang w:eastAsia="en-US"/>
    </w:rPr>
  </w:style>
  <w:style w:type="paragraph" w:customStyle="1" w:styleId="Normal12Hanging">
    <w:name w:val="Normal12Hanging"/>
    <w:basedOn w:val="Normal"/>
    <w:rsid w:val="00777D87"/>
    <w:pPr>
      <w:spacing w:after="240"/>
      <w:ind w:left="567" w:hanging="567"/>
    </w:pPr>
    <w:rPr>
      <w:snapToGrid/>
      <w:szCs w:val="24"/>
      <w:lang w:eastAsia="en-GB"/>
    </w:rPr>
  </w:style>
  <w:style w:type="character" w:customStyle="1" w:styleId="FootnoteTextChar">
    <w:name w:val="Footnote Text Char"/>
    <w:basedOn w:val="DefaultParagraphFont"/>
    <w:link w:val="FootnoteText"/>
    <w:uiPriority w:val="99"/>
    <w:semiHidden/>
    <w:rsid w:val="00777D87"/>
    <w:rPr>
      <w:snapToGrid w:val="0"/>
      <w:lang w:eastAsia="en-US"/>
    </w:rPr>
  </w:style>
  <w:style w:type="character" w:styleId="FootnoteReference">
    <w:name w:val="footnote reference"/>
    <w:rsid w:val="00777D87"/>
    <w:rPr>
      <w:vertAlign w:val="superscript"/>
    </w:rPr>
  </w:style>
  <w:style w:type="numbering" w:customStyle="1" w:styleId="Style11">
    <w:name w:val="Style11"/>
    <w:uiPriority w:val="99"/>
    <w:rsid w:val="00777D87"/>
    <w:pPr>
      <w:numPr>
        <w:numId w:val="21"/>
      </w:numPr>
    </w:pPr>
  </w:style>
  <w:style w:type="paragraph" w:styleId="NormalWeb">
    <w:name w:val="Normal (Web)"/>
    <w:basedOn w:val="Normal"/>
    <w:uiPriority w:val="99"/>
    <w:unhideWhenUsed/>
    <w:rsid w:val="00777D87"/>
    <w:pPr>
      <w:widowControl/>
      <w:spacing w:before="100" w:beforeAutospacing="1" w:after="100" w:afterAutospacing="1"/>
    </w:pPr>
    <w:rPr>
      <w:snapToGrid/>
      <w:szCs w:val="24"/>
      <w:lang w:eastAsia="en-GB"/>
    </w:rPr>
  </w:style>
  <w:style w:type="character" w:styleId="Emphasis">
    <w:name w:val="Emphasis"/>
    <w:basedOn w:val="DefaultParagraphFont"/>
    <w:uiPriority w:val="20"/>
    <w:qFormat/>
    <w:rsid w:val="00777D87"/>
    <w:rPr>
      <w:rFonts w:ascii="inherit" w:hAnsi="inherit" w:hint="default"/>
      <w:i/>
      <w:iCs/>
      <w:bdr w:val="none" w:sz="0" w:space="0" w:color="auto" w:frame="1"/>
      <w:vertAlign w:val="baseline"/>
    </w:rPr>
  </w:style>
  <w:style w:type="paragraph" w:customStyle="1" w:styleId="NoSpacing1">
    <w:name w:val="No Spacing1"/>
    <w:next w:val="NoSpacing"/>
    <w:link w:val="NoSpacingChar"/>
    <w:uiPriority w:val="1"/>
    <w:qFormat/>
    <w:rsid w:val="00777D87"/>
    <w:rPr>
      <w:rFonts w:ascii="Calibri" w:hAnsi="Calibri"/>
      <w:sz w:val="22"/>
      <w:szCs w:val="22"/>
      <w:lang w:eastAsia="en-US"/>
    </w:rPr>
  </w:style>
  <w:style w:type="character" w:customStyle="1" w:styleId="NoSpacingChar">
    <w:name w:val="No Spacing Char"/>
    <w:basedOn w:val="DefaultParagraphFont"/>
    <w:link w:val="NoSpacing1"/>
    <w:uiPriority w:val="1"/>
    <w:rsid w:val="00777D87"/>
    <w:rPr>
      <w:rFonts w:eastAsia="Times New Roman"/>
      <w:lang w:val="pt-PT"/>
    </w:rPr>
  </w:style>
  <w:style w:type="table" w:customStyle="1" w:styleId="TableGrid0">
    <w:name w:val="TableGrid"/>
    <w:rsid w:val="00777D87"/>
    <w:rPr>
      <w:rFonts w:ascii="Calibri" w:hAnsi="Calibri"/>
      <w:sz w:val="22"/>
      <w:szCs w:val="22"/>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77D87"/>
    <w:rPr>
      <w:b/>
      <w:snapToGrid w:val="0"/>
      <w:sz w:val="24"/>
      <w:lang w:eastAsia="en-US"/>
    </w:rPr>
  </w:style>
  <w:style w:type="character" w:customStyle="1" w:styleId="Heading2Char">
    <w:name w:val="Heading 2 Char"/>
    <w:basedOn w:val="DefaultParagraphFont"/>
    <w:link w:val="Heading2"/>
    <w:uiPriority w:val="9"/>
    <w:rsid w:val="00777D87"/>
    <w:rPr>
      <w:rFonts w:ascii="Arial" w:hAnsi="Arial"/>
      <w:b/>
      <w:i/>
      <w:snapToGrid w:val="0"/>
      <w:sz w:val="24"/>
      <w:lang w:eastAsia="en-US"/>
    </w:rPr>
  </w:style>
  <w:style w:type="character" w:customStyle="1" w:styleId="mmh">
    <w:name w:val="mmh"/>
    <w:basedOn w:val="DefaultParagraphFont"/>
    <w:rsid w:val="00777D87"/>
  </w:style>
  <w:style w:type="character" w:styleId="FollowedHyperlink">
    <w:name w:val="FollowedHyperlink"/>
    <w:basedOn w:val="DefaultParagraphFont"/>
    <w:rsid w:val="00777D87"/>
    <w:rPr>
      <w:color w:val="954F72" w:themeColor="followedHyperlink"/>
      <w:u w:val="single"/>
    </w:rPr>
  </w:style>
  <w:style w:type="paragraph" w:styleId="NoSpacing">
    <w:name w:val="No Spacing"/>
    <w:uiPriority w:val="1"/>
    <w:qFormat/>
    <w:rsid w:val="00777D87"/>
    <w:pPr>
      <w:widowControl w:val="0"/>
    </w:pPr>
    <w:rPr>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35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117" Type="http://schemas.openxmlformats.org/officeDocument/2006/relationships/hyperlink" Target="https://www.europarl.europa.eu/RegData/etudes/BRIE/2020/648186/IPOL_BRI(2020)648186_SV.pdf" TargetMode="External"/><Relationship Id="rId21" Type="http://schemas.openxmlformats.org/officeDocument/2006/relationships/image" Target="media/image4.emf"/><Relationship Id="rId42" Type="http://schemas.openxmlformats.org/officeDocument/2006/relationships/image" Target="media/image12.jpg"/><Relationship Id="rId47" Type="http://schemas.openxmlformats.org/officeDocument/2006/relationships/hyperlink" Target="https://www.europarl.europa.eu/meps/en/197451/VIOLA_VON+CRAMON-TAUBADEL/home" TargetMode="External"/><Relationship Id="rId63" Type="http://schemas.openxmlformats.org/officeDocument/2006/relationships/hyperlink" Target="https://www.europarl.europa.eu/RegData/etudes/IDAN/2019/636480/IPOL_IDA(2019)636480_EN.pdf" TargetMode="External"/><Relationship Id="rId68" Type="http://schemas.openxmlformats.org/officeDocument/2006/relationships/hyperlink" Target="http://www.europarl.europa.eu/RegData/etudes/STUD/2019/636469/IPOL_STU(2019)636469_EN.pdf" TargetMode="External"/><Relationship Id="rId84" Type="http://schemas.openxmlformats.org/officeDocument/2006/relationships/hyperlink" Target="https://www.europarl.europa.eu/RegData/etudes/BRIE/2020/648183/IPOL_BRI(2020)648183_DE.pdf" TargetMode="External"/><Relationship Id="rId89" Type="http://schemas.openxmlformats.org/officeDocument/2006/relationships/hyperlink" Target="https://www.europarl.europa.eu/RegData/etudes/BRIE/2020/648183/IPOL_BRI(2020)648183_PL.pdf" TargetMode="External"/><Relationship Id="rId112" Type="http://schemas.openxmlformats.org/officeDocument/2006/relationships/hyperlink" Target="https://www.europarl.europa.eu/RegData/etudes/BRIE/2020/648186/IPOL_BRI(2020)648186_ES.pdf" TargetMode="External"/><Relationship Id="rId133" Type="http://schemas.openxmlformats.org/officeDocument/2006/relationships/hyperlink" Target="https://www.europarl.europa.eu/RegData/etudes/ATAG/2020/648761/IPOL_ATA(2020)648761_IT.pdf" TargetMode="External"/><Relationship Id="rId138" Type="http://schemas.openxmlformats.org/officeDocument/2006/relationships/hyperlink" Target="https://www.europarl.europa.eu/RegData/etudes/ATAG/2020/648762/IPOL_ATA(2020)648762_EN.pdf" TargetMode="External"/><Relationship Id="rId154" Type="http://schemas.openxmlformats.org/officeDocument/2006/relationships/hyperlink" Target="https://www.europarl.europa.eu/RegData/etudes/ATAG/2020/648763/IPOL_ATA(2020)648763_PL.pdf" TargetMode="External"/><Relationship Id="rId159" Type="http://schemas.openxmlformats.org/officeDocument/2006/relationships/hyperlink" Target="http://www.poldepnet.ep.parl.union.eu/poldept/cms/cache/offonce/poldepnet/poldep_d/poldepd_presentation" TargetMode="External"/><Relationship Id="rId16" Type="http://schemas.openxmlformats.org/officeDocument/2006/relationships/hyperlink" Target="http://www.europarl.europa.eu/ep-live/en/committees/schedule?committee=CONT" TargetMode="External"/><Relationship Id="rId107" Type="http://schemas.openxmlformats.org/officeDocument/2006/relationships/hyperlink" Target="https://www.europarl.europa.eu/RegData/etudes/BRIE/2020/648145/IPOL_BRI(2020)648145_PL.pdf" TargetMode="External"/><Relationship Id="rId11" Type="http://schemas.openxmlformats.org/officeDocument/2006/relationships/footer" Target="footer1.xml"/><Relationship Id="rId32" Type="http://schemas.openxmlformats.org/officeDocument/2006/relationships/hyperlink" Target="https://emeeting.europarl.europa.eu/emeeting/committee/en/agenda/202010/CONT?meeting=CONT-2020-1015_1&amp;session=10-15-13-45" TargetMode="External"/><Relationship Id="rId37" Type="http://schemas.openxmlformats.org/officeDocument/2006/relationships/image" Target="media/image10.jpg"/><Relationship Id="rId53" Type="http://schemas.openxmlformats.org/officeDocument/2006/relationships/hyperlink" Target="https://emeeting.europarl.europa.eu/emeeting/committee/en/agenda/202010/CONT?meeting=CONT-2020-1015_1&amp;session=10-15-16-45" TargetMode="External"/><Relationship Id="rId58" Type="http://schemas.openxmlformats.org/officeDocument/2006/relationships/hyperlink" Target="http://www.contnet.ep.parl.union.eu/contnet/cms/home/menu_current_leg" TargetMode="External"/><Relationship Id="rId74" Type="http://schemas.openxmlformats.org/officeDocument/2006/relationships/hyperlink" Target="http://www.europarl.europa.eu/RegData/etudes/BRIE/2020/654526/IPOL_BRI(2020)654526_EN.pdf" TargetMode="External"/><Relationship Id="rId79" Type="http://schemas.openxmlformats.org/officeDocument/2006/relationships/hyperlink" Target="https://www.europarl.europa.eu/RegData/etudes/STUD/2020/651444/IPOL_STU(2020)651444_IT.pdf" TargetMode="External"/><Relationship Id="rId102" Type="http://schemas.openxmlformats.org/officeDocument/2006/relationships/hyperlink" Target="https://www.europarl.europa.eu/RegData/etudes/BRIE/2020/648145/IPOL_BRI(2020)648145_DE.pdf" TargetMode="External"/><Relationship Id="rId123" Type="http://schemas.openxmlformats.org/officeDocument/2006/relationships/hyperlink" Target="https://www.europarl.europa.eu/RegData/etudes/ATAG/2020/648760/IPOL_ATA(2020)648760_IT.pdf" TargetMode="External"/><Relationship Id="rId128" Type="http://schemas.openxmlformats.org/officeDocument/2006/relationships/hyperlink" Target="https://www.europarl.europa.eu/RegData/etudes/ATAG/2020/648761/IPOL_ATA(2020)648761_EN.pdf" TargetMode="External"/><Relationship Id="rId144" Type="http://schemas.openxmlformats.org/officeDocument/2006/relationships/hyperlink" Target="https://www.europarl.europa.eu/RegData/etudes/ATAG/2020/648762/IPOL_ATA(2020)648762_NL.pdf" TargetMode="External"/><Relationship Id="rId149" Type="http://schemas.openxmlformats.org/officeDocument/2006/relationships/hyperlink" Target="https://www.europarl.europa.eu/RegData/etudes/ATAG/2020/648763/IPOL_ATA(2020)648763_DE.pdf" TargetMode="External"/><Relationship Id="rId5" Type="http://schemas.openxmlformats.org/officeDocument/2006/relationships/webSettings" Target="webSettings.xml"/><Relationship Id="rId90" Type="http://schemas.openxmlformats.org/officeDocument/2006/relationships/hyperlink" Target="https://www.europarl.europa.eu/RegData/etudes/BRIE/2020/648183/IPOL_BRI(2020)648183_SV.pdf" TargetMode="External"/><Relationship Id="rId95" Type="http://schemas.openxmlformats.org/officeDocument/2006/relationships/hyperlink" Target="https://www.europarl.europa.eu/RegData/etudes/BRIE/2020/648148/IPOL_BRI(2020)648148_FR.pdf" TargetMode="External"/><Relationship Id="rId160" Type="http://schemas.openxmlformats.org/officeDocument/2006/relationships/fontTable" Target="fontTable.xml"/><Relationship Id="rId22" Type="http://schemas.openxmlformats.org/officeDocument/2006/relationships/hyperlink" Target="https://www.europarl.europa.eu/meps/en/96780/MONIKA_HOHLMEIER/home" TargetMode="External"/><Relationship Id="rId27" Type="http://schemas.openxmlformats.org/officeDocument/2006/relationships/hyperlink" Target="https://www.europarl.europa.eu/meps/en/33982/MARIAN-JEAN_MARINESCU/home" TargetMode="External"/><Relationship Id="rId43" Type="http://schemas.openxmlformats.org/officeDocument/2006/relationships/hyperlink" Target="https://www.europarl.europa.eu/meps/en/124985/LUKE+MING_FLANAGAN/home" TargetMode="External"/><Relationship Id="rId48" Type="http://schemas.openxmlformats.org/officeDocument/2006/relationships/image" Target="media/image15.jpeg"/><Relationship Id="rId64" Type="http://schemas.openxmlformats.org/officeDocument/2006/relationships/hyperlink" Target="http://www.europarl.europa.eu/RegData/etudes/IDAN/2019/621804/IPOL_IDA(2019)621804_EN.pdf" TargetMode="External"/><Relationship Id="rId69" Type="http://schemas.openxmlformats.org/officeDocument/2006/relationships/hyperlink" Target="file:///C:\Users\lpart\AppData\Local\Temp\IPOL_STU(2020)654474_EN-3.pdf" TargetMode="External"/><Relationship Id="rId113" Type="http://schemas.openxmlformats.org/officeDocument/2006/relationships/hyperlink" Target="https://www.europarl.europa.eu/RegData/etudes/BRIE/2020/648186/IPOL_BRI(2020)648186_FR.pdf" TargetMode="External"/><Relationship Id="rId118" Type="http://schemas.openxmlformats.org/officeDocument/2006/relationships/hyperlink" Target="https://www.europarl.europa.eu/RegData/etudes/ATAG/2020/648760/IPOL_ATA(2020)648760_EN.pdf" TargetMode="External"/><Relationship Id="rId134" Type="http://schemas.openxmlformats.org/officeDocument/2006/relationships/hyperlink" Target="https://www.europarl.europa.eu/RegData/etudes/ATAG/2020/648761/IPOL_ATA(2020)648761_NL.pdf" TargetMode="External"/><Relationship Id="rId139" Type="http://schemas.openxmlformats.org/officeDocument/2006/relationships/hyperlink" Target="https://www.europarl.europa.eu/RegData/etudes/ATAG/2020/648762/IPOL_ATA(2020)648762_DA.pdf" TargetMode="External"/><Relationship Id="rId80" Type="http://schemas.openxmlformats.org/officeDocument/2006/relationships/hyperlink" Target="https://www.europarl.europa.eu/RegData/etudes/STUD/2020/651444/IPOL_STU(2020)651444_PL.pdf" TargetMode="External"/><Relationship Id="rId85" Type="http://schemas.openxmlformats.org/officeDocument/2006/relationships/hyperlink" Target="https://www.europarl.europa.eu/RegData/etudes/BRIE/2020/648183/IPOL_BRI(2020)648183_ES.pdf" TargetMode="External"/><Relationship Id="rId150" Type="http://schemas.openxmlformats.org/officeDocument/2006/relationships/hyperlink" Target="https://www.europarl.europa.eu/RegData/etudes/ATAG/2020/648763/IPOL_ATA(2020)648763_ES.pdf" TargetMode="External"/><Relationship Id="rId155" Type="http://schemas.openxmlformats.org/officeDocument/2006/relationships/hyperlink" Target="https://www.europarl.europa.eu/RegData/etudes/ATAG/2020/648763/IPOL_ATA(2020)648763_SV.pdf" TargetMode="External"/><Relationship Id="rId12" Type="http://schemas.openxmlformats.org/officeDocument/2006/relationships/footer" Target="footer2.xml"/><Relationship Id="rId17" Type="http://schemas.openxmlformats.org/officeDocument/2006/relationships/hyperlink" Target="https://www.europarl.europa.eu/committees/en/cont/home/highlights" TargetMode="External"/><Relationship Id="rId33" Type="http://schemas.openxmlformats.org/officeDocument/2006/relationships/hyperlink" Target="https://www.europarl.europa.eu/meps/en/33982/MARIAN-JEAN_MARINESCU/home" TargetMode="External"/><Relationship Id="rId38" Type="http://schemas.openxmlformats.org/officeDocument/2006/relationships/hyperlink" Target="https://www.europarl.europa.eu/meps/en/26837/LEFTERIS_CHRISTOFOROU/home" TargetMode="External"/><Relationship Id="rId59" Type="http://schemas.openxmlformats.org/officeDocument/2006/relationships/hyperlink" Target="mailto:cont-secretariat@europarl.europa.eu?subject=cont-secretariat@europarl.europa.eu" TargetMode="External"/><Relationship Id="rId103" Type="http://schemas.openxmlformats.org/officeDocument/2006/relationships/hyperlink" Target="https://www.europarl.europa.eu/RegData/etudes/BRIE/2020/648145/IPOL_BRI(2020)648145_ES.pdf" TargetMode="External"/><Relationship Id="rId108" Type="http://schemas.openxmlformats.org/officeDocument/2006/relationships/hyperlink" Target="https://www.europarl.europa.eu/RegData/etudes/BRIE/2020/648145/IPOL_BRI(2020)648145_SV.pdf" TargetMode="External"/><Relationship Id="rId124" Type="http://schemas.openxmlformats.org/officeDocument/2006/relationships/hyperlink" Target="https://www.europarl.europa.eu/RegData/etudes/ATAG/2020/648760/IPOL_ATA(2020)648760_NL.pdf" TargetMode="External"/><Relationship Id="rId129" Type="http://schemas.openxmlformats.org/officeDocument/2006/relationships/hyperlink" Target="https://www.europarl.europa.eu/RegData/etudes/ATAG/2020/648761/IPOL_ATA(2020)648761_DA.pdf" TargetMode="External"/><Relationship Id="rId20" Type="http://schemas.openxmlformats.org/officeDocument/2006/relationships/image" Target="media/image3.emf"/><Relationship Id="rId41" Type="http://schemas.openxmlformats.org/officeDocument/2006/relationships/hyperlink" Target="https://emeeting.europarl.europa.eu/emeeting/committee/en/agenda/202010/CONT?meeting=CONT-2020-1015_1&amp;session=10-15-13-45" TargetMode="External"/><Relationship Id="rId54" Type="http://schemas.openxmlformats.org/officeDocument/2006/relationships/hyperlink" Target="http://www.contnet.ep.parl.union.eu/contnet/cms/home/menu_current_leg" TargetMode="External"/><Relationship Id="rId62" Type="http://schemas.openxmlformats.org/officeDocument/2006/relationships/hyperlink" Target="http://www.europarl.europa.eu/RegData/etudes/ATAG/2020/654527/IPOL_ATA(2020)654527_EN.pdf" TargetMode="External"/><Relationship Id="rId70" Type="http://schemas.openxmlformats.org/officeDocument/2006/relationships/hyperlink" Target="https://www.europarl.europa.eu/RegData/etudes/BRIE/2020/656549/IPOL_BRI(2020)656549_EN.pdf" TargetMode="External"/><Relationship Id="rId75" Type="http://schemas.openxmlformats.org/officeDocument/2006/relationships/hyperlink" Target="https://www.europarl.europa.eu/RegData/etudes/STUD/2020/651444/IPOL_STU(2020)651444_EN.pdf" TargetMode="External"/><Relationship Id="rId83" Type="http://schemas.openxmlformats.org/officeDocument/2006/relationships/hyperlink" Target="https://www.europarl.europa.eu/RegData/etudes/BRIE/2020/648183/IPOL_BRI(2020)648183_DA.pdf" TargetMode="External"/><Relationship Id="rId88" Type="http://schemas.openxmlformats.org/officeDocument/2006/relationships/hyperlink" Target="https://www.europarl.europa.eu/RegData/etudes/BRIE/2020/648183/IPOL_BRI(2020)648183_NL.pdf" TargetMode="External"/><Relationship Id="rId91" Type="http://schemas.openxmlformats.org/officeDocument/2006/relationships/hyperlink" Target="https://www.europarl.europa.eu/RegData/etudes/BRIE/2020/648148/IPOL_BRI(2020)648148_EN.pdf" TargetMode="External"/><Relationship Id="rId96" Type="http://schemas.openxmlformats.org/officeDocument/2006/relationships/hyperlink" Target="https://www.europarl.europa.eu/RegData/etudes/BRIE/2020/648148/IPOL_BRI(2020)648148_IT.pdf" TargetMode="External"/><Relationship Id="rId111" Type="http://schemas.openxmlformats.org/officeDocument/2006/relationships/hyperlink" Target="https://www.europarl.europa.eu/RegData/etudes/BRIE/2020/648186/IPOL_BRI(2020)648186_DE.pdf" TargetMode="External"/><Relationship Id="rId132" Type="http://schemas.openxmlformats.org/officeDocument/2006/relationships/hyperlink" Target="https://www.europarl.europa.eu/RegData/etudes/ATAG/2020/648761/IPOL_ATA(2020)648761_FR.pdf" TargetMode="External"/><Relationship Id="rId140" Type="http://schemas.openxmlformats.org/officeDocument/2006/relationships/hyperlink" Target="https://www.europarl.europa.eu/RegData/etudes/ATAG/2020/648762/IPOL_ATA(2020)648762_DE.pdf" TargetMode="External"/><Relationship Id="rId145" Type="http://schemas.openxmlformats.org/officeDocument/2006/relationships/hyperlink" Target="https://www.europarl.europa.eu/RegData/etudes/ATAG/2020/648762/IPOL_ATA(2020)648762_PL.pdf" TargetMode="External"/><Relationship Id="rId153" Type="http://schemas.openxmlformats.org/officeDocument/2006/relationships/hyperlink" Target="https://www.europarl.europa.eu/RegData/etudes/ATAG/2020/648763/IPOL_ATA(2020)648763_NL.pdf"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meeting.europarl.europa.eu/emeeting/committee/en/agenda/202010/CONT?meeting=CONT-2020-1015_1&amp;session=10-15-13-45" TargetMode="External"/><Relationship Id="rId23" Type="http://schemas.openxmlformats.org/officeDocument/2006/relationships/image" Target="media/image5.png"/><Relationship Id="rId28" Type="http://schemas.openxmlformats.org/officeDocument/2006/relationships/image" Target="media/image7.jpeg"/><Relationship Id="rId36" Type="http://schemas.openxmlformats.org/officeDocument/2006/relationships/hyperlink" Target="https://emeeting.europarl.europa.eu/emeeting/committee/en/agenda/202010/CONT?meeting=CONT-2020-1015_1&amp;session=10-15-13-45" TargetMode="External"/><Relationship Id="rId49" Type="http://schemas.openxmlformats.org/officeDocument/2006/relationships/hyperlink" Target="https://www.eca.europa.eu/Lists/ECADocuments/SR20_13/SR_Biodiversity_on_farmland_EN.pdf" TargetMode="External"/><Relationship Id="rId57" Type="http://schemas.openxmlformats.org/officeDocument/2006/relationships/hyperlink" Target="https://emeeting.europarl.europa.eu/emeeting/committee/en/agenda/202010/CONT?meeting=CONT-2020-1015_1&amp;session=10-15-16-45" TargetMode="External"/><Relationship Id="rId106" Type="http://schemas.openxmlformats.org/officeDocument/2006/relationships/hyperlink" Target="https://www.europarl.europa.eu/RegData/etudes/BRIE/2020/648145/IPOL_BRI(2020)648145_NL.pdf" TargetMode="External"/><Relationship Id="rId114" Type="http://schemas.openxmlformats.org/officeDocument/2006/relationships/hyperlink" Target="https://www.europarl.europa.eu/RegData/etudes/BRIE/2020/648186/IPOL_BRI(2020)648186_IT.pdf" TargetMode="External"/><Relationship Id="rId119" Type="http://schemas.openxmlformats.org/officeDocument/2006/relationships/hyperlink" Target="https://www.europarl.europa.eu/RegData/etudes/ATAG/2020/648760/IPOL_ATA(2020)648760_DA.pdf" TargetMode="External"/><Relationship Id="rId127" Type="http://schemas.openxmlformats.org/officeDocument/2006/relationships/hyperlink" Target="https://www.europarl.europa.eu/RegData/etudes/ATAG/2020/648761/IPOL_ATA(2020)648761_EN.pdf" TargetMode="External"/><Relationship Id="rId10" Type="http://schemas.openxmlformats.org/officeDocument/2006/relationships/header" Target="header2.xml"/><Relationship Id="rId31" Type="http://schemas.openxmlformats.org/officeDocument/2006/relationships/hyperlink" Target="https://www.eca.europa.eu/Lists/ECADocuments/SR20_12/SR_European_Investment_Advisory_Hub_EN.pdf" TargetMode="External"/><Relationship Id="rId44" Type="http://schemas.openxmlformats.org/officeDocument/2006/relationships/image" Target="media/image13.jpeg"/><Relationship Id="rId52" Type="http://schemas.openxmlformats.org/officeDocument/2006/relationships/hyperlink" Target="https://www.eca.europa.eu/Lists/ECADocuments/SR20_07/SR_ESI_Funds_EN.pdf" TargetMode="External"/><Relationship Id="rId60" Type="http://schemas.openxmlformats.org/officeDocument/2006/relationships/hyperlink" Target="http://www.europarl.europa.eu/committees/en/cont/home.html" TargetMode="External"/><Relationship Id="rId65" Type="http://schemas.openxmlformats.org/officeDocument/2006/relationships/hyperlink" Target="https://www.europarl.europa.eu/RegData/etudes/STUD/2019/621806/IPOL_STU(2019)621806_EN.pdf" TargetMode="External"/><Relationship Id="rId73" Type="http://schemas.openxmlformats.org/officeDocument/2006/relationships/hyperlink" Target="https://www.europarl.europa.eu/RegData/etudes/STUD/2020/654166/IPOL_STU(2020)654166_EN.pdf" TargetMode="External"/><Relationship Id="rId78" Type="http://schemas.openxmlformats.org/officeDocument/2006/relationships/hyperlink" Target="https://www.europarl.europa.eu/RegData/etudes/STUD/2020/651444/IPOL_STU(2020)651444_FR.pdf" TargetMode="External"/><Relationship Id="rId81" Type="http://schemas.openxmlformats.org/officeDocument/2006/relationships/hyperlink" Target="https://www.europarl.europa.eu/RegData/etudes/BRIE/2020/648183/IPOL_BRI(2020)648183_EN.pdf" TargetMode="External"/><Relationship Id="rId86" Type="http://schemas.openxmlformats.org/officeDocument/2006/relationships/hyperlink" Target="https://www.europarl.europa.eu/RegData/etudes/BRIE/2020/648183/IPOL_BRI(2020)648183_FR.pdf" TargetMode="External"/><Relationship Id="rId94" Type="http://schemas.openxmlformats.org/officeDocument/2006/relationships/hyperlink" Target="https://www.europarl.europa.eu/RegData/etudes/BRIE/2020/648148/IPOL_BRI(2020)648148_ES.pdf" TargetMode="External"/><Relationship Id="rId99" Type="http://schemas.openxmlformats.org/officeDocument/2006/relationships/hyperlink" Target="https://www.europarl.europa.eu/RegData/etudes/BRIE/2020/648148/IPOL_BRI(2020)648148_SV.pdf" TargetMode="External"/><Relationship Id="rId101" Type="http://schemas.openxmlformats.org/officeDocument/2006/relationships/hyperlink" Target="https://www.europarl.europa.eu/RegData/etudes/BRIE/2020/648145/IPOL_BRI(2020)648145_DA.pdf" TargetMode="External"/><Relationship Id="rId122" Type="http://schemas.openxmlformats.org/officeDocument/2006/relationships/hyperlink" Target="https://www.europarl.europa.eu/RegData/etudes/ATAG/2020/648760/IPOL_ATA(2020)648760_FR.pdf" TargetMode="External"/><Relationship Id="rId130" Type="http://schemas.openxmlformats.org/officeDocument/2006/relationships/hyperlink" Target="https://www.europarl.europa.eu/RegData/etudes/ATAG/2020/648761/IPOL_ATA(2020)648761_DE.pdf" TargetMode="External"/><Relationship Id="rId135" Type="http://schemas.openxmlformats.org/officeDocument/2006/relationships/hyperlink" Target="https://www.europarl.europa.eu/RegData/etudes/ATAG/2020/648761/IPOL_ATA(2020)648761_PL.pdf" TargetMode="External"/><Relationship Id="rId143" Type="http://schemas.openxmlformats.org/officeDocument/2006/relationships/hyperlink" Target="https://www.europarl.europa.eu/RegData/etudes/ATAG/2020/648762/IPOL_ATA(2020)648762_IT.pdf" TargetMode="External"/><Relationship Id="rId148" Type="http://schemas.openxmlformats.org/officeDocument/2006/relationships/hyperlink" Target="https://www.europarl.europa.eu/RegData/etudes/ATAG/2020/648763/IPOL_ATA(2020)648763_DA.pdf" TargetMode="External"/><Relationship Id="rId151" Type="http://schemas.openxmlformats.org/officeDocument/2006/relationships/hyperlink" Target="https://www.europarl.europa.eu/RegData/etudes/ATAG/2020/648763/IPOL_ATA(2020)648763_FR.pdf" TargetMode="External"/><Relationship Id="rId156" Type="http://schemas.openxmlformats.org/officeDocument/2006/relationships/hyperlink" Target="https://ted.europa.eu/udl?uri=TED:NOTICE:215928-2020:TEXT:EN: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11.jpeg"/><Relationship Id="rId109" Type="http://schemas.openxmlformats.org/officeDocument/2006/relationships/hyperlink" Target="https://www.europarl.europa.eu/RegData/etudes/BRIE/2020/648186/IPOL_BRI(2020)648186_EN.pdf" TargetMode="External"/><Relationship Id="rId34" Type="http://schemas.openxmlformats.org/officeDocument/2006/relationships/image" Target="media/image9.jpeg"/><Relationship Id="rId50" Type="http://schemas.openxmlformats.org/officeDocument/2006/relationships/hyperlink" Target="https://www.europarl.europa.eu/meps/en/197451/VIOLA_VON+CRAMON-TAUBADEL/home" TargetMode="External"/><Relationship Id="rId55" Type="http://schemas.openxmlformats.org/officeDocument/2006/relationships/hyperlink" Target="mailto:cont-secretariat@europarl.europa.eu?subject=cont-secretariat@europarl.europa.eu" TargetMode="External"/><Relationship Id="rId76" Type="http://schemas.openxmlformats.org/officeDocument/2006/relationships/hyperlink" Target="https://www.europarl.europa.eu/RegData/etudes/STUD/2020/651444/IPOL_STU(2020)651444_DE.pdf" TargetMode="External"/><Relationship Id="rId97" Type="http://schemas.openxmlformats.org/officeDocument/2006/relationships/hyperlink" Target="https://www.europarl.europa.eu/RegData/etudes/BRIE/2020/648148/IPOL_BRI(2020)648148_NL.pdf" TargetMode="External"/><Relationship Id="rId104" Type="http://schemas.openxmlformats.org/officeDocument/2006/relationships/hyperlink" Target="https://www.europarl.europa.eu/RegData/etudes/BRIE/2020/648145/IPOL_BRI(2020)648145_FR.pdf" TargetMode="External"/><Relationship Id="rId120" Type="http://schemas.openxmlformats.org/officeDocument/2006/relationships/hyperlink" Target="https://www.europarl.europa.eu/RegData/etudes/ATAG/2020/648760/IPOL_ATA(2020)648760_DE.pdf" TargetMode="External"/><Relationship Id="rId125" Type="http://schemas.openxmlformats.org/officeDocument/2006/relationships/hyperlink" Target="https://www.europarl.europa.eu/RegData/etudes/ATAG/2020/648760/IPOL_ATA(2020)648760_PL.pdf" TargetMode="External"/><Relationship Id="rId141" Type="http://schemas.openxmlformats.org/officeDocument/2006/relationships/hyperlink" Target="https://www.europarl.europa.eu/RegData/etudes/ATAG/2020/648762/IPOL_ATA(2020)648762_ES.pdf" TargetMode="External"/><Relationship Id="rId146" Type="http://schemas.openxmlformats.org/officeDocument/2006/relationships/hyperlink" Target="https://www.europarl.europa.eu/RegData/etudes/ATAG/2020/648762/IPOL_ATA(2020)648762_SV.pdf" TargetMode="External"/><Relationship Id="rId7" Type="http://schemas.openxmlformats.org/officeDocument/2006/relationships/endnotes" Target="endnotes.xml"/><Relationship Id="rId71" Type="http://schemas.openxmlformats.org/officeDocument/2006/relationships/hyperlink" Target="https://www.europarl.europa.eu/RegData/etudes/BRIE/2020/656549/IPOL_BRI(2020)656549_EN.pdf" TargetMode="External"/><Relationship Id="rId92" Type="http://schemas.openxmlformats.org/officeDocument/2006/relationships/hyperlink" Target="https://www.europarl.europa.eu/RegData/etudes/BRIE/2020/648148/IPOL_BRI(2020)648148_DA.pdf" TargetMode="External"/><Relationship Id="rId2" Type="http://schemas.openxmlformats.org/officeDocument/2006/relationships/numbering" Target="numbering.xml"/><Relationship Id="rId29" Type="http://schemas.openxmlformats.org/officeDocument/2006/relationships/hyperlink" Target="https://www.europarl.europa.eu/meps/en/124785/MARIA_GRAPINI/home" TargetMode="External"/><Relationship Id="rId24" Type="http://schemas.openxmlformats.org/officeDocument/2006/relationships/hyperlink" Target="https://www.europarl.europa.eu/committees/en/cont-opinion-on-the-recovery-and-resilie/product-details/20200901CDT04003" TargetMode="External"/><Relationship Id="rId40" Type="http://schemas.openxmlformats.org/officeDocument/2006/relationships/hyperlink" Target="https://www.eca.europa.eu/Lists/ECADocuments/SR20_11/SR_Energy_efficiency_in_buildings_EN.pdf" TargetMode="External"/><Relationship Id="rId45" Type="http://schemas.openxmlformats.org/officeDocument/2006/relationships/hyperlink" Target="https://www.eca.europa.eu/Lists/ECADocuments/SR20_04/SR_New_technologies_in_agri-monitoring_EN.pdf" TargetMode="External"/><Relationship Id="rId66" Type="http://schemas.openxmlformats.org/officeDocument/2006/relationships/hyperlink" Target="https://www.europarl.europa.eu/RegData/etudes/STUD/2019/621806/IPOL_STU(2019)621806_EN.pdf" TargetMode="External"/><Relationship Id="rId87" Type="http://schemas.openxmlformats.org/officeDocument/2006/relationships/hyperlink" Target="https://www.europarl.europa.eu/RegData/etudes/BRIE/2020/648183/IPOL_BRI(2020)648183_IT.pdf" TargetMode="External"/><Relationship Id="rId110" Type="http://schemas.openxmlformats.org/officeDocument/2006/relationships/hyperlink" Target="https://www.europarl.europa.eu/RegData/etudes/BRIE/2020/648186/IPOL_BRI(2020)648186_DA.pdf" TargetMode="External"/><Relationship Id="rId115" Type="http://schemas.openxmlformats.org/officeDocument/2006/relationships/hyperlink" Target="https://www.europarl.europa.eu/RegData/etudes/BRIE/2020/648186/IPOL_BRI(2020)648186_NL.pdf" TargetMode="External"/><Relationship Id="rId131" Type="http://schemas.openxmlformats.org/officeDocument/2006/relationships/hyperlink" Target="https://www.europarl.europa.eu/RegData/etudes/ATAG/2020/648761/IPOL_ATA(2020)648761_ES.pdf" TargetMode="External"/><Relationship Id="rId136" Type="http://schemas.openxmlformats.org/officeDocument/2006/relationships/hyperlink" Target="https://www.europarl.europa.eu/RegData/etudes/ATAG/2020/648761/IPOL_ATA(2020)648761_SV.pdf" TargetMode="External"/><Relationship Id="rId157" Type="http://schemas.openxmlformats.org/officeDocument/2006/relationships/hyperlink" Target="mailto:poldep-budg@europarl.europa.eu" TargetMode="External"/><Relationship Id="rId61" Type="http://schemas.openxmlformats.org/officeDocument/2006/relationships/header" Target="header4.xml"/><Relationship Id="rId82" Type="http://schemas.openxmlformats.org/officeDocument/2006/relationships/hyperlink" Target="https://www.europarl.europa.eu/RegData/etudes/BRIE/2020/648183/IPOL_BRI(2020)648183_EN.pdf" TargetMode="External"/><Relationship Id="rId152" Type="http://schemas.openxmlformats.org/officeDocument/2006/relationships/hyperlink" Target="https://www.europarl.europa.eu/RegData/etudes/ATAG/2020/648763/IPOL_ATA(2020)648763_IT.pdf" TargetMode="External"/><Relationship Id="rId19" Type="http://schemas.openxmlformats.org/officeDocument/2006/relationships/hyperlink" Target="https://oeil.secure.europarl.europa.eu/oeil/popups/ficheprocedure.do?reference=2020/0104(COD)&amp;l=en" TargetMode="External"/><Relationship Id="rId14" Type="http://schemas.openxmlformats.org/officeDocument/2006/relationships/footer" Target="footer3.xml"/><Relationship Id="rId30" Type="http://schemas.openxmlformats.org/officeDocument/2006/relationships/image" Target="media/image8.jpeg"/><Relationship Id="rId35" Type="http://schemas.openxmlformats.org/officeDocument/2006/relationships/hyperlink" Target="https://www.eca.europa.eu/Lists/ECADocuments/SR20_09/SR_Road_network_EN.pdf" TargetMode="External"/><Relationship Id="rId56" Type="http://schemas.openxmlformats.org/officeDocument/2006/relationships/hyperlink" Target="http://www.europarl.europa.eu/committees/en/cont/home.html" TargetMode="External"/><Relationship Id="rId77" Type="http://schemas.openxmlformats.org/officeDocument/2006/relationships/hyperlink" Target="https://www.europarl.europa.eu/RegData/etudes/STUD/2020/651444/IPOL_STU(2020)651444_ES.pdf" TargetMode="External"/><Relationship Id="rId100" Type="http://schemas.openxmlformats.org/officeDocument/2006/relationships/hyperlink" Target="https://www.europarl.europa.eu/RegData/etudes/BRIE/2020/648145/IPOL_BRI(2020)648145_EN.pdf" TargetMode="External"/><Relationship Id="rId105" Type="http://schemas.openxmlformats.org/officeDocument/2006/relationships/hyperlink" Target="https://www.europarl.europa.eu/RegData/etudes/BRIE/2020/648145/IPOL_BRI(2020)648145_IT.pdf" TargetMode="External"/><Relationship Id="rId126" Type="http://schemas.openxmlformats.org/officeDocument/2006/relationships/hyperlink" Target="https://www.europarl.europa.eu/RegData/etudes/ATAG/2020/648760/IPOL_ATA(2020)648760_SV.pdf" TargetMode="External"/><Relationship Id="rId147" Type="http://schemas.openxmlformats.org/officeDocument/2006/relationships/hyperlink" Target="https://www.europarl.europa.eu/RegData/etudes/ATAG/2020/648763/IPOL_ATA(2020)648763_EN.pdf" TargetMode="External"/><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hyperlink" Target="https://www.europarl.europa.eu/RegData/etudes/STUD/2020/654525/IPOL_STU(2020)654525_EN.pdf" TargetMode="External"/><Relationship Id="rId93" Type="http://schemas.openxmlformats.org/officeDocument/2006/relationships/hyperlink" Target="https://www.europarl.europa.eu/RegData/etudes/BRIE/2020/648148/IPOL_BRI(2020)648148_DE.pdf" TargetMode="External"/><Relationship Id="rId98" Type="http://schemas.openxmlformats.org/officeDocument/2006/relationships/hyperlink" Target="https://www.europarl.europa.eu/RegData/etudes/BRIE/2020/648148/IPOL_BRI(2020)648148_PL.pdf" TargetMode="External"/><Relationship Id="rId121" Type="http://schemas.openxmlformats.org/officeDocument/2006/relationships/hyperlink" Target="https://www.europarl.europa.eu/RegData/etudes/ATAG/2020/648760/IPOL_ATA(2020)648760_ES.pdf" TargetMode="External"/><Relationship Id="rId142" Type="http://schemas.openxmlformats.org/officeDocument/2006/relationships/hyperlink" Target="https://www.europarl.europa.eu/RegData/etudes/ATAG/2020/648762/IPOL_ATA(2020)648762_FR.pdf" TargetMode="External"/><Relationship Id="rId3" Type="http://schemas.openxmlformats.org/officeDocument/2006/relationships/styles" Target="styles.xml"/><Relationship Id="rId25" Type="http://schemas.openxmlformats.org/officeDocument/2006/relationships/hyperlink" Target="https://oeil.secure.europarl.europa.eu/oeil/popups/ficheprocedure.do?reference=2018/0170(COD)&amp;l=en" TargetMode="External"/><Relationship Id="rId46" Type="http://schemas.openxmlformats.org/officeDocument/2006/relationships/image" Target="media/image14.jpg"/><Relationship Id="rId67" Type="http://schemas.openxmlformats.org/officeDocument/2006/relationships/hyperlink" Target="http://www.europarl.europa.eu/RegData/etudes/STUD/2019/636469/IPOL_STU(2019)636469_EN.pdf" TargetMode="External"/><Relationship Id="rId116" Type="http://schemas.openxmlformats.org/officeDocument/2006/relationships/hyperlink" Target="https://www.europarl.europa.eu/RegData/etudes/BRIE/2020/648186/IPOL_BRI(2020)648186_PL.pdf" TargetMode="External"/><Relationship Id="rId137" Type="http://schemas.openxmlformats.org/officeDocument/2006/relationships/hyperlink" Target="https://www.europarl.europa.eu/RegData/etudes/ATAG/2020/648762/IPOL_ATA(2020)648762_EN.pdf" TargetMode="External"/><Relationship Id="rId158" Type="http://schemas.openxmlformats.org/officeDocument/2006/relationships/hyperlink" Target="mailto:poldep-budg@ep.europa.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GLES~1\AppData\Local\Temp\PV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BA73B-0979-4E10-9F1A-0A273C58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PVx.dotx</Template>
  <TotalTime>0</TotalTime>
  <Pages>23</Pages>
  <Words>7004</Words>
  <Characters>46160</Characters>
  <Application>Microsoft Office Word</Application>
  <DocSecurity>0</DocSecurity>
  <Lines>1282</Lines>
  <Paragraphs>648</Paragraphs>
  <ScaleCrop>false</ScaleCrop>
  <HeadingPairs>
    <vt:vector size="2" baseType="variant">
      <vt:variant>
        <vt:lpstr>Title</vt:lpstr>
      </vt:variant>
      <vt:variant>
        <vt:i4>1</vt:i4>
      </vt:variant>
    </vt:vector>
  </HeadingPairs>
  <TitlesOfParts>
    <vt:vector size="1" baseType="lpstr">
      <vt:lpstr>PVx</vt:lpstr>
    </vt:vector>
  </TitlesOfParts>
  <Company/>
  <LinksUpToDate>false</LinksUpToDate>
  <CharactersWithSpaces>52516</CharactersWithSpaces>
  <SharedDoc>false</SharedDoc>
  <HLinks>
    <vt:vector size="12" baseType="variant">
      <vt:variant>
        <vt:i4>2752513</vt:i4>
      </vt:variant>
      <vt:variant>
        <vt:i4>8</vt:i4>
      </vt:variant>
      <vt:variant>
        <vt:i4>0</vt:i4>
      </vt:variant>
      <vt:variant>
        <vt:i4>5</vt:i4>
      </vt:variant>
      <vt:variant>
        <vt:lpwstr/>
      </vt:variant>
      <vt:variant>
        <vt:lpwstr>_Toc3824015</vt:lpwstr>
      </vt:variant>
      <vt:variant>
        <vt:i4>2752513</vt:i4>
      </vt:variant>
      <vt:variant>
        <vt:i4>2</vt:i4>
      </vt:variant>
      <vt:variant>
        <vt:i4>0</vt:i4>
      </vt:variant>
      <vt:variant>
        <vt:i4>5</vt:i4>
      </vt:variant>
      <vt:variant>
        <vt:lpwstr/>
      </vt:variant>
      <vt:variant>
        <vt:lpwstr>_Toc3824014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PVx</dc:title>
  <dc:subject/>
  <dc:creator>IGLESIAS SANTOS Marisol</dc:creator>
  <cp:keywords/>
  <cp:lastModifiedBy>SILVA Carla Marina</cp:lastModifiedBy>
  <cp:revision>2</cp:revision>
  <cp:lastPrinted>2009-06-18T13:43:00Z</cp:lastPrinted>
  <dcterms:created xsi:type="dcterms:W3CDTF">2020-12-21T18:14:00Z</dcterms:created>
  <dcterms:modified xsi:type="dcterms:W3CDTF">2020-12-21T18:14:00Z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with">
    <vt:lpwstr>9.9.1 Build [20200705]</vt:lpwstr>
  </property>
  <property fmtid="{D5CDD505-2E9C-101B-9397-08002B2CF9AE}" pid="3" name="LastEdited with">
    <vt:lpwstr>9.9.1 Build [20200705]</vt:lpwstr>
  </property>
  <property fmtid="{D5CDD505-2E9C-101B-9397-08002B2CF9AE}" pid="4" name="&lt;FdR&gt;">
    <vt:lpwstr>1219186</vt:lpwstr>
  </property>
  <property fmtid="{D5CDD505-2E9C-101B-9397-08002B2CF9AE}" pid="5" name="&lt;Type&gt;">
    <vt:lpwstr>PV</vt:lpwstr>
  </property>
  <property fmtid="{D5CDD505-2E9C-101B-9397-08002B2CF9AE}" pid="6" name="&lt;ModelCod&gt;">
    <vt:lpwstr>\\eiciLUXpr1\pdocep$\DocEP\DOCS\General\PV\PVx.dotx(17/04/2020 18:28:12)</vt:lpwstr>
  </property>
  <property fmtid="{D5CDD505-2E9C-101B-9397-08002B2CF9AE}" pid="7" name="&lt;ModelTra&gt;">
    <vt:lpwstr>\\eiciLUXpr1\pdocep$\DocEP\TRANSFIL\EN\PVx.EN(16/10/2020 21:44:13)</vt:lpwstr>
  </property>
  <property fmtid="{D5CDD505-2E9C-101B-9397-08002B2CF9AE}" pid="8" name="&lt;Model&gt;">
    <vt:lpwstr>PVx</vt:lpwstr>
  </property>
  <property fmtid="{D5CDD505-2E9C-101B-9397-08002B2CF9AE}" pid="9" name="FooterPath">
    <vt:lpwstr>PV\1219186PT.docx</vt:lpwstr>
  </property>
  <property fmtid="{D5CDD505-2E9C-101B-9397-08002B2CF9AE}" pid="10" name="PE number">
    <vt:lpwstr>661.827</vt:lpwstr>
  </property>
  <property fmtid="{D5CDD505-2E9C-101B-9397-08002B2CF9AE}" pid="11" name="SendToEpades">
    <vt:lpwstr>OK - 2020/12/14 09:32</vt:lpwstr>
  </property>
  <property fmtid="{D5CDD505-2E9C-101B-9397-08002B2CF9AE}" pid="12" name="SDLStudio">
    <vt:lpwstr/>
  </property>
  <property fmtid="{D5CDD505-2E9C-101B-9397-08002B2CF9AE}" pid="13" name="&lt;Extension&gt;">
    <vt:lpwstr>PT</vt:lpwstr>
  </property>
  <property fmtid="{D5CDD505-2E9C-101B-9397-08002B2CF9AE}" pid="14" name="Bookout">
    <vt:lpwstr>OK - 2020/12/21 19:14</vt:lpwstr>
  </property>
</Properties>
</file>