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FC5FD1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FC5FD1" w:rsidRDefault="00785010" w:rsidP="003E2402">
            <w:pPr>
              <w:pStyle w:val="EPName"/>
            </w:pPr>
            <w:bookmarkStart w:id="0" w:name="_GoBack"/>
            <w:bookmarkEnd w:id="0"/>
            <w:r>
              <w:t>Evropski parlament</w:t>
            </w:r>
          </w:p>
          <w:p w:rsidR="00E856D2" w:rsidRPr="00FC5FD1" w:rsidRDefault="00FC5FD1" w:rsidP="00FC5FD1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E856D2" w:rsidRPr="00FC5FD1" w:rsidRDefault="00AE180F" w:rsidP="003E2402">
            <w:pPr>
              <w:pStyle w:val="EPLogo"/>
            </w:pPr>
            <w:r w:rsidRPr="00FC5FD1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FC5FD1" w:rsidRDefault="001746D0" w:rsidP="001746D0">
      <w:pPr>
        <w:pStyle w:val="LineTop"/>
      </w:pPr>
    </w:p>
    <w:p w:rsidR="001746D0" w:rsidRPr="00FC5FD1" w:rsidRDefault="001746D0" w:rsidP="001746D0">
      <w:pPr>
        <w:pStyle w:val="EPBody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{DEVE}</w:t>
      </w:r>
      <w:r>
        <w:t>Odbor za razvoj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1746D0" w:rsidRPr="00FC5FD1" w:rsidRDefault="001746D0" w:rsidP="001746D0">
      <w:pPr>
        <w:pStyle w:val="LineBottom"/>
      </w:pPr>
    </w:p>
    <w:p w:rsidR="002E2F2E" w:rsidRPr="00FC5FD1" w:rsidRDefault="002E2F2E">
      <w:pPr>
        <w:pStyle w:val="CoverReference"/>
      </w:pPr>
      <w:r>
        <w:rPr>
          <w:rStyle w:val="HideTWBExt"/>
          <w:b w:val="0"/>
          <w:noProof w:val="0"/>
        </w:rPr>
        <w:t>&lt;RefProc&gt;</w:t>
      </w:r>
      <w:r>
        <w:t>2019/2065(DEC)</w:t>
      </w:r>
      <w:r>
        <w:rPr>
          <w:rStyle w:val="HideTWBExt"/>
          <w:b w:val="0"/>
          <w:noProof w:val="0"/>
        </w:rPr>
        <w:t>&lt;/RefProc&gt;</w:t>
      </w:r>
    </w:p>
    <w:p w:rsidR="002E2F2E" w:rsidRPr="00FC5FD1" w:rsidRDefault="002E2F2E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{13/11/2019}</w:t>
      </w:r>
      <w:r>
        <w:t>13.11.2019</w:t>
      </w:r>
      <w:r>
        <w:rPr>
          <w:rStyle w:val="HideTWBExt"/>
          <w:noProof w:val="0"/>
        </w:rPr>
        <w:t>&lt;/Date&gt;</w:t>
      </w:r>
    </w:p>
    <w:p w:rsidR="002E2F2E" w:rsidRPr="00FC5FD1" w:rsidRDefault="002E2F2E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OSNUTEK MNENJA</w:t>
      </w:r>
      <w:r>
        <w:rPr>
          <w:rStyle w:val="HideTWBExt"/>
          <w:b w:val="0"/>
          <w:noProof w:val="0"/>
        </w:rPr>
        <w:t>&lt;/TitreType&gt;</w:t>
      </w:r>
    </w:p>
    <w:p w:rsidR="002E2F2E" w:rsidRPr="00FC5FD1" w:rsidRDefault="002E2F2E">
      <w:pPr>
        <w:pStyle w:val="CoverNormal24a"/>
      </w:pPr>
      <w:r>
        <w:rPr>
          <w:rStyle w:val="HideTWBExt"/>
          <w:noProof w:val="0"/>
        </w:rPr>
        <w:t>&lt;CommissionResp&gt;</w:t>
      </w:r>
      <w:r>
        <w:t>Odbora za razvoj</w:t>
      </w:r>
      <w:r>
        <w:rPr>
          <w:rStyle w:val="HideTWBExt"/>
          <w:noProof w:val="0"/>
        </w:rPr>
        <w:t>&lt;/CommissionResp&gt;</w:t>
      </w:r>
    </w:p>
    <w:p w:rsidR="002E2F2E" w:rsidRPr="00FC5FD1" w:rsidRDefault="002E2F2E">
      <w:pPr>
        <w:pStyle w:val="CoverNormal24a"/>
      </w:pPr>
      <w:r>
        <w:rPr>
          <w:rStyle w:val="HideTWBExt"/>
          <w:noProof w:val="0"/>
        </w:rPr>
        <w:t>&lt;CommissionInt&gt;</w:t>
      </w:r>
      <w:r>
        <w:t>za Odbor za proračunski nadzor</w:t>
      </w:r>
      <w:r>
        <w:rPr>
          <w:rStyle w:val="HideTWBExt"/>
          <w:noProof w:val="0"/>
        </w:rPr>
        <w:t>&lt;/CommissionInt&gt;</w:t>
      </w:r>
    </w:p>
    <w:p w:rsidR="002E2F2E" w:rsidRPr="00FC5FD1" w:rsidRDefault="002E2F2E">
      <w:pPr>
        <w:pStyle w:val="CoverNormal"/>
      </w:pPr>
      <w:r>
        <w:rPr>
          <w:rStyle w:val="HideTWBExt"/>
          <w:noProof w:val="0"/>
        </w:rPr>
        <w:t>&lt;Titre&gt;</w:t>
      </w:r>
      <w:r>
        <w:t>o razrešnici glede izvrševanja proračuna osmega, devetega, desetega in enajstega Evropskega razvojnega sklada za proračunsko leto 2018</w:t>
      </w:r>
      <w:r>
        <w:rPr>
          <w:rStyle w:val="HideTWBExt"/>
          <w:noProof w:val="0"/>
        </w:rPr>
        <w:t>&lt;/Titre&gt;</w:t>
      </w:r>
    </w:p>
    <w:p w:rsidR="002E2F2E" w:rsidRPr="00FC5FD1" w:rsidRDefault="002E2F2E">
      <w:pPr>
        <w:pStyle w:val="CoverNormal24a"/>
      </w:pPr>
      <w:r>
        <w:rPr>
          <w:rStyle w:val="HideTWBExt"/>
          <w:noProof w:val="0"/>
        </w:rPr>
        <w:t>&lt;DocRef&gt;</w:t>
      </w:r>
      <w:r>
        <w:t>(2019/2065(DEC))</w:t>
      </w:r>
      <w:r>
        <w:rPr>
          <w:rStyle w:val="HideTWBExt"/>
          <w:noProof w:val="0"/>
        </w:rPr>
        <w:t>&lt;/DocRef&gt;</w:t>
      </w:r>
    </w:p>
    <w:p w:rsidR="002E2F2E" w:rsidRPr="00FC5FD1" w:rsidRDefault="00FC5FD1">
      <w:pPr>
        <w:pStyle w:val="CoverNormal24a"/>
      </w:pPr>
      <w:r>
        <w:t xml:space="preserve">Pripravljavec mnenja: </w:t>
      </w:r>
      <w:r>
        <w:rPr>
          <w:rStyle w:val="HideTWBExt"/>
          <w:noProof w:val="0"/>
        </w:rPr>
        <w:t>&lt;Depute&gt;</w:t>
      </w:r>
      <w:r>
        <w:t>Charles Goerens</w:t>
      </w:r>
      <w:r>
        <w:rPr>
          <w:rStyle w:val="HideTWBExt"/>
          <w:noProof w:val="0"/>
        </w:rPr>
        <w:t>&lt;/Depute&gt;</w:t>
      </w:r>
    </w:p>
    <w:p w:rsidR="00A72C35" w:rsidRPr="00FC5FD1" w:rsidRDefault="00A72C35" w:rsidP="00A72C35">
      <w:pPr>
        <w:pStyle w:val="CoverNormal"/>
      </w:pPr>
    </w:p>
    <w:p w:rsidR="002E2F2E" w:rsidRPr="00FC5FD1" w:rsidRDefault="002E2F2E" w:rsidP="00E856D2">
      <w:pPr>
        <w:widowControl/>
        <w:tabs>
          <w:tab w:val="center" w:pos="4677"/>
        </w:tabs>
      </w:pPr>
      <w:r>
        <w:br w:type="page"/>
      </w:r>
      <w:r>
        <w:lastRenderedPageBreak/>
        <w:t>PA_NonLeg</w:t>
      </w:r>
    </w:p>
    <w:p w:rsidR="002E2F2E" w:rsidRPr="00FC5FD1" w:rsidRDefault="002E2F2E">
      <w:pPr>
        <w:pStyle w:val="PageHeadingNotTOC"/>
      </w:pPr>
      <w:r>
        <w:br w:type="page"/>
      </w:r>
      <w:r>
        <w:lastRenderedPageBreak/>
        <w:t>POBUDE</w:t>
      </w:r>
    </w:p>
    <w:p w:rsidR="002E2F2E" w:rsidRPr="00FC5FD1" w:rsidRDefault="00FC5FD1" w:rsidP="008313E7">
      <w:pPr>
        <w:pStyle w:val="Normal12a"/>
      </w:pPr>
      <w:r>
        <w:t>Odbor za razvoj poziva Odbor za proračunski nadzor kot pristojni odbor, da v svoj predlog resolucije vključi naslednje pobude:</w:t>
      </w:r>
    </w:p>
    <w:p w:rsidR="00FC5FD1" w:rsidRPr="00FC5FD1" w:rsidRDefault="00FC5FD1" w:rsidP="00FC5FD1">
      <w:pPr>
        <w:pStyle w:val="Hanging12"/>
        <w:tabs>
          <w:tab w:val="clear" w:pos="357"/>
          <w:tab w:val="left" w:pos="567"/>
        </w:tabs>
        <w:ind w:left="426" w:hanging="426"/>
      </w:pPr>
      <w:bookmarkStart w:id="1" w:name="restart"/>
      <w:r>
        <w:t>1.</w:t>
      </w:r>
      <w:r>
        <w:tab/>
        <w:t>ugotavlja, da je Unija osredotočena na resna vprašanja dobrega finančnega upravljanja, in poudarja, da je pomembno dodeliti več sredstev za podporo dobrega upravljanja, demokracije in vladavine prava v državah v razvoju;</w:t>
      </w:r>
    </w:p>
    <w:p w:rsidR="00FC5FD1" w:rsidRPr="00FC5FD1" w:rsidRDefault="00FC5FD1" w:rsidP="00FC5FD1">
      <w:pPr>
        <w:pStyle w:val="Normal12Hanging"/>
        <w:ind w:left="426" w:hanging="426"/>
      </w:pPr>
      <w:r>
        <w:t>2.</w:t>
      </w:r>
      <w:r>
        <w:tab/>
        <w:t xml:space="preserve">pozdravlja, da so plačila proračunske podpore iz Evropskega razvojnega sklada leta 2018 znašala 796 milijonov EUR; vendar poziva Komisijo, naj bolje oceni in opredeli razvojne rezultate, ki jih bo treba doseči s proračunsko podporo v posameznih primerih, in predvsem, naj na področju korupcije, spoštovanja človekovih pravic, pravne države in demokracije izboljša mehanizme nadzora nad ravnanjem držav prejemnic; </w:t>
      </w:r>
    </w:p>
    <w:p w:rsidR="00FC5FD1" w:rsidRPr="00FC5FD1" w:rsidRDefault="00FC5FD1" w:rsidP="00FC5FD1">
      <w:pPr>
        <w:pStyle w:val="Normal12Hanging"/>
        <w:ind w:left="426" w:hanging="426"/>
      </w:pPr>
      <w:r>
        <w:t>3.</w:t>
      </w:r>
      <w:r>
        <w:tab/>
        <w:t>meni, da bi morala biti oblika skrbniškega sklada Evropske unije za nujne primere jasnejša; je prepričan, da bo GD DEVCO upošteval priporočila iz posebnega poročila Računskega sodišča št. 32/2018;</w:t>
      </w:r>
    </w:p>
    <w:p w:rsidR="00FC5FD1" w:rsidRPr="00FC5FD1" w:rsidRDefault="00FC5FD1" w:rsidP="00FC5FD1">
      <w:pPr>
        <w:pStyle w:val="Normal12Hanging"/>
        <w:ind w:left="426" w:hanging="426"/>
      </w:pPr>
      <w:r>
        <w:t>4.</w:t>
      </w:r>
      <w:r>
        <w:tab/>
        <w:t>ponovno poudarja obveznost, ki jo imajo mednarodne organizacije, da Računskemu sodišču na njegovo zahtevo posredujejo vse dokumente ali informacije, ki jih potrebuje za izvršitev svoje naloge, kot je določeno v PDEU; opozarja Komisijo, naj spremlja, ali mednarodne organizacije spoštujejo to obveznost, da se ne bi ponavljale napake, kot ob nedavni reviziji projekta oskrbe z vodo in sanitarnih storitev v Mozambiku.</w:t>
      </w:r>
    </w:p>
    <w:p w:rsidR="002E2F2E" w:rsidRPr="00FC5FD1" w:rsidRDefault="002E2F2E" w:rsidP="008313E7">
      <w:pPr>
        <w:pStyle w:val="NormalHanging12a"/>
      </w:pPr>
    </w:p>
    <w:bookmarkEnd w:id="1"/>
    <w:p w:rsidR="002E6F98" w:rsidRPr="00FC5FD1" w:rsidRDefault="002E6F98">
      <w:pPr>
        <w:widowControl/>
        <w:tabs>
          <w:tab w:val="left" w:pos="-720"/>
        </w:tabs>
      </w:pPr>
    </w:p>
    <w:sectPr w:rsidR="002E6F98" w:rsidRPr="00FC5FD1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10" w:rsidRPr="00FC5FD1" w:rsidRDefault="00785010">
      <w:r w:rsidRPr="00FC5FD1">
        <w:separator/>
      </w:r>
    </w:p>
  </w:endnote>
  <w:endnote w:type="continuationSeparator" w:id="0">
    <w:p w:rsidR="00785010" w:rsidRPr="00FC5FD1" w:rsidRDefault="00785010">
      <w:r w:rsidRPr="00FC5F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FC5FD1" w:rsidRDefault="005D60C6" w:rsidP="00347D2C">
    <w:pPr>
      <w:pStyle w:val="EPFooter"/>
    </w:pPr>
    <w:r w:rsidRPr="00FC5FD1">
      <w:t>PE</w:t>
    </w:r>
    <w:r w:rsidR="002E2F2E" w:rsidRPr="00FC5FD1">
      <w:rPr>
        <w:rStyle w:val="HideTWBExt"/>
        <w:noProof w:val="0"/>
      </w:rPr>
      <w:t>&lt;NoPE&gt;</w:t>
    </w:r>
    <w:r w:rsidR="00FC5FD1" w:rsidRPr="00FC5FD1">
      <w:t>643.144</w:t>
    </w:r>
    <w:r w:rsidR="002E2F2E" w:rsidRPr="00FC5FD1">
      <w:rPr>
        <w:rStyle w:val="HideTWBExt"/>
        <w:noProof w:val="0"/>
      </w:rPr>
      <w:t>&lt;/NoPE&gt;&lt;Version&gt;</w:t>
    </w:r>
    <w:r w:rsidR="00785010" w:rsidRPr="00FC5FD1">
      <w:t>v</w:t>
    </w:r>
    <w:r w:rsidR="00FC5FD1" w:rsidRPr="00FC5FD1">
      <w:t>01-00</w:t>
    </w:r>
    <w:r w:rsidR="002E2F2E" w:rsidRPr="00FC5FD1">
      <w:rPr>
        <w:rStyle w:val="HideTWBExt"/>
        <w:noProof w:val="0"/>
      </w:rPr>
      <w:t>&lt;/Version&gt;</w:t>
    </w:r>
    <w:r w:rsidR="002E2F2E" w:rsidRPr="00FC5FD1">
      <w:tab/>
    </w:r>
    <w:r w:rsidR="006102E7" w:rsidRPr="00FC5FD1">
      <w:fldChar w:fldCharType="begin"/>
    </w:r>
    <w:r w:rsidR="006102E7" w:rsidRPr="00FC5FD1">
      <w:instrText xml:space="preserve"> PAGE </w:instrText>
    </w:r>
    <w:r w:rsidR="006102E7" w:rsidRPr="00FC5FD1">
      <w:fldChar w:fldCharType="separate"/>
    </w:r>
    <w:r w:rsidR="00183274">
      <w:rPr>
        <w:noProof/>
      </w:rPr>
      <w:t>2</w:t>
    </w:r>
    <w:r w:rsidR="006102E7" w:rsidRPr="00FC5FD1">
      <w:fldChar w:fldCharType="end"/>
    </w:r>
    <w:r w:rsidR="006102E7" w:rsidRPr="00FC5FD1">
      <w:t>/</w:t>
    </w:r>
    <w:fldSimple w:instr=" NUMPAGES ">
      <w:r w:rsidR="00183274">
        <w:rPr>
          <w:noProof/>
        </w:rPr>
        <w:t>3</w:t>
      </w:r>
    </w:fldSimple>
    <w:r w:rsidR="002E2F2E" w:rsidRPr="00FC5FD1">
      <w:tab/>
    </w:r>
    <w:r w:rsidR="002E2F2E" w:rsidRPr="00FC5FD1">
      <w:rPr>
        <w:rStyle w:val="HideTWBExt"/>
        <w:noProof w:val="0"/>
      </w:rPr>
      <w:t>&lt;PathFdR&gt;</w:t>
    </w:r>
    <w:r w:rsidR="00FC5FD1" w:rsidRPr="00FC5FD1">
      <w:t>PA\1192378SL.docx</w:t>
    </w:r>
    <w:r w:rsidR="002E2F2E" w:rsidRPr="00FC5FD1">
      <w:rPr>
        <w:rStyle w:val="HideTWBExt"/>
        <w:noProof w:val="0"/>
      </w:rPr>
      <w:t>&lt;/PathFdR&gt;</w:t>
    </w:r>
  </w:p>
  <w:p w:rsidR="002E2F2E" w:rsidRPr="00FC5FD1" w:rsidRDefault="0081643F">
    <w:pPr>
      <w:pStyle w:val="EPFooter2"/>
    </w:pPr>
    <w:fldSimple w:instr=" DOCPROPERTY &quot;&lt;Extension&gt;&quot; ">
      <w:r w:rsidR="00183274">
        <w:t>SL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FC5FD1" w:rsidRDefault="002E2F2E" w:rsidP="00347D2C">
    <w:pPr>
      <w:pStyle w:val="EPFooter"/>
    </w:pPr>
    <w:r w:rsidRPr="00FC5FD1">
      <w:rPr>
        <w:rStyle w:val="HideTWBExt"/>
        <w:noProof w:val="0"/>
      </w:rPr>
      <w:t>&lt;PathFdR&gt;</w:t>
    </w:r>
    <w:r w:rsidR="00FC5FD1" w:rsidRPr="00FC5FD1">
      <w:t>PA\1192378SL.docx</w:t>
    </w:r>
    <w:r w:rsidRPr="00FC5FD1">
      <w:rPr>
        <w:rStyle w:val="HideTWBExt"/>
        <w:noProof w:val="0"/>
      </w:rPr>
      <w:t>&lt;/PathFdR&gt;</w:t>
    </w:r>
    <w:r w:rsidRPr="00FC5FD1">
      <w:tab/>
    </w:r>
    <w:r w:rsidR="006102E7" w:rsidRPr="00FC5FD1">
      <w:fldChar w:fldCharType="begin"/>
    </w:r>
    <w:r w:rsidR="006102E7" w:rsidRPr="00FC5FD1">
      <w:instrText xml:space="preserve"> PAGE </w:instrText>
    </w:r>
    <w:r w:rsidR="006102E7" w:rsidRPr="00FC5FD1">
      <w:fldChar w:fldCharType="separate"/>
    </w:r>
    <w:r w:rsidR="00183274">
      <w:rPr>
        <w:noProof/>
      </w:rPr>
      <w:t>3</w:t>
    </w:r>
    <w:r w:rsidR="006102E7" w:rsidRPr="00FC5FD1">
      <w:fldChar w:fldCharType="end"/>
    </w:r>
    <w:r w:rsidR="006102E7" w:rsidRPr="00FC5FD1">
      <w:t>/</w:t>
    </w:r>
    <w:fldSimple w:instr=" NUMPAGES ">
      <w:r w:rsidR="00183274">
        <w:rPr>
          <w:noProof/>
        </w:rPr>
        <w:t>3</w:t>
      </w:r>
    </w:fldSimple>
    <w:r w:rsidRPr="00FC5FD1">
      <w:tab/>
    </w:r>
    <w:r w:rsidR="005D60C6" w:rsidRPr="00FC5FD1">
      <w:t>PE</w:t>
    </w:r>
    <w:r w:rsidRPr="00FC5FD1">
      <w:rPr>
        <w:rStyle w:val="HideTWBExt"/>
        <w:noProof w:val="0"/>
      </w:rPr>
      <w:t>&lt;NoPE&gt;</w:t>
    </w:r>
    <w:r w:rsidR="00FC5FD1" w:rsidRPr="00FC5FD1">
      <w:t>643.144</w:t>
    </w:r>
    <w:r w:rsidRPr="00FC5FD1">
      <w:rPr>
        <w:rStyle w:val="HideTWBExt"/>
        <w:noProof w:val="0"/>
      </w:rPr>
      <w:t>&lt;/NoPE&gt;&lt;Version&gt;</w:t>
    </w:r>
    <w:r w:rsidR="00785010" w:rsidRPr="00FC5FD1">
      <w:t>v</w:t>
    </w:r>
    <w:r w:rsidR="00FC5FD1" w:rsidRPr="00FC5FD1">
      <w:t>01-00</w:t>
    </w:r>
    <w:r w:rsidRPr="00FC5FD1">
      <w:rPr>
        <w:rStyle w:val="HideTWBExt"/>
        <w:noProof w:val="0"/>
      </w:rPr>
      <w:t>&lt;/Version&gt;</w:t>
    </w:r>
  </w:p>
  <w:p w:rsidR="002E2F2E" w:rsidRPr="00FC5FD1" w:rsidRDefault="006102E7">
    <w:pPr>
      <w:pStyle w:val="EPFooter2"/>
    </w:pPr>
    <w:r w:rsidRPr="00FC5FD1">
      <w:tab/>
    </w:r>
    <w:r w:rsidR="002E2F2E" w:rsidRPr="00FC5FD1">
      <w:tab/>
    </w:r>
    <w:fldSimple w:instr=" DOCPROPERTY &quot;&lt;Extension&gt;&quot; ">
      <w:r w:rsidR="00183274">
        <w:t>SL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FC5FD1" w:rsidRDefault="002E2F2E" w:rsidP="00347D2C">
    <w:pPr>
      <w:pStyle w:val="EPFooter"/>
    </w:pPr>
    <w:r w:rsidRPr="00FC5FD1">
      <w:rPr>
        <w:rStyle w:val="HideTWBExt"/>
        <w:noProof w:val="0"/>
      </w:rPr>
      <w:t>&lt;PathFdR&gt;</w:t>
    </w:r>
    <w:r w:rsidR="00FC5FD1" w:rsidRPr="00FC5FD1">
      <w:t>PA\1192378SL.docx</w:t>
    </w:r>
    <w:r w:rsidRPr="00FC5FD1">
      <w:rPr>
        <w:rStyle w:val="HideTWBExt"/>
        <w:noProof w:val="0"/>
      </w:rPr>
      <w:t>&lt;/PathFdR&gt;</w:t>
    </w:r>
    <w:r w:rsidRPr="00FC5FD1">
      <w:tab/>
    </w:r>
    <w:r w:rsidRPr="00FC5FD1">
      <w:tab/>
    </w:r>
    <w:r w:rsidR="005D60C6" w:rsidRPr="00FC5FD1">
      <w:t>PE</w:t>
    </w:r>
    <w:r w:rsidRPr="00FC5FD1">
      <w:rPr>
        <w:rStyle w:val="HideTWBExt"/>
        <w:noProof w:val="0"/>
      </w:rPr>
      <w:t>&lt;NoPE&gt;</w:t>
    </w:r>
    <w:r w:rsidR="00FC5FD1" w:rsidRPr="00FC5FD1">
      <w:t>643.144</w:t>
    </w:r>
    <w:r w:rsidRPr="00FC5FD1">
      <w:rPr>
        <w:rStyle w:val="HideTWBExt"/>
        <w:noProof w:val="0"/>
      </w:rPr>
      <w:t>&lt;/NoPE&gt;&lt;Version&gt;</w:t>
    </w:r>
    <w:r w:rsidR="00785010" w:rsidRPr="00FC5FD1">
      <w:t>v</w:t>
    </w:r>
    <w:r w:rsidR="00FC5FD1" w:rsidRPr="00FC5FD1">
      <w:t>01-00</w:t>
    </w:r>
    <w:r w:rsidRPr="00FC5FD1">
      <w:rPr>
        <w:rStyle w:val="HideTWBExt"/>
        <w:noProof w:val="0"/>
      </w:rPr>
      <w:t>&lt;/Version&gt;</w:t>
    </w:r>
  </w:p>
  <w:p w:rsidR="002E2F2E" w:rsidRPr="00FC5FD1" w:rsidRDefault="0081643F" w:rsidP="001746D0">
    <w:pPr>
      <w:pStyle w:val="EPFooter2"/>
      <w:tabs>
        <w:tab w:val="clear" w:pos="4535"/>
        <w:tab w:val="center" w:pos="4536"/>
      </w:tabs>
    </w:pPr>
    <w:fldSimple w:instr=" DOCPROPERTY &quot;&lt;Extension&gt;&quot; ">
      <w:r w:rsidR="00183274">
        <w:t>SL</w:t>
      </w:r>
    </w:fldSimple>
    <w:r w:rsidR="001746D0" w:rsidRPr="00FC5FD1">
      <w:tab/>
    </w:r>
    <w:r w:rsidR="00FC5FD1" w:rsidRPr="00FC5FD1">
      <w:rPr>
        <w:b w:val="0"/>
        <w:i/>
        <w:color w:val="C0C0C0"/>
        <w:sz w:val="22"/>
        <w:szCs w:val="22"/>
      </w:rPr>
      <w:t>Združena v raznolikosti</w:t>
    </w:r>
    <w:r w:rsidR="001746D0" w:rsidRPr="00FC5FD1">
      <w:tab/>
    </w:r>
    <w:fldSimple w:instr=" DOCPROPERTY &quot;&lt;Extension&gt;&quot; ">
      <w:r w:rsidR="00183274">
        <w:t>SL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10" w:rsidRPr="00FC5FD1" w:rsidRDefault="00785010">
      <w:r w:rsidRPr="00FC5FD1">
        <w:separator/>
      </w:r>
    </w:p>
  </w:footnote>
  <w:footnote w:type="continuationSeparator" w:id="0">
    <w:p w:rsidR="00785010" w:rsidRPr="00FC5FD1" w:rsidRDefault="00785010">
      <w:r w:rsidRPr="00FC5F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D1" w:rsidRDefault="00FC5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D1" w:rsidRDefault="00FC5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D1" w:rsidRDefault="00FC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1"/>
    <w:docVar w:name="CJMNU" w:val="1"/>
    <w:docVar w:name="COM2KEY" w:val="CONT"/>
    <w:docVar w:name="COMKEY" w:val="DEVE"/>
    <w:docVar w:name="LastEditedSection" w:val=" 1"/>
    <w:docVar w:name="NRPROCMNU" w:val=" 1"/>
    <w:docVar w:name="PROCMNU" w:val=" 3"/>
    <w:docVar w:name="RepeatBlock-AmendSL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89\fbidi \froman\fcharset238\fprq2 Times New Roman CE;}{\f290\fbidi \froman\fcharset204\fprq2 Times New Roman Cyr;}_x000d__x000a_{\f292\fbidi \froman\fcharset161\fprq2 Times New Roman Greek;}{\f293\fbidi \froman\fcharset162\fprq2 Times New Roman Tur;}{\f294\fbidi \froman\fcharset177\fprq2 Times New Roman (Hebrew);}{\f295\fbidi \froman\fcharset178\fprq2 Times New Roman (Arabic);}_x000d__x000a_{\f296\fbidi \froman\fcharset186\fprq2 Times New Roman Baltic;}{\f297\fbidi \froman\fcharset163\fprq2 Times New Roman (Vietnamese);}{\f299\fbidi \fswiss\fcharset238\fprq2 Arial CE;}{\f300\fbidi \fswiss\fcharset204\fprq2 Arial Cyr;}_x000d__x000a_{\f302\fbidi \fswiss\fcharset161\fprq2 Arial Greek;}{\f303\fbidi \fswiss\fcharset162\fprq2 Arial Tur;}{\f304\fbidi \fswiss\fcharset177\fprq2 Arial (Hebrew);}{\f305\fbidi \fswiss\fcharset178\fprq2 Arial (Arabic);}_x000d__x000a_{\f306\fbidi \fswiss\fcharset186\fprq2 Arial Baltic;}{\f307\fbidi \fswiss\fcharset163\fprq2 Arial (Vietnamese);}{\f629\fbidi \froman\fcharset238\fprq2 Cambria Math CE;}{\f630\fbidi \froman\fcharset204\fprq2 Cambria Math Cyr;}_x000d__x000a_{\f632\fbidi \froman\fcharset161\fprq2 Cambria Math Greek;}{\f633\fbidi \froman\fcharset162\fprq2 Cambria Math Tur;}{\f636\fbidi \froman\fcharset186\fprq2 Cambria Math Baltic;}{\f63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9635980 HideTWBInt;}{_x000d__x000a_\s18\ql \fi-567\li567\ri0\sa240\nowidctlpar\wrapdefault\aspalpha\aspnum\faauto\adjustright\rin0\lin567\itap0 \rtlch\fcs1 \af0\afs20\alang1025 \ltrch\fcs0 \fs24\lang1060\langfe2057\cgrid\langnp1060\langfenp2057 _x000d__x000a_\sbasedon0 \snext18 \spriority0 \styrsid9635980 NormalHanging12a;}}{\*\rsidtbl \rsid24658\rsid223860\rsid735077\rsid1718133\rsid2892074\rsid3565327\rsid3672211\rsid4666813\rsid6641733\rsid7823322\rsid9635980\rsid9636012\rsid10377208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author ZALOZNIK Katja}{\operator ZALOZNIK Katja}{\creatim\yr2019\mo11\dy7\hr9\min24}{\revtim\yr2019\mo11\dy7\hr9\min24}{\version1}{\edmins0}{\nofpages1}{\nofwords1}{\nofchars20}{\nofcharsws20}{\vern99}}{\*\xmlnstbl {\xmlns1 http://schemas.microsoft.com/_x000d__x000a_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63598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ZALOZ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67221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7221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7221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7221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9635980 \rtlch\fcs1 \af0\afs20\alang1025 \ltrch\fcs0 \fs24\lang1060\langfe2057\cgrid\langnp1060\langfenp2057 {\rtlch\fcs1 \af0 _x000d__x000a_\ltrch\fcs0 \insrsid9635980\charrsid3220622 {\*\bkmkstart restart}#}{\rtlch\fcs1 \af1 \ltrch\fcs0 \cs17\v\f1\fs20\cf15\insrsid9635980\charrsid3220622 NRMSG}{\rtlch\fcs1 \af0 \ltrch\fcs0 \insrsid9635980\charrsid3220622 #.\tab #}{\rtlch\fcs1 \af1 _x000d__x000a_\ltrch\fcs0 \cs17\v\f1\fs20\cf15\insrsid9635980\charrsid3220622 TEXTMSG2}{\rtlch\fcs1 \af0 \ltrch\fcs0 \insrsid9635980\charrsid3220622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a_x000d__x000a_14c8449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92"/>
    <w:docVar w:name="TXTLANGUE" w:val="SL"/>
    <w:docVar w:name="TXTLANGUEMIN" w:val="sl"/>
    <w:docVar w:name="TXTNRPE" w:val="643.144"/>
    <w:docVar w:name="TXTNRPROC" w:val="2019/2065"/>
    <w:docVar w:name="TXTPEorAP" w:val="PE"/>
    <w:docVar w:name="TXTROUTE" w:val="PA\1192378SL.docx"/>
    <w:docVar w:name="TXTTITLE" w:val="on discharge in respect of the implementation of the budget of the eighth, ninth, tenth and eleventh European Development Funds for the financial year 2018"/>
    <w:docVar w:name="TXTVERSION" w:val="01-00"/>
  </w:docVars>
  <w:rsids>
    <w:rsidRoot w:val="00785010"/>
    <w:rsid w:val="000E7EBF"/>
    <w:rsid w:val="00124F60"/>
    <w:rsid w:val="00135121"/>
    <w:rsid w:val="00140BE6"/>
    <w:rsid w:val="00147F4E"/>
    <w:rsid w:val="0016635E"/>
    <w:rsid w:val="001746D0"/>
    <w:rsid w:val="00183274"/>
    <w:rsid w:val="001B7393"/>
    <w:rsid w:val="001D2ED9"/>
    <w:rsid w:val="002D28A7"/>
    <w:rsid w:val="002E2F2E"/>
    <w:rsid w:val="002E6F98"/>
    <w:rsid w:val="00321B1E"/>
    <w:rsid w:val="00325BCB"/>
    <w:rsid w:val="00331944"/>
    <w:rsid w:val="00332AD9"/>
    <w:rsid w:val="00347D2C"/>
    <w:rsid w:val="0037356F"/>
    <w:rsid w:val="00390EB2"/>
    <w:rsid w:val="00396A0E"/>
    <w:rsid w:val="003E2402"/>
    <w:rsid w:val="004C28FB"/>
    <w:rsid w:val="004C44C0"/>
    <w:rsid w:val="0052544E"/>
    <w:rsid w:val="005940C3"/>
    <w:rsid w:val="00594C48"/>
    <w:rsid w:val="005B2F11"/>
    <w:rsid w:val="005C0BDF"/>
    <w:rsid w:val="005D60C6"/>
    <w:rsid w:val="006102E7"/>
    <w:rsid w:val="00640C1B"/>
    <w:rsid w:val="00657AFB"/>
    <w:rsid w:val="006D5BF7"/>
    <w:rsid w:val="00785010"/>
    <w:rsid w:val="0081643F"/>
    <w:rsid w:val="008313E7"/>
    <w:rsid w:val="008A32C5"/>
    <w:rsid w:val="008C6203"/>
    <w:rsid w:val="008D61E7"/>
    <w:rsid w:val="008F7002"/>
    <w:rsid w:val="0099493F"/>
    <w:rsid w:val="00A16BEA"/>
    <w:rsid w:val="00A312B3"/>
    <w:rsid w:val="00A72C35"/>
    <w:rsid w:val="00AE180F"/>
    <w:rsid w:val="00AE7EF1"/>
    <w:rsid w:val="00B362F7"/>
    <w:rsid w:val="00B5456B"/>
    <w:rsid w:val="00B74B53"/>
    <w:rsid w:val="00BA01A9"/>
    <w:rsid w:val="00BC26E4"/>
    <w:rsid w:val="00BD1EAA"/>
    <w:rsid w:val="00C52739"/>
    <w:rsid w:val="00C827FF"/>
    <w:rsid w:val="00CD34AC"/>
    <w:rsid w:val="00DE19FF"/>
    <w:rsid w:val="00E81BA6"/>
    <w:rsid w:val="00E856D2"/>
    <w:rsid w:val="00E929A7"/>
    <w:rsid w:val="00EF549C"/>
    <w:rsid w:val="00FC5FD1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90DA7AE-474D-4037-9797-9527D08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character" w:customStyle="1" w:styleId="Normal12HangingChar">
    <w:name w:val="Normal12Hanging Char"/>
    <w:link w:val="Normal12Hanging"/>
    <w:locked/>
    <w:rsid w:val="00FC5FD1"/>
    <w:rPr>
      <w:color w:val="000000"/>
      <w:sz w:val="24"/>
      <w:szCs w:val="24"/>
    </w:rPr>
  </w:style>
  <w:style w:type="paragraph" w:customStyle="1" w:styleId="Normal12Hanging">
    <w:name w:val="Normal12Hanging"/>
    <w:basedOn w:val="Normal"/>
    <w:link w:val="Normal12HangingChar"/>
    <w:rsid w:val="00FC5FD1"/>
    <w:pPr>
      <w:widowControl/>
      <w:spacing w:after="240"/>
      <w:ind w:firstLine="567"/>
    </w:pPr>
    <w:rPr>
      <w:color w:val="000000"/>
      <w:szCs w:val="24"/>
    </w:rPr>
  </w:style>
  <w:style w:type="paragraph" w:customStyle="1" w:styleId="Hanging12">
    <w:name w:val="Hanging12"/>
    <w:basedOn w:val="Normal"/>
    <w:rsid w:val="00FC5FD1"/>
    <w:pPr>
      <w:tabs>
        <w:tab w:val="left" w:pos="357"/>
      </w:tabs>
      <w:spacing w:after="240"/>
      <w:ind w:left="357" w:hanging="357"/>
    </w:pPr>
  </w:style>
  <w:style w:type="paragraph" w:styleId="Footer">
    <w:name w:val="footer"/>
    <w:basedOn w:val="Normal"/>
    <w:link w:val="FooterChar"/>
    <w:semiHidden/>
    <w:rsid w:val="00FC5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C5FD1"/>
    <w:rPr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ZALOZNIK Katja</dc:creator>
  <cp:keywords/>
  <dc:description/>
  <cp:lastModifiedBy>GROSELJ Tadej</cp:lastModifiedBy>
  <cp:revision>2</cp:revision>
  <cp:lastPrinted>2004-10-28T10:33:00Z</cp:lastPrinted>
  <dcterms:created xsi:type="dcterms:W3CDTF">2019-11-19T11:58:00Z</dcterms:created>
  <dcterms:modified xsi:type="dcterms:W3CDTF">2019-11-19T11:58:00Z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1192378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\\eiciLUXpr1\pdocep$\DocEP\DOCS\General\PA\PA_NonLeg.dotx(15/10/2019 06:17:18)</vt:lpwstr>
  </property>
  <property fmtid="{D5CDD505-2E9C-101B-9397-08002B2CF9AE}" pid="7" name="&lt;ModelTra&gt;">
    <vt:lpwstr>\\eiciLUXpr1\pdocep$\DocEP\TRANSFIL\SL\PA_NonLeg.SL(21/10/2019 14:56:08)</vt:lpwstr>
  </property>
  <property fmtid="{D5CDD505-2E9C-101B-9397-08002B2CF9AE}" pid="8" name="&lt;Model&gt;">
    <vt:lpwstr>PA_NonLeg</vt:lpwstr>
  </property>
  <property fmtid="{D5CDD505-2E9C-101B-9397-08002B2CF9AE}" pid="9" name="FooterPath">
    <vt:lpwstr>PA\1192378SL.docx</vt:lpwstr>
  </property>
  <property fmtid="{D5CDD505-2E9C-101B-9397-08002B2CF9AE}" pid="10" name="PE number">
    <vt:lpwstr>643.144</vt:lpwstr>
  </property>
  <property fmtid="{D5CDD505-2E9C-101B-9397-08002B2CF9AE}" pid="11" name="Bookout">
    <vt:lpwstr>OK - 2019/11/19 12:58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