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DD6E7D" w:rsidRDefault="00DD6E7D" w:rsidP="00DD6E7D">
      <w:pPr>
        <w:rPr>
          <w:b/>
          <w:noProof/>
        </w:rPr>
      </w:pPr>
      <w:bookmarkStart w:id="0" w:name="_GoBack"/>
      <w:bookmarkEnd w:id="0"/>
      <w:r w:rsidRPr="00DD6E7D">
        <w:rPr>
          <w:b/>
          <w:noProof/>
        </w:rPr>
        <w:t>Mistoqsija għal tweġiba bil-miktub E-000607/2019</w:t>
      </w:r>
    </w:p>
    <w:p w:rsidR="00DD6E7D" w:rsidRPr="00DD6E7D" w:rsidRDefault="00DD6E7D" w:rsidP="00DD6E7D">
      <w:pPr>
        <w:rPr>
          <w:b/>
          <w:noProof/>
        </w:rPr>
      </w:pPr>
      <w:r w:rsidRPr="00DD6E7D">
        <w:rPr>
          <w:b/>
          <w:noProof/>
        </w:rPr>
        <w:t>lill-Kummissjoni</w:t>
      </w:r>
    </w:p>
    <w:p w:rsidR="00DD6E7D" w:rsidRPr="00DD6E7D" w:rsidRDefault="00DD6E7D" w:rsidP="00DD6E7D">
      <w:pPr>
        <w:rPr>
          <w:noProof/>
        </w:rPr>
      </w:pPr>
      <w:r w:rsidRPr="00DD6E7D">
        <w:rPr>
          <w:noProof/>
        </w:rPr>
        <w:t>Artikolu 130 tar-Regoli ta’ Proċedura</w:t>
      </w:r>
    </w:p>
    <w:p w:rsidR="00DD6E7D" w:rsidRPr="00DD6E7D" w:rsidRDefault="00DD6E7D" w:rsidP="00DD6E7D">
      <w:pPr>
        <w:spacing w:after="240"/>
        <w:rPr>
          <w:b/>
          <w:noProof/>
        </w:rPr>
      </w:pPr>
      <w:r w:rsidRPr="00DD6E7D">
        <w:rPr>
          <w:b/>
          <w:noProof/>
        </w:rPr>
        <w:t>Eleonora Evi (EFDD), Bart Staes (Verts/ALE), Fabio Massimo Castaldo (EFDD), Younous Omarjee (GUE/NGL), Julie Ward (S&amp;D), Thomas Waitz (Verts/ALE), Isabella Adinolfi (EFDD), John Flack (ECR), Isabella De Monte (S&amp;D), Mark Demesmaeker (ECR), Pascal Durand (Verts/ALE), Keith Taylor (Verts/ALE), Anja Hazekamp (GUE/NGL), Benedek Jávor (Verts/ALE), Dario Tamburrano (EFDD), Alex Mayer (S&amp;D), Stefan Eck (GUE/NGL), Ivo Vajgl (ALDE), Heidi Hautala (Verts/ALE), Emil Radev (PPE), Guillaume Balas (S&amp;D), Miriam Dalli (S&amp;D), Marlene Mizzi (S&amp;D), Tilly Metz (Verts/ALE), Karin Kadenbach (S&amp;D), Sirpa Pietikäinen (PPE) u Florent Marcellesi (Verts/ALE)</w:t>
      </w:r>
    </w:p>
    <w:p w:rsidR="00DD6E7D" w:rsidRPr="00DD6E7D" w:rsidRDefault="00DD6E7D" w:rsidP="00DD6E7D">
      <w:pPr>
        <w:tabs>
          <w:tab w:val="left" w:pos="1134"/>
        </w:tabs>
        <w:spacing w:after="240"/>
        <w:ind w:left="1134" w:hanging="1134"/>
        <w:rPr>
          <w:noProof/>
        </w:rPr>
      </w:pPr>
      <w:r w:rsidRPr="00DD6E7D">
        <w:rPr>
          <w:noProof/>
        </w:rPr>
        <w:t>Suġġett:</w:t>
      </w:r>
      <w:r w:rsidRPr="00DD6E7D">
        <w:rPr>
          <w:noProof/>
        </w:rPr>
        <w:tab/>
        <w:t>Projbizzjoni fl-UE kollha tal-użu ta' annimali selvaġġi fiċ-ċirkli minħabba raġunijiet ta' sigurtà pubblika, sikurezza pubblika, saħħa tal-bniedem u saħħa tal-annimali</w:t>
      </w:r>
    </w:p>
    <w:p w:rsidR="008E39E2" w:rsidRPr="00DD6E7D" w:rsidRDefault="008E39E2" w:rsidP="00DD6E7D">
      <w:pPr>
        <w:spacing w:after="240"/>
        <w:rPr>
          <w:noProof/>
        </w:rPr>
      </w:pPr>
      <w:r w:rsidRPr="00DD6E7D">
        <w:rPr>
          <w:noProof/>
        </w:rPr>
        <w:t xml:space="preserve">L-użu ta' annimali selvaġġi fiċ-ċirkli għandu riperkussjonijiet fuq is-sigurtà pubblika, is-sikurezza pubblika, is-saħħa tal-bniedem u s-saħħa tal-annimali. </w:t>
      </w:r>
    </w:p>
    <w:p w:rsidR="008E39E2" w:rsidRPr="00DD6E7D" w:rsidRDefault="008E39E2" w:rsidP="00DD6E7D">
      <w:pPr>
        <w:spacing w:after="240"/>
        <w:rPr>
          <w:noProof/>
        </w:rPr>
      </w:pPr>
      <w:r w:rsidRPr="00DD6E7D">
        <w:rPr>
          <w:noProof/>
        </w:rPr>
        <w:t>L-inadegwatezza tal-istrutturi li fihom jinżammu l-annimali, il-prossimità taċ-ċirkli għal żoni urbani u n-nuqqasijiet fil-miżuri ta' sigurtà ta' spiss iwasslu għal inċidenti</w:t>
      </w:r>
      <w:r w:rsidR="00DD6E7D">
        <w:rPr>
          <w:rStyle w:val="FootnoteReference"/>
          <w:noProof/>
        </w:rPr>
        <w:footnoteReference w:id="1"/>
      </w:r>
      <w:r w:rsidRPr="00DD6E7D">
        <w:rPr>
          <w:noProof/>
        </w:rPr>
        <w:t>.</w:t>
      </w:r>
    </w:p>
    <w:p w:rsidR="008E39E2" w:rsidRPr="00DD6E7D" w:rsidRDefault="008E39E2" w:rsidP="00DD6E7D">
      <w:pPr>
        <w:spacing w:after="240"/>
        <w:rPr>
          <w:noProof/>
        </w:rPr>
      </w:pPr>
      <w:r w:rsidRPr="00DD6E7D">
        <w:rPr>
          <w:noProof/>
        </w:rPr>
        <w:t>Barra minn hekk, minħabba n-natura itineranti taċ-ċirki, l-annimali jkollhom jgħaddu minn vjaġġi twal u rilokazzjonijiet bla waqfien, u jqattgħu żmien twil fi trakkijiet u gaġeġ żgħar ħafna, bil-konsegwenza li r-riskju ta' tixrid tal-mard u ta' inċidenti matul it-trasport tagħhom jiżdied.</w:t>
      </w:r>
    </w:p>
    <w:p w:rsidR="008E39E2" w:rsidRPr="00DD6E7D" w:rsidRDefault="008E39E2" w:rsidP="00DD6E7D">
      <w:pPr>
        <w:spacing w:after="240"/>
        <w:rPr>
          <w:noProof/>
        </w:rPr>
      </w:pPr>
      <w:r w:rsidRPr="00DD6E7D">
        <w:rPr>
          <w:noProof/>
        </w:rPr>
        <w:t>In-nuqqas ta' armonizzazzjoni f'dan il-qasam ikompli jaggrava dan it-tħasib. Hemm tnejn u għoxrin Stat Membru li diġà daħħlu fis-seħħ restrizzjonijiet, jiġifieri projbizzjoni parzjali jew sħiħa, u l-istess għamlu diversi muniċipalitajiet. Madankollu, dawn ikollhom jaċċettaw ċirkli bl-annimali li jgħaddu mit-territorju tagħhom.</w:t>
      </w:r>
    </w:p>
    <w:p w:rsidR="008E39E2" w:rsidRPr="00DD6E7D" w:rsidRDefault="008E39E2" w:rsidP="00DD6E7D">
      <w:pPr>
        <w:spacing w:after="240"/>
        <w:rPr>
          <w:noProof/>
        </w:rPr>
      </w:pPr>
      <w:r w:rsidRPr="00DD6E7D">
        <w:rPr>
          <w:noProof/>
        </w:rPr>
        <w:t>F'dan il-kuntest jenħtieġ li wieħed isemmi wkoll it-tħassib dwar il-benessri tal-annimali, flimkien man-nuqqas ta' valur edukattiv tal-wirjiet li jinvolvu l-annimali u n-nuqqas ta' appoġġ min-naħa taċ-ċittadini tal-UE favur l-użu tal-annimali selvaġġi fiċ-ċirkli</w:t>
      </w:r>
      <w:r w:rsidR="00DD6E7D">
        <w:rPr>
          <w:rStyle w:val="FootnoteReference"/>
          <w:noProof/>
        </w:rPr>
        <w:footnoteReference w:id="2"/>
      </w:r>
      <w:r w:rsidRPr="00DD6E7D">
        <w:rPr>
          <w:noProof/>
        </w:rPr>
        <w:t>.</w:t>
      </w:r>
    </w:p>
    <w:p w:rsidR="008E39E2" w:rsidRPr="00DD6E7D" w:rsidRDefault="008E39E2" w:rsidP="00DD6E7D">
      <w:pPr>
        <w:spacing w:after="240"/>
        <w:rPr>
          <w:noProof/>
        </w:rPr>
      </w:pPr>
      <w:r w:rsidRPr="00DD6E7D">
        <w:rPr>
          <w:noProof/>
        </w:rPr>
        <w:t xml:space="preserve">Fid-dawl ta' dan ta' hawn fuq: </w:t>
      </w:r>
    </w:p>
    <w:p w:rsidR="008E39E2" w:rsidRPr="00DD6E7D" w:rsidRDefault="008E39E2" w:rsidP="00DD6E7D">
      <w:pPr>
        <w:spacing w:after="240"/>
        <w:ind w:left="720" w:hanging="720"/>
        <w:rPr>
          <w:noProof/>
        </w:rPr>
      </w:pPr>
      <w:r w:rsidRPr="00DD6E7D">
        <w:rPr>
          <w:noProof/>
        </w:rPr>
        <w:t>1.</w:t>
      </w:r>
      <w:r w:rsidRPr="00DD6E7D">
        <w:rPr>
          <w:noProof/>
        </w:rPr>
        <w:tab/>
        <w:t>Il-Kummissjoni biħsiebha tħejji proposta għal projbizzjoni fl-UE kollha tal-użu ta' annimali selvaġġi fiċ-ċirkli?</w:t>
      </w:r>
    </w:p>
    <w:p w:rsidR="00DD6E7D" w:rsidRDefault="008E39E2" w:rsidP="00DD6E7D">
      <w:pPr>
        <w:spacing w:after="240"/>
        <w:ind w:left="720" w:hanging="720"/>
        <w:rPr>
          <w:noProof/>
        </w:rPr>
      </w:pPr>
      <w:r w:rsidRPr="00DD6E7D">
        <w:rPr>
          <w:noProof/>
        </w:rPr>
        <w:t>2.</w:t>
      </w:r>
      <w:r w:rsidRPr="00DD6E7D">
        <w:rPr>
          <w:noProof/>
        </w:rPr>
        <w:tab/>
        <w:t>Il-Kummissjoni tista' tagħmel kjarifika dwar jekk iċ-ċirki li jużaw annimali selvaġġi jirċevux appoġġ permezz ta' programmi ffinanzjati mill-UE?</w:t>
      </w:r>
    </w:p>
    <w:p w:rsidR="007E7587" w:rsidRPr="00DD6E7D" w:rsidRDefault="007E7587" w:rsidP="00DD6E7D">
      <w:pPr>
        <w:spacing w:after="240"/>
        <w:rPr>
          <w:noProof/>
        </w:rPr>
      </w:pPr>
    </w:p>
    <w:sectPr w:rsidR="007E7587" w:rsidRPr="00DD6E7D" w:rsidSect="00DD6E7D">
      <w:footerReference w:type="default" r:id="rId7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AA" w:rsidRPr="001704AA" w:rsidRDefault="001704AA">
      <w:r w:rsidRPr="001704AA">
        <w:separator/>
      </w:r>
    </w:p>
  </w:endnote>
  <w:endnote w:type="continuationSeparator" w:id="0">
    <w:p w:rsidR="001704AA" w:rsidRPr="001704AA" w:rsidRDefault="001704AA">
      <w:r w:rsidRPr="001704A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DD6E7D" w:rsidRDefault="00DD6E7D" w:rsidP="00DD6E7D">
    <w:pPr>
      <w:pStyle w:val="Footer"/>
      <w:tabs>
        <w:tab w:val="clear" w:pos="4536"/>
        <w:tab w:val="clear" w:pos="9072"/>
        <w:tab w:val="right" w:pos="9071"/>
      </w:tabs>
    </w:pPr>
    <w:r>
      <w:t>1175926.MT</w:t>
    </w:r>
    <w:r>
      <w:tab/>
      <w:t>PE 634.979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AA" w:rsidRPr="001704AA" w:rsidRDefault="001704AA">
      <w:r w:rsidRPr="001704AA">
        <w:separator/>
      </w:r>
    </w:p>
  </w:footnote>
  <w:footnote w:type="continuationSeparator" w:id="0">
    <w:p w:rsidR="001704AA" w:rsidRPr="001704AA" w:rsidRDefault="001704AA">
      <w:r w:rsidRPr="001704AA">
        <w:continuationSeparator/>
      </w:r>
    </w:p>
  </w:footnote>
  <w:footnote w:id="1">
    <w:p w:rsidR="00DD6E7D" w:rsidRPr="00DD6E7D" w:rsidRDefault="00DD6E7D" w:rsidP="00DD6E7D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Sors: http://www.eurogroupforanimals.org/wp-content/uploads/E4A-Circus_Report-Digital-OK-v2.pdf?utm_source=PDF&amp;utm_campaign=CircusReport</w:t>
      </w:r>
    </w:p>
  </w:footnote>
  <w:footnote w:id="2">
    <w:p w:rsidR="00DD6E7D" w:rsidRPr="00DD6E7D" w:rsidRDefault="00DD6E7D" w:rsidP="00DD6E7D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https://www.change.org/p/european-union-ban-wild-animals-in-circuses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4AA"/>
    <w:rsid w:val="00007D4D"/>
    <w:rsid w:val="000457F1"/>
    <w:rsid w:val="00053EE8"/>
    <w:rsid w:val="0006026E"/>
    <w:rsid w:val="000F5323"/>
    <w:rsid w:val="000F5E0A"/>
    <w:rsid w:val="001131AC"/>
    <w:rsid w:val="00132B9D"/>
    <w:rsid w:val="001704AA"/>
    <w:rsid w:val="001E2097"/>
    <w:rsid w:val="002365B0"/>
    <w:rsid w:val="00256F20"/>
    <w:rsid w:val="002818E3"/>
    <w:rsid w:val="002912D9"/>
    <w:rsid w:val="00312BBE"/>
    <w:rsid w:val="00360568"/>
    <w:rsid w:val="003D2B02"/>
    <w:rsid w:val="00405B97"/>
    <w:rsid w:val="00450AD5"/>
    <w:rsid w:val="004A7BF0"/>
    <w:rsid w:val="004B4554"/>
    <w:rsid w:val="00502F25"/>
    <w:rsid w:val="00582456"/>
    <w:rsid w:val="005A7709"/>
    <w:rsid w:val="005F2DA2"/>
    <w:rsid w:val="0063286A"/>
    <w:rsid w:val="0065602D"/>
    <w:rsid w:val="0068475D"/>
    <w:rsid w:val="00687605"/>
    <w:rsid w:val="0079599D"/>
    <w:rsid w:val="007E1D7E"/>
    <w:rsid w:val="007E2438"/>
    <w:rsid w:val="007E7587"/>
    <w:rsid w:val="00821923"/>
    <w:rsid w:val="0084204A"/>
    <w:rsid w:val="0085646B"/>
    <w:rsid w:val="008B1124"/>
    <w:rsid w:val="008E39E2"/>
    <w:rsid w:val="0093445B"/>
    <w:rsid w:val="00954E0F"/>
    <w:rsid w:val="00A36B00"/>
    <w:rsid w:val="00A92E70"/>
    <w:rsid w:val="00AE6740"/>
    <w:rsid w:val="00B4456B"/>
    <w:rsid w:val="00BA05D7"/>
    <w:rsid w:val="00BB4F4F"/>
    <w:rsid w:val="00BE6679"/>
    <w:rsid w:val="00BF4787"/>
    <w:rsid w:val="00C2009F"/>
    <w:rsid w:val="00C27833"/>
    <w:rsid w:val="00C3060D"/>
    <w:rsid w:val="00C318B4"/>
    <w:rsid w:val="00C407C3"/>
    <w:rsid w:val="00C5139F"/>
    <w:rsid w:val="00C52FFF"/>
    <w:rsid w:val="00C829A4"/>
    <w:rsid w:val="00CD005F"/>
    <w:rsid w:val="00CE4142"/>
    <w:rsid w:val="00CE4811"/>
    <w:rsid w:val="00D145A2"/>
    <w:rsid w:val="00DD6E7D"/>
    <w:rsid w:val="00DE59A7"/>
    <w:rsid w:val="00E03032"/>
    <w:rsid w:val="00E0506A"/>
    <w:rsid w:val="00E21223"/>
    <w:rsid w:val="00E46E2C"/>
    <w:rsid w:val="00E65F09"/>
    <w:rsid w:val="00E71957"/>
    <w:rsid w:val="00ED0402"/>
    <w:rsid w:val="00EF73C8"/>
    <w:rsid w:val="00F37261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uiPriority w:val="99"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39E2"/>
    <w:rPr>
      <w:rFonts w:ascii="Arial" w:hAnsi="Arial" w:cs="Arial"/>
      <w:snapToGrid w:val="0"/>
      <w:sz w:val="18"/>
      <w:lang w:eastAsia="en-US"/>
    </w:rPr>
  </w:style>
  <w:style w:type="character" w:styleId="FootnoteReference">
    <w:name w:val="footnote reference"/>
    <w:uiPriority w:val="99"/>
    <w:unhideWhenUsed/>
    <w:rsid w:val="008E39E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character" w:styleId="Hyperlink">
    <w:name w:val="Hyperlink"/>
    <w:basedOn w:val="DefaultParagraphFont"/>
    <w:rsid w:val="008E39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ella\AppData\Local\Temp\Q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QE.dot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VELLA George</dc:creator>
  <cp:keywords/>
  <dc:description/>
  <cp:lastModifiedBy>ADM-QPTRAD</cp:lastModifiedBy>
  <cp:revision>2</cp:revision>
  <cp:lastPrinted>2006-04-24T15:35:00Z</cp:lastPrinted>
  <dcterms:created xsi:type="dcterms:W3CDTF">2019-02-11T10:10:00Z</dcterms:created>
  <dcterms:modified xsi:type="dcterms:W3CDTF">2019-02-11T10:10:00Z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1175926</vt:lpwstr>
  </property>
  <property fmtid="{D5CDD505-2E9C-101B-9397-08002B2CF9AE}" pid="5" name="&lt;Type&gt;">
    <vt:lpwstr>QE</vt:lpwstr>
  </property>
  <property fmtid="{D5CDD505-2E9C-101B-9397-08002B2CF9AE}" pid="6" name="&lt;ModelCod&gt;">
    <vt:lpwstr>\\eiciLUXpr1\pdocep$\DocEP\DOCS\General\QE\QE.dot(06/06/2018 10:44:04)</vt:lpwstr>
  </property>
  <property fmtid="{D5CDD505-2E9C-101B-9397-08002B2CF9AE}" pid="7" name="&lt;ModelTra&gt;">
    <vt:lpwstr>\\eiciLUXpr1\pdocep$\DocEP\TRANSFIL\MT\QE.MT(16/04/2018 09:36:03)</vt:lpwstr>
  </property>
  <property fmtid="{D5CDD505-2E9C-101B-9397-08002B2CF9AE}" pid="8" name="&lt;Model&gt;">
    <vt:lpwstr>QE</vt:lpwstr>
  </property>
  <property fmtid="{D5CDD505-2E9C-101B-9397-08002B2CF9AE}" pid="9" name="FooterPath">
    <vt:lpwstr>QE\1175926MT.docx</vt:lpwstr>
  </property>
  <property fmtid="{D5CDD505-2E9C-101B-9397-08002B2CF9AE}" pid="10" name="PE number">
    <vt:lpwstr>634.979</vt:lpwstr>
  </property>
  <property fmtid="{D5CDD505-2E9C-101B-9397-08002B2CF9AE}" pid="11" name="SDLStudio">
    <vt:lpwstr/>
  </property>
  <property fmtid="{D5CDD505-2E9C-101B-9397-08002B2CF9AE}" pid="12" name="&lt;Extension&gt;">
    <vt:lpwstr>MT</vt:lpwstr>
  </property>
</Properties>
</file>