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740" w:rsidRPr="007143A2" w:rsidRDefault="007143A2" w:rsidP="007143A2">
      <w:pPr>
        <w:rPr>
          <w:b/>
          <w:noProof/>
        </w:rPr>
      </w:pPr>
      <w:r w:rsidRPr="007143A2">
        <w:rPr>
          <w:b/>
          <w:noProof/>
        </w:rPr>
        <w:t>Anfrage zur schriftlichen Beantwortung E-002898/2019</w:t>
      </w:r>
    </w:p>
    <w:p w:rsidR="007143A2" w:rsidRPr="005A6BDB" w:rsidRDefault="007143A2" w:rsidP="007143A2">
      <w:pPr>
        <w:rPr>
          <w:b/>
          <w:noProof/>
          <w:lang w:val="en-GB"/>
        </w:rPr>
      </w:pPr>
      <w:r w:rsidRPr="005A6BDB">
        <w:rPr>
          <w:b/>
          <w:noProof/>
          <w:lang w:val="en-GB"/>
        </w:rPr>
        <w:t>an den Rat</w:t>
      </w:r>
    </w:p>
    <w:p w:rsidR="007143A2" w:rsidRPr="007143A2" w:rsidRDefault="007143A2" w:rsidP="007143A2">
      <w:pPr>
        <w:rPr>
          <w:noProof/>
        </w:rPr>
      </w:pPr>
      <w:r w:rsidRPr="007143A2">
        <w:rPr>
          <w:noProof/>
        </w:rPr>
        <w:t>Artikel 138 der Geschäftsordnung</w:t>
      </w:r>
    </w:p>
    <w:p w:rsidR="007143A2" w:rsidRPr="007143A2" w:rsidRDefault="007143A2" w:rsidP="007143A2">
      <w:pPr>
        <w:spacing w:after="240"/>
        <w:rPr>
          <w:b/>
          <w:noProof/>
        </w:rPr>
      </w:pPr>
      <w:r w:rsidRPr="007143A2">
        <w:rPr>
          <w:b/>
          <w:noProof/>
        </w:rPr>
        <w:t>Patrick Breyer (Verts/ALE)</w:t>
      </w:r>
    </w:p>
    <w:p w:rsidR="007143A2" w:rsidRPr="007143A2" w:rsidRDefault="007143A2" w:rsidP="007143A2">
      <w:pPr>
        <w:tabs>
          <w:tab w:val="left" w:pos="1134"/>
        </w:tabs>
        <w:spacing w:after="240"/>
        <w:ind w:left="1134" w:hanging="1134"/>
        <w:rPr>
          <w:noProof/>
        </w:rPr>
      </w:pPr>
      <w:r w:rsidRPr="007143A2">
        <w:rPr>
          <w:noProof/>
        </w:rPr>
        <w:t>Betrifft:</w:t>
      </w:r>
      <w:r w:rsidRPr="007143A2">
        <w:rPr>
          <w:noProof/>
        </w:rPr>
        <w:tab/>
      </w:r>
      <w:bookmarkStart w:id="0" w:name="_GoBack"/>
      <w:bookmarkEnd w:id="0"/>
      <w:r w:rsidRPr="007143A2">
        <w:rPr>
          <w:noProof/>
        </w:rPr>
        <w:t>"Eingeschränkte" Vorratsspeicherung von Kommunikationsdaten</w:t>
      </w:r>
    </w:p>
    <w:p w:rsidR="00BF4787" w:rsidRPr="007143A2" w:rsidRDefault="00E3012F" w:rsidP="007143A2">
      <w:pPr>
        <w:spacing w:after="240"/>
        <w:rPr>
          <w:noProof/>
        </w:rPr>
      </w:pPr>
      <w:r w:rsidRPr="007143A2">
        <w:rPr>
          <w:noProof/>
        </w:rPr>
        <w:t>Fragen im Anschluss an die Schlussfolgerungen des Rates der Europäischen Union über die Vorratsdatenspeicherung zum Zwecke der Kriminalitätsbekämpfung:</w:t>
      </w:r>
    </w:p>
    <w:p w:rsidR="00E3012F" w:rsidRPr="007143A2" w:rsidRDefault="00E3012F" w:rsidP="007143A2">
      <w:pPr>
        <w:spacing w:after="240"/>
        <w:rPr>
          <w:noProof/>
        </w:rPr>
      </w:pPr>
      <w:r w:rsidRPr="007143A2">
        <w:rPr>
          <w:noProof/>
        </w:rPr>
        <w:t>1)</w:t>
      </w:r>
      <w:r w:rsidRPr="007143A2">
        <w:rPr>
          <w:noProof/>
        </w:rPr>
        <w:tab/>
        <w:t>Stimmt der Rat zu, dass Rechtsvorschriften über die Vorratsdatenspeicherung, die „auch für Personen [gelten], bei denen keinerlei Anhaltspunkt dafür besteht, dass ihr Verhalten in einem auch nur mittelbaren oder entfernten Zusammenhang mit schweren Straftaten stehen könnte“</w:t>
      </w:r>
      <w:r w:rsidR="007143A2">
        <w:rPr>
          <w:rStyle w:val="FootnoteReference"/>
          <w:noProof/>
        </w:rPr>
        <w:footnoteReference w:id="1"/>
      </w:r>
      <w:r w:rsidRPr="007143A2">
        <w:rPr>
          <w:noProof/>
        </w:rPr>
        <w:t xml:space="preserve"> und die „keinen Zusammenhang zwischen den Daten, deren Vorratsspeicherung vorgesehen ist, und einer Bedrohung der öffentlichen Sicherheit [verlangen]“</w:t>
      </w:r>
      <w:r w:rsidR="007143A2">
        <w:rPr>
          <w:rStyle w:val="FootnoteReference"/>
          <w:noProof/>
        </w:rPr>
        <w:footnoteReference w:id="2"/>
      </w:r>
      <w:r w:rsidRPr="007143A2">
        <w:rPr>
          <w:noProof/>
        </w:rPr>
        <w:t>, einen Verstoß gegen EU-Recht darstellen?</w:t>
      </w:r>
    </w:p>
    <w:p w:rsidR="00E3012F" w:rsidRPr="007143A2" w:rsidRDefault="00E3012F" w:rsidP="007143A2">
      <w:pPr>
        <w:spacing w:after="240"/>
        <w:rPr>
          <w:noProof/>
        </w:rPr>
      </w:pPr>
      <w:r w:rsidRPr="007143A2">
        <w:rPr>
          <w:noProof/>
        </w:rPr>
        <w:t>2)</w:t>
      </w:r>
      <w:r w:rsidRPr="007143A2">
        <w:rPr>
          <w:noProof/>
        </w:rPr>
        <w:tab/>
        <w:t>Teilt der Rat die Auffassung, dass mit der bloßen Ausnahme von Personen, deren Kommunikation dem Berufsgeheimnis unterliegt, für alle anderen Personen, deren Kommunikationsdaten gespeichert werden sollen, nicht sicherstellt wird, dass ein „Zusammenhang zwischen den Daten, deren Vorratsspeicherung vorgesehen ist, und einer Bedrohung der öffentlichen Sicherheit“</w:t>
      </w:r>
      <w:r w:rsidR="007143A2">
        <w:rPr>
          <w:rStyle w:val="FootnoteReference"/>
          <w:noProof/>
        </w:rPr>
        <w:footnoteReference w:id="3"/>
      </w:r>
      <w:r w:rsidRPr="007143A2">
        <w:rPr>
          <w:noProof/>
        </w:rPr>
        <w:t xml:space="preserve"> besteht, und dies somit nicht dem Grundsatz der Verhältnismäßigkeit entspricht?</w:t>
      </w:r>
    </w:p>
    <w:p w:rsidR="007143A2" w:rsidRDefault="00E3012F" w:rsidP="007143A2">
      <w:pPr>
        <w:spacing w:after="240"/>
        <w:rPr>
          <w:noProof/>
        </w:rPr>
      </w:pPr>
      <w:r w:rsidRPr="007143A2">
        <w:rPr>
          <w:noProof/>
        </w:rPr>
        <w:t>3)</w:t>
      </w:r>
      <w:r w:rsidRPr="007143A2">
        <w:rPr>
          <w:noProof/>
        </w:rPr>
        <w:tab/>
        <w:t>Liegen dem Rat Beweise dafür vor, dass die Quote bei der Aufklärung von Verbrechen in den Mitgliedstaaten, in denen Rechtsvorschriften über die Vorratsdatenspeicherung gelten, erheblich höher ist als in den Mitgliedstaaten, die keine Gesetze über die Vorratsdatenspeicherung besitzen?</w:t>
      </w:r>
    </w:p>
    <w:p w:rsidR="003D2B02" w:rsidRPr="007143A2" w:rsidRDefault="003D2B02" w:rsidP="007143A2">
      <w:pPr>
        <w:spacing w:after="240"/>
        <w:rPr>
          <w:noProof/>
        </w:rPr>
      </w:pPr>
    </w:p>
    <w:sectPr w:rsidR="003D2B02" w:rsidRPr="007143A2" w:rsidSect="007143A2">
      <w:footerReference w:type="default" r:id="rId6"/>
      <w:footnotePr>
        <w:numRestart w:val="eachSect"/>
      </w:footnotePr>
      <w:endnotePr>
        <w:numFmt w:val="decimal"/>
      </w:endnotePr>
      <w:pgSz w:w="11907" w:h="16839" w:code="9"/>
      <w:pgMar w:top="1440" w:right="1440" w:bottom="2007" w:left="1440" w:header="567"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E56" w:rsidRPr="00593E56" w:rsidRDefault="00593E56">
      <w:r w:rsidRPr="00593E56">
        <w:separator/>
      </w:r>
    </w:p>
  </w:endnote>
  <w:endnote w:type="continuationSeparator" w:id="0">
    <w:p w:rsidR="00593E56" w:rsidRPr="00593E56" w:rsidRDefault="00593E56">
      <w:r w:rsidRPr="00593E5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1AC" w:rsidRPr="007143A2" w:rsidRDefault="007143A2" w:rsidP="007143A2">
    <w:pPr>
      <w:pStyle w:val="Footer"/>
      <w:tabs>
        <w:tab w:val="clear" w:pos="4536"/>
        <w:tab w:val="clear" w:pos="9072"/>
        <w:tab w:val="right" w:pos="9071"/>
      </w:tabs>
    </w:pPr>
    <w:r>
      <w:t>1189157.DE</w:t>
    </w:r>
    <w:r>
      <w:tab/>
      <w:t>PE 640.550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E56" w:rsidRPr="00593E56" w:rsidRDefault="00593E56">
      <w:r w:rsidRPr="00593E56">
        <w:separator/>
      </w:r>
    </w:p>
  </w:footnote>
  <w:footnote w:type="continuationSeparator" w:id="0">
    <w:p w:rsidR="00593E56" w:rsidRPr="00593E56" w:rsidRDefault="00593E56">
      <w:r w:rsidRPr="00593E56">
        <w:continuationSeparator/>
      </w:r>
    </w:p>
  </w:footnote>
  <w:footnote w:id="1">
    <w:p w:rsidR="007143A2" w:rsidRPr="007143A2" w:rsidRDefault="007143A2" w:rsidP="007143A2">
      <w:pPr>
        <w:pStyle w:val="FootnoteText"/>
        <w:tabs>
          <w:tab w:val="left" w:pos="283"/>
        </w:tabs>
        <w:ind w:left="283" w:hanging="283"/>
        <w:rPr>
          <w:lang w:val="fr-FR"/>
        </w:rPr>
      </w:pPr>
      <w:r>
        <w:rPr>
          <w:rStyle w:val="FootnoteReference"/>
        </w:rPr>
        <w:footnoteRef/>
      </w:r>
      <w:r>
        <w:t xml:space="preserve"> </w:t>
      </w:r>
      <w:r>
        <w:tab/>
        <w:t xml:space="preserve">Urteil des Gerichtshofs vom 21. Dezember 2016 in den verbundenen Rechtssachen C-203/15 Tele2 </w:t>
      </w:r>
      <w:proofErr w:type="spellStart"/>
      <w:r>
        <w:t>Sverige</w:t>
      </w:r>
      <w:proofErr w:type="spellEnd"/>
      <w:r>
        <w:t xml:space="preserve"> AB gegen Post- och </w:t>
      </w:r>
      <w:proofErr w:type="spellStart"/>
      <w:r>
        <w:t>telestyrelsen</w:t>
      </w:r>
      <w:proofErr w:type="spellEnd"/>
      <w:r>
        <w:t xml:space="preserve"> und C-698/15 </w:t>
      </w:r>
      <w:proofErr w:type="spellStart"/>
      <w:r>
        <w:t>Secretary</w:t>
      </w:r>
      <w:proofErr w:type="spellEnd"/>
      <w:r>
        <w:t xml:space="preserve"> </w:t>
      </w:r>
      <w:proofErr w:type="spellStart"/>
      <w:r>
        <w:t>of</w:t>
      </w:r>
      <w:proofErr w:type="spellEnd"/>
      <w:r>
        <w:t xml:space="preserve"> State </w:t>
      </w:r>
      <w:proofErr w:type="spellStart"/>
      <w:r>
        <w:t>for</w:t>
      </w:r>
      <w:proofErr w:type="spellEnd"/>
      <w:r>
        <w:t xml:space="preserve"> </w:t>
      </w:r>
      <w:proofErr w:type="spellStart"/>
      <w:r>
        <w:t>the</w:t>
      </w:r>
      <w:proofErr w:type="spellEnd"/>
      <w:r>
        <w:t xml:space="preserve"> Home Department gegen Tom Watson und andere, ECLI:EU:C:2016:970N, </w:t>
      </w:r>
      <w:proofErr w:type="spellStart"/>
      <w:r>
        <w:t>Rn</w:t>
      </w:r>
      <w:proofErr w:type="spellEnd"/>
      <w:r>
        <w:t>. 105.</w:t>
      </w:r>
    </w:p>
  </w:footnote>
  <w:footnote w:id="2">
    <w:p w:rsidR="007143A2" w:rsidRPr="007143A2" w:rsidRDefault="007143A2" w:rsidP="007143A2">
      <w:pPr>
        <w:pStyle w:val="FootnoteText"/>
        <w:tabs>
          <w:tab w:val="left" w:pos="283"/>
        </w:tabs>
        <w:ind w:left="283" w:hanging="283"/>
        <w:rPr>
          <w:lang w:val="fr-FR"/>
        </w:rPr>
      </w:pPr>
      <w:r>
        <w:rPr>
          <w:rStyle w:val="FootnoteReference"/>
        </w:rPr>
        <w:footnoteRef/>
      </w:r>
      <w:r>
        <w:t xml:space="preserve"> </w:t>
      </w:r>
      <w:r>
        <w:tab/>
        <w:t xml:space="preserve">Ebd., </w:t>
      </w:r>
      <w:proofErr w:type="spellStart"/>
      <w:r>
        <w:t>Rn</w:t>
      </w:r>
      <w:proofErr w:type="spellEnd"/>
      <w:r>
        <w:t>. 106.</w:t>
      </w:r>
    </w:p>
  </w:footnote>
  <w:footnote w:id="3">
    <w:p w:rsidR="007143A2" w:rsidRPr="007143A2" w:rsidRDefault="007143A2" w:rsidP="007143A2">
      <w:pPr>
        <w:pStyle w:val="FootnoteText"/>
        <w:tabs>
          <w:tab w:val="left" w:pos="283"/>
        </w:tabs>
        <w:ind w:left="283" w:hanging="283"/>
        <w:rPr>
          <w:lang w:val="fr-FR"/>
        </w:rPr>
      </w:pPr>
      <w:r>
        <w:rPr>
          <w:rStyle w:val="FootnoteReference"/>
        </w:rPr>
        <w:footnoteRef/>
      </w:r>
      <w:r>
        <w:t xml:space="preserve"> </w:t>
      </w:r>
      <w:r>
        <w:tab/>
        <w:t>Ebd.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numFmt w:val="decimal"/>
    <w:endnote w:id="-1"/>
    <w:endnote w:id="0"/>
  </w:endnotePr>
  <w:compat>
    <w:wpJustification/>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E56"/>
    <w:rsid w:val="00007D4D"/>
    <w:rsid w:val="000457F1"/>
    <w:rsid w:val="00053EE8"/>
    <w:rsid w:val="0006026E"/>
    <w:rsid w:val="000F5323"/>
    <w:rsid w:val="000F5E0A"/>
    <w:rsid w:val="001131AC"/>
    <w:rsid w:val="00132B9D"/>
    <w:rsid w:val="00164367"/>
    <w:rsid w:val="001E2097"/>
    <w:rsid w:val="001F118C"/>
    <w:rsid w:val="002365B0"/>
    <w:rsid w:val="00256F20"/>
    <w:rsid w:val="002818E3"/>
    <w:rsid w:val="002912D9"/>
    <w:rsid w:val="00312BBE"/>
    <w:rsid w:val="003501C2"/>
    <w:rsid w:val="00360568"/>
    <w:rsid w:val="003D2B02"/>
    <w:rsid w:val="00405B97"/>
    <w:rsid w:val="00450AD5"/>
    <w:rsid w:val="004A7BF0"/>
    <w:rsid w:val="004B4554"/>
    <w:rsid w:val="00502F25"/>
    <w:rsid w:val="005479E4"/>
    <w:rsid w:val="00582456"/>
    <w:rsid w:val="00593E56"/>
    <w:rsid w:val="005A6BDB"/>
    <w:rsid w:val="005A7709"/>
    <w:rsid w:val="005F2DA2"/>
    <w:rsid w:val="005F775E"/>
    <w:rsid w:val="0063286A"/>
    <w:rsid w:val="0068475D"/>
    <w:rsid w:val="00687605"/>
    <w:rsid w:val="007143A2"/>
    <w:rsid w:val="0079599D"/>
    <w:rsid w:val="007E1D7E"/>
    <w:rsid w:val="007E2438"/>
    <w:rsid w:val="007E7587"/>
    <w:rsid w:val="007F5ACC"/>
    <w:rsid w:val="00821923"/>
    <w:rsid w:val="0084204A"/>
    <w:rsid w:val="0085646B"/>
    <w:rsid w:val="008B1124"/>
    <w:rsid w:val="0093445B"/>
    <w:rsid w:val="00954E0F"/>
    <w:rsid w:val="00A1742F"/>
    <w:rsid w:val="00A342B1"/>
    <w:rsid w:val="00A36B00"/>
    <w:rsid w:val="00A70077"/>
    <w:rsid w:val="00A92E70"/>
    <w:rsid w:val="00AE6740"/>
    <w:rsid w:val="00B4456B"/>
    <w:rsid w:val="00BA05D7"/>
    <w:rsid w:val="00BE6679"/>
    <w:rsid w:val="00BF4787"/>
    <w:rsid w:val="00C2009F"/>
    <w:rsid w:val="00C3060D"/>
    <w:rsid w:val="00C318B4"/>
    <w:rsid w:val="00C407C3"/>
    <w:rsid w:val="00C418EF"/>
    <w:rsid w:val="00C829A4"/>
    <w:rsid w:val="00CD005F"/>
    <w:rsid w:val="00CE4142"/>
    <w:rsid w:val="00CE4811"/>
    <w:rsid w:val="00D145A2"/>
    <w:rsid w:val="00DE59A7"/>
    <w:rsid w:val="00E03032"/>
    <w:rsid w:val="00E0506A"/>
    <w:rsid w:val="00E21223"/>
    <w:rsid w:val="00E3012F"/>
    <w:rsid w:val="00E44D02"/>
    <w:rsid w:val="00E46E2C"/>
    <w:rsid w:val="00E50EDD"/>
    <w:rsid w:val="00E65F09"/>
    <w:rsid w:val="00E71957"/>
    <w:rsid w:val="00ED0402"/>
    <w:rsid w:val="00EF73C8"/>
    <w:rsid w:val="00F37261"/>
    <w:rsid w:val="00F446EF"/>
    <w:rsid w:val="00F75D8C"/>
    <w:rsid w:val="00FA0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9B8D15-BF9C-4A72-9F1E-CDB6492B2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9A4"/>
    <w:pPr>
      <w:widowControl w:val="0"/>
    </w:pPr>
    <w:rPr>
      <w:rFonts w:ascii="Arial" w:hAnsi="Arial" w:cs="Arial"/>
      <w:snapToGrid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rsid w:val="001131AC"/>
    <w:pPr>
      <w:tabs>
        <w:tab w:val="center" w:pos="4536"/>
        <w:tab w:val="right" w:pos="9072"/>
      </w:tabs>
      <w:spacing w:before="240" w:after="240"/>
    </w:pPr>
    <w:rPr>
      <w:snapToGrid/>
      <w:sz w:val="22"/>
      <w:lang w:eastAsia="en-GB"/>
    </w:rPr>
  </w:style>
  <w:style w:type="character" w:styleId="PageNumber">
    <w:name w:val="page number"/>
    <w:basedOn w:val="DefaultParagraphFont"/>
  </w:style>
  <w:style w:type="paragraph" w:styleId="FootnoteText">
    <w:name w:val="footnote text"/>
    <w:basedOn w:val="Normal"/>
    <w:semiHidden/>
    <w:rPr>
      <w:sz w:val="18"/>
    </w:rPr>
  </w:style>
  <w:style w:type="paragraph" w:styleId="BalloonText">
    <w:name w:val="Balloon Text"/>
    <w:basedOn w:val="Normal"/>
    <w:semiHidden/>
    <w:rsid w:val="00CD005F"/>
    <w:rPr>
      <w:rFonts w:ascii="Tahoma" w:hAnsi="Tahoma" w:cs="Tahoma"/>
      <w:sz w:val="16"/>
      <w:szCs w:val="16"/>
    </w:rPr>
  </w:style>
  <w:style w:type="character" w:styleId="FootnoteReference">
    <w:name w:val="footnote reference"/>
    <w:basedOn w:val="DefaultParagraphFont"/>
    <w:rsid w:val="00E3012F"/>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QE</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QE</dc:title>
  <dc:subject/>
  <dc:creator>HALABAREC Tamara</dc:creator>
  <cp:keywords/>
  <dc:description/>
  <cp:lastModifiedBy>HOLOMKOVA Bozena</cp:lastModifiedBy>
  <cp:revision>4</cp:revision>
  <cp:lastPrinted>2006-04-24T15:35:00Z</cp:lastPrinted>
  <dcterms:created xsi:type="dcterms:W3CDTF">2019-09-30T09:09:00Z</dcterms:created>
  <dcterms:modified xsi:type="dcterms:W3CDTF">2019-10-02T08:06:00Z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with">
    <vt:lpwstr>9.6.2 Build [20190327]</vt:lpwstr>
  </property>
  <property fmtid="{D5CDD505-2E9C-101B-9397-08002B2CF9AE}" pid="3" name="LastEdited with">
    <vt:lpwstr>9.6.2 Build [20190327]</vt:lpwstr>
  </property>
  <property fmtid="{D5CDD505-2E9C-101B-9397-08002B2CF9AE}" pid="4" name="&lt;FdR&gt;">
    <vt:lpwstr>1189157</vt:lpwstr>
  </property>
  <property fmtid="{D5CDD505-2E9C-101B-9397-08002B2CF9AE}" pid="5" name="&lt;Type&gt;">
    <vt:lpwstr>QE</vt:lpwstr>
  </property>
  <property fmtid="{D5CDD505-2E9C-101B-9397-08002B2CF9AE}" pid="6" name="&lt;ModelCod&gt;">
    <vt:lpwstr>\\eiciLUXpr1\pdocep$\DocEP\DOCS\General\QE\QE.dot(26/04/2019 11:07:46)</vt:lpwstr>
  </property>
  <property fmtid="{D5CDD505-2E9C-101B-9397-08002B2CF9AE}" pid="7" name="&lt;ModelTra&gt;">
    <vt:lpwstr>\\eiciLUXpr1\pdocep$\DocEP\TRANSFIL\DE\QE.DE(12/06/2019 13:01:01)</vt:lpwstr>
  </property>
  <property fmtid="{D5CDD505-2E9C-101B-9397-08002B2CF9AE}" pid="8" name="&lt;Model&gt;">
    <vt:lpwstr>QE</vt:lpwstr>
  </property>
  <property fmtid="{D5CDD505-2E9C-101B-9397-08002B2CF9AE}" pid="9" name="FooterPath">
    <vt:lpwstr>QE\1189157DE.docx</vt:lpwstr>
  </property>
  <property fmtid="{D5CDD505-2E9C-101B-9397-08002B2CF9AE}" pid="10" name="PE number">
    <vt:lpwstr>640.550</vt:lpwstr>
  </property>
  <property fmtid="{D5CDD505-2E9C-101B-9397-08002B2CF9AE}" pid="11" name="Bookout">
    <vt:lpwstr>OK - 2019/09/30 11:06</vt:lpwstr>
  </property>
  <property fmtid="{D5CDD505-2E9C-101B-9397-08002B2CF9AE}" pid="12" name="SDLStudio">
    <vt:lpwstr/>
  </property>
  <property fmtid="{D5CDD505-2E9C-101B-9397-08002B2CF9AE}" pid="13" name="&lt;Extension&gt;">
    <vt:lpwstr>DE</vt:lpwstr>
  </property>
</Properties>
</file>