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E-004354/2019</w:t>
      </w:r>
    </w:p>
    <w:p>
      <w:pPr>
        <w:pStyle w:val="Arial10"/>
      </w:pPr>
      <w:r>
        <w:rPr>
          <w:rStyle w:val="Bold"/>
        </w:rPr>
        <w:t>to the Commission</w:t>
      </w:r>
    </w:p>
    <w:p>
      <w:pPr>
        <w:pStyle w:val="Arial10"/>
      </w:pPr>
      <w:r>
        <w:t>Rule 138</w:t>
      </w:r>
    </w:p>
    <w:p>
      <w:pPr>
        <w:pStyle w:val="Arial10After10"/>
      </w:pPr>
      <w:r>
        <w:rPr>
          <w:rStyle w:val="Bold"/>
        </w:rPr>
        <w:t>Vladimír Bilčík</w:t>
      </w:r>
      <w:r>
        <w:t xml:space="preserve"> (</w:t>
      </w:r>
      <w:r>
        <w:t>PPE</w:t>
      </w:r>
      <w:r>
        <w:t>)</w:t>
      </w:r>
    </w:p>
    <w:p>
      <w:pPr>
        <w:pStyle w:val="Subject"/>
      </w:pPr>
      <w:r>
        <w:t>Subject</w:t>
      </w:r>
      <w:r>
        <w:t>:</w:t>
      </w:r>
      <w:r>
        <w:tab/>
      </w:r>
      <w:r>
        <w:t>Member States' obligations in Eurojust</w:t>
      </w:r>
    </w:p>
    <w:p>
      <w:pPr>
        <w:pStyle w:val="Body"/>
      </w:pPr>
      <w:r>
        <w:t>Regulation (EU) 2018/1727 on the European Union Agency for Criminal Justice Cooperation (Eurojust) requires one national member to be seconded by each Member State in accordance with its legal system for Eurojust to function properly. The new Regulation comes into force on 12 December 2019.</w:t>
      </w:r>
    </w:p>
    <w:p>
      <w:pPr>
        <w:pStyle w:val="itemList"/>
      </w:pPr>
      <w:r>
        <w:t>1.</w:t>
      </w:r>
      <w:r>
        <w:tab/>
      </w:r>
      <w:r>
        <w:t>How exactly have Member States been delivering on their obligations in Eurojust in terms of seconding national members and their deputies?</w:t>
      </w:r>
    </w:p>
    <w:p>
      <w:pPr>
        <w:pStyle w:val="itemList"/>
      </w:pPr>
      <w:r>
        <w:t>2.</w:t>
      </w:r>
      <w:r>
        <w:tab/>
      </w:r>
      <w:r>
        <w:t>Could the Commission provide information about the level of active participation of national members from countries where Parliament identified serious shortcomings in the rule of law, namely in Malta and Slovakia? </w:t>
      </w:r>
      <w:r>
        <w:rPr>
          <w:rStyle w:val="FootnoteReference"/>
        </w:rPr>
        <w:footnoteReference w:id="0"/>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PE645.896v01-00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PE645.896v01-00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PE645.896v01-00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European Parliament resolution of 28 March 2019, texts adopted P8_TA(2019)0328.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20200925-104215-025749-283941</vt:lpwstr>
  </property>
</Properties>
</file>