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E-004355/2019</w:t>
      </w:r>
    </w:p>
    <w:p>
      <w:pPr>
        <w:pStyle w:val="Arial10"/>
      </w:pPr>
      <w:r>
        <w:rPr>
          <w:rStyle w:val="Bold"/>
        </w:rPr>
        <w:t>to the Commission</w:t>
      </w:r>
    </w:p>
    <w:p>
      <w:pPr>
        <w:pStyle w:val="Arial10"/>
      </w:pPr>
      <w:r>
        <w:t>Rule 138</w:t>
      </w:r>
    </w:p>
    <w:p>
      <w:pPr>
        <w:pStyle w:val="Arial10After10"/>
      </w:pPr>
      <w:r>
        <w:rPr>
          <w:rStyle w:val="Bold"/>
        </w:rPr>
        <w:t>Traian Băsescu</w:t>
      </w:r>
      <w:r>
        <w:t xml:space="preserve"> (</w:t>
      </w:r>
      <w:r>
        <w:t>PPE</w:t>
      </w:r>
      <w:r>
        <w:t>)</w:t>
      </w:r>
    </w:p>
    <w:p>
      <w:pPr>
        <w:pStyle w:val="Subject"/>
      </w:pPr>
      <w:r>
        <w:t>Subject</w:t>
      </w:r>
      <w:r>
        <w:t>:</w:t>
      </w:r>
      <w:r>
        <w:tab/>
      </w:r>
      <w:r>
        <w:t>Instruments to promote support for direct pro-European measures in the Republic of Moldova and Ukraine</w:t>
      </w:r>
    </w:p>
    <w:p>
      <w:pPr>
        <w:pStyle w:val="Body"/>
      </w:pPr>
      <w:r>
        <w:t>The Republic of Moldova and Ukraine neighbour the EU, and are making progress in the association process. This means that they should be receiving support through financial instruments. One solution would be to channel funds directly to the public to foster entrepreneurship through the creation of family businesses and SMEs, earmarking funding in particular for the development of businesses run by young people. This would nurture the emergence of a middle class, both in the Republic of Moldova and in Ukraine.</w:t>
      </w:r>
    </w:p>
    <w:p>
      <w:pPr>
        <w:pStyle w:val="Body"/>
      </w:pPr>
      <w:r>
        <w:t>Is there a possibility of programmes in this field being funded under the next Multiannual Financial Framework 2021-2027?</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PE645.897v01-00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PE645.897v01-00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PE645.897v01-00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20200925-104218-025751-675094</vt:lpwstr>
  </property>
</Properties>
</file>