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E-004454/2019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Paolo De Castro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Herbert Dorfmann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Brando Benifei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Simona Bonafè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Eleonora Evi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Carlo Fidanza</w:t>
      </w:r>
      <w:r>
        <w:t xml:space="preserve"> (</w:t>
      </w:r>
      <w:r>
        <w:t>ECR</w:t>
      </w:r>
      <w:r>
        <w:t xml:space="preserve">), </w:t>
      </w:r>
      <w:r>
        <w:rPr>
          <w:rStyle w:val="Bold"/>
        </w:rPr>
        <w:t>Pietro Fiocchi</w:t>
      </w:r>
      <w:r>
        <w:t xml:space="preserve"> (</w:t>
      </w:r>
      <w:r>
        <w:t>ECR</w:t>
      </w:r>
      <w:r>
        <w:t xml:space="preserve">), </w:t>
      </w:r>
      <w:r>
        <w:rPr>
          <w:rStyle w:val="Bold"/>
        </w:rPr>
        <w:t>Dino Giarrusso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Fulvio Martusciello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Alessandra Moretti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Pina Picierno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Marco Zullo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Tiziana Beghin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Giuseppe Ferrandino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Giuseppe Milazzo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Aldo Patriciello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Piernicola Pedicini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Nicola Procaccini</w:t>
      </w:r>
      <w:r>
        <w:t xml:space="preserve"> (</w:t>
      </w:r>
      <w:r>
        <w:t>ECR</w:t>
      </w:r>
      <w:r>
        <w:t xml:space="preserve">), </w:t>
      </w:r>
      <w:r>
        <w:rPr>
          <w:rStyle w:val="Bold"/>
        </w:rPr>
        <w:t>Daniela Rondinelli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Massimiliano Smeriglio</w:t>
      </w:r>
      <w:r>
        <w:t xml:space="preserve"> (</w:t>
      </w:r>
      <w:r>
        <w:t>S&amp;D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Front-of-pack labelling schemes</w:t>
      </w:r>
    </w:p>
    <w:p>
      <w:pPr>
        <w:pStyle w:val="Body"/>
      </w:pPr>
      <w:r>
        <w:t>Uncoordinated action toward the objectives of food safety, transparency and consumer protection has resulted in the proliferation of front-of-pack labelling schemes, which are fragmenting the EU single market.</w:t>
      </w:r>
    </w:p>
    <w:p>
      <w:pPr>
        <w:pStyle w:val="Body"/>
      </w:pPr>
      <w:r>
        <w:t>There is no EU regulatory framework for country of origin and nutrition labelling, which varies between the different Member States and is sometimes even imposed by retailers.</w:t>
      </w:r>
    </w:p>
    <w:p>
      <w:pPr>
        <w:pStyle w:val="Body"/>
      </w:pPr>
      <w:r>
        <w:t>In addition, voluntary nutrition labelling schemes implemented by several Member States, such as France and the UK, mislead consumers and influence their choices, but do not provide exhaustive and nutrient-specific information based on the reference intakes of the average consumer. Such schemes contravene Regulation (EU) 1169/2011, which states that the energy value and the amount of nutrients can be presented using graphical forms or symbols provided that they are objective and non-discriminatory, are based on sound and scientifically valid consumer research and do not mislead the consumer.</w:t>
      </w:r>
    </w:p>
    <w:p>
      <w:pPr>
        <w:pStyle w:val="Body"/>
      </w:pPr>
      <w:r>
        <w:t>In the light of the above, does the Commission:</w:t>
      </w:r>
    </w:p>
    <w:p>
      <w:pPr>
        <w:pStyle w:val="itemList"/>
      </w:pPr>
      <w:r>
        <w:t>1.</w:t>
      </w:r>
      <w:r>
        <w:tab/>
      </w:r>
      <w:r>
        <w:t>Consider that such an important issue for food safety and transparency towards consumers, as well as for the proper functioning of the EU single market, should be tackled through a harmonised EU approach?</w:t>
      </w:r>
    </w:p>
    <w:p>
      <w:pPr>
        <w:pStyle w:val="itemList"/>
      </w:pPr>
      <w:r>
        <w:t>2.</w:t>
      </w:r>
      <w:r>
        <w:tab/>
      </w:r>
      <w:r>
        <w:t>Recognise the need to find a broad consensus among the EU scientific community, possibly involving the European Food Safety Authority?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PE646.044v01-00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PE646.044v01-00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PE646.044v01-00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20200925-104651-025977-483989</vt:lpwstr>
  </property>
</Properties>
</file>