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con richiesta di risposta scritta E-001502/2020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Salvatore De Meo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Antonio Tajani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Herbert Dorfmann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Sulle conseguenze economiche delle fake news sul Coronavirus</w:t>
      </w:r>
    </w:p>
    <w:p>
      <w:pPr>
        <w:pStyle w:val="Body"/>
      </w:pPr>
      <w:r>
        <w:t>La crisi sanitaria scatenata dal Coronavirus sta colpendo duramente anche la commercializzazione dei prodotti agroalimentari, impedendo a molte aziende, non solo italiane, di trasportare le merci di loro produzione e quindi di evadere gli ordini, con un conseguente contenimento dei consumi ed una contrazione delle esportazioni.</w:t>
      </w:r>
    </w:p>
    <w:p>
      <w:pPr>
        <w:pStyle w:val="Body"/>
      </w:pPr>
      <w:r>
        <w:t>Si sta registrando una ingiustificata forma di psicosi in relazione alla libera circolazione di persone e merci all'interno dell'Unione europea.</w:t>
      </w:r>
    </w:p>
    <w:p>
      <w:pPr>
        <w:pStyle w:val="Body"/>
      </w:pPr>
      <w:r>
        <w:t>In particolare nelle ultime ore si è addirittura alimentata una informazione non corretta e fuorviante, con ulteriori danni economici e di immagine al comparto agroalimentare, in ragione della errata percezione che il virus possa essere trasferito attraverso il consumo di prodotti agricoli provenienti dalle aree interessate da possibili focolai.</w:t>
      </w:r>
    </w:p>
    <w:p>
      <w:pPr>
        <w:pStyle w:val="Body"/>
      </w:pPr>
      <w:r>
        <w:t>In Italia il comparto ortofrutticolo e la catena del valore economico che ne deriva rappresentano oltre il 20% del PIL nazionale e più del 10% dell'export nazionale complessivo.</w:t>
      </w:r>
    </w:p>
    <w:p>
      <w:pPr>
        <w:pStyle w:val="Body"/>
      </w:pPr>
      <w:r>
        <w:t>Alla luce di quanto precede, può la Commissione europea rispondere al seguente quesito:</w:t>
      </w:r>
    </w:p>
    <w:p>
      <w:pPr>
        <w:pStyle w:val="Body"/>
      </w:pPr>
      <w:r>
        <w:t>Intende assumere iniziative volte a ripristinare la corretta informazione che il virus Covid-19 non si trasmette in alcun modo con il consumo alimentare dei prodotti agroalimentari e che gli stessi non presentano in alcun modo rischi per la pubblica salute?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PE649.627v01-00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PE649.627v01-00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PE649.627v01-00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20200925-115337-029153-016849</vt:lpwstr>
  </property>
</Properties>
</file>