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E-001687/2020</w:t>
      </w:r>
    </w:p>
    <w:p>
      <w:pPr>
        <w:pStyle w:val="Arial10"/>
      </w:pPr>
      <w:r>
        <w:rPr>
          <w:rStyle w:val="Bold"/>
        </w:rPr>
        <w:t>to the Commission</w:t>
      </w:r>
    </w:p>
    <w:p>
      <w:pPr>
        <w:pStyle w:val="Arial10"/>
      </w:pPr>
      <w:r>
        <w:t>Rule 138</w:t>
      </w:r>
    </w:p>
    <w:p>
      <w:pPr>
        <w:pStyle w:val="Arial10After10"/>
      </w:pPr>
      <w:r>
        <w:rPr>
          <w:rStyle w:val="Bold"/>
        </w:rPr>
        <w:t>Hélène Laporte</w:t>
      </w:r>
      <w:r>
        <w:t xml:space="preserve"> (</w:t>
      </w:r>
      <w:r>
        <w:t>ID</w:t>
      </w:r>
      <w:r>
        <w:t>)</w:t>
      </w:r>
    </w:p>
    <w:p>
      <w:pPr>
        <w:pStyle w:val="Subject"/>
      </w:pPr>
      <w:r>
        <w:t>Subject</w:t>
      </w:r>
      <w:r>
        <w:t>:</w:t>
      </w:r>
      <w:r>
        <w:tab/>
      </w:r>
      <w:r>
        <w:t>Stabilisation of farmers’ income</w:t>
      </w:r>
    </w:p>
    <w:p>
      <w:pPr>
        <w:pStyle w:val="Body"/>
      </w:pPr>
      <w:r>
        <w:t>The European Court of Auditors has conducted an audit in which it analysed the tools for stabilising farmers’ income.</w:t>
      </w:r>
    </w:p>
    <w:p>
      <w:pPr>
        <w:pStyle w:val="Body"/>
      </w:pPr>
      <w:r>
        <w:t>The report states that the agricultural risk management measures taken by the European Union were successful in part, but that uptake was low and crisis measures sometimes resulted in overcompensation.</w:t>
      </w:r>
    </w:p>
    <w:p>
      <w:pPr>
        <w:pStyle w:val="itemList"/>
      </w:pPr>
      <w:r>
        <w:t>1.</w:t>
      </w:r>
      <w:r>
        <w:tab/>
      </w:r>
      <w:r>
        <w:t>Can the Commission explain why 90 % of farmers who take out insurance do so without help from the European Union, and does it plan to review the EU’s scheme, which focuses mainly on the wine sector?</w:t>
      </w:r>
    </w:p>
    <w:p>
      <w:pPr>
        <w:pStyle w:val="itemList"/>
      </w:pPr>
      <w:r>
        <w:t>2.</w:t>
      </w:r>
      <w:r>
        <w:tab/>
      </w:r>
      <w:r>
        <w:t>Can the Commission confirm that market conditions and farmers’ overall returns should also be taken into account when triggering the exceptional measures for natural disasters in Article 221 of Regulation (EU) No 1308/2013, as stated by it in its reply to the European Court of Auditors?</w:t>
      </w:r>
    </w:p>
    <w:p>
      <w:pPr>
        <w:pStyle w:val="itemList"/>
      </w:pPr>
      <w:r>
        <w:t>3.</w:t>
      </w:r>
      <w:r>
        <w:tab/>
      </w:r>
      <w:r>
        <w:t>Can the Commission give a detailed explanation of the pricing criteria used in the context of compensation for withdrawal operations, given that it says that the market price in the producer’s Member State is not the only criterion employed?</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PE649.825v01-00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PE649.825v01-00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PE649.825v01-00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20200925-120116-029530-180600</vt:lpwstr>
  </property>
</Properties>
</file>