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avec demande de réponse écrite  E-002499/2020</w:t>
      </w:r>
    </w:p>
    <w:p>
      <w:pPr>
        <w:pStyle w:val="Arial10"/>
      </w:pPr>
      <w:r>
        <w:rPr>
          <w:rStyle w:val="Bold"/>
        </w:rPr>
        <w:t>à la Commission</w:t>
      </w:r>
    </w:p>
    <w:p>
      <w:pPr>
        <w:pStyle w:val="Arial10"/>
      </w:pPr>
      <w:r>
        <w:t>Article 138 du règlement intérieur</w:t>
      </w:r>
    </w:p>
    <w:p>
      <w:pPr>
        <w:pStyle w:val="Arial10After10"/>
      </w:pPr>
      <w:r>
        <w:rPr>
          <w:rStyle w:val="Bold"/>
        </w:rPr>
        <w:t>Gianna Gancia</w:t>
      </w:r>
      <w:r>
        <w:t xml:space="preserve"> (</w:t>
      </w:r>
      <w:r>
        <w:t>ID</w:t>
      </w:r>
      <w:r>
        <w:t xml:space="preserve">), </w:t>
      </w:r>
      <w:r>
        <w:rPr>
          <w:rStyle w:val="Bold"/>
        </w:rPr>
        <w:t>Matteo Adinolfi</w:t>
      </w:r>
      <w:r>
        <w:t xml:space="preserve"> (</w:t>
      </w:r>
      <w:r>
        <w:t>ID</w:t>
      </w:r>
      <w:r>
        <w:t xml:space="preserve">), </w:t>
      </w:r>
      <w:r>
        <w:rPr>
          <w:rStyle w:val="Bold"/>
        </w:rPr>
        <w:t>Angel Dzhambazki</w:t>
      </w:r>
      <w:r>
        <w:t xml:space="preserve"> (</w:t>
      </w:r>
      <w:r>
        <w:t>ECR</w:t>
      </w:r>
      <w:r>
        <w:t xml:space="preserve">), </w:t>
      </w:r>
      <w:r>
        <w:rPr>
          <w:rStyle w:val="Bold"/>
        </w:rPr>
        <w:t>Andrey Slabakov</w:t>
      </w:r>
      <w:r>
        <w:t xml:space="preserve"> (</w:t>
      </w:r>
      <w:r>
        <w:t>ECR</w:t>
      </w:r>
      <w:r>
        <w:t xml:space="preserve">), </w:t>
      </w:r>
      <w:r>
        <w:rPr>
          <w:rStyle w:val="Bold"/>
        </w:rPr>
        <w:t>Gilles Lebreton</w:t>
      </w:r>
      <w:r>
        <w:t xml:space="preserve"> (</w:t>
      </w:r>
      <w:r>
        <w:t>ID</w:t>
      </w:r>
      <w:r>
        <w:t xml:space="preserve">), </w:t>
      </w:r>
      <w:r>
        <w:rPr>
          <w:rStyle w:val="Bold"/>
        </w:rPr>
        <w:t>Tom Vandendriessche</w:t>
      </w:r>
      <w:r>
        <w:t xml:space="preserve"> (</w:t>
      </w:r>
      <w:r>
        <w:t>ID</w:t>
      </w:r>
      <w:r>
        <w:t xml:space="preserve">), </w:t>
      </w:r>
      <w:r>
        <w:rPr>
          <w:rStyle w:val="Bold"/>
        </w:rPr>
        <w:t>Aurelia Beigneux</w:t>
      </w:r>
      <w:r>
        <w:t xml:space="preserve"> (</w:t>
      </w:r>
      <w:r>
        <w:t>ID</w:t>
      </w:r>
      <w:r>
        <w:t xml:space="preserve">), </w:t>
      </w:r>
      <w:r>
        <w:rPr>
          <w:rStyle w:val="Bold"/>
        </w:rPr>
        <w:t>Virginie Joron</w:t>
      </w:r>
      <w:r>
        <w:t xml:space="preserve"> (</w:t>
      </w:r>
      <w:r>
        <w:t>ID</w:t>
      </w:r>
      <w:r>
        <w:t xml:space="preserve">), </w:t>
      </w:r>
      <w:r>
        <w:rPr>
          <w:rStyle w:val="Bold"/>
        </w:rPr>
        <w:t>Eugen Tomac</w:t>
      </w:r>
      <w:r>
        <w:t xml:space="preserve"> (</w:t>
      </w:r>
      <w:r>
        <w:t>PPE</w:t>
      </w:r>
      <w:r>
        <w:t xml:space="preserve">), </w:t>
      </w:r>
      <w:r>
        <w:rPr>
          <w:rStyle w:val="Bold"/>
        </w:rPr>
        <w:t>Milan Uhrík</w:t>
      </w:r>
      <w:r>
        <w:t xml:space="preserve"> (</w:t>
      </w:r>
      <w:r>
        <w:t>NI</w:t>
      </w:r>
      <w:r>
        <w:t xml:space="preserve">), </w:t>
      </w:r>
      <w:r>
        <w:rPr>
          <w:rStyle w:val="Bold"/>
        </w:rPr>
        <w:t>Lars Patrick Berg</w:t>
      </w:r>
      <w:r>
        <w:t xml:space="preserve"> (</w:t>
      </w:r>
      <w:r>
        <w:t>ID</w:t>
      </w:r>
      <w:r>
        <w:t xml:space="preserve">), </w:t>
      </w:r>
      <w:r>
        <w:rPr>
          <w:rStyle w:val="Bold"/>
        </w:rPr>
        <w:t>Joanna Kopcińska</w:t>
      </w:r>
      <w:r>
        <w:t xml:space="preserve"> (</w:t>
      </w:r>
      <w:r>
        <w:t>ECR</w:t>
      </w:r>
      <w:r>
        <w:t xml:space="preserve">), </w:t>
      </w:r>
      <w:r>
        <w:rPr>
          <w:rStyle w:val="Bold"/>
        </w:rPr>
        <w:t>Jadwiga Wiśniewska</w:t>
      </w:r>
      <w:r>
        <w:t xml:space="preserve"> (</w:t>
      </w:r>
      <w:r>
        <w:t>ECR</w:t>
      </w:r>
      <w:r>
        <w:t xml:space="preserve">), </w:t>
      </w:r>
      <w:r>
        <w:rPr>
          <w:rStyle w:val="Bold"/>
        </w:rPr>
        <w:t>Aldo Patriciello</w:t>
      </w:r>
      <w:r>
        <w:t xml:space="preserve"> (</w:t>
      </w:r>
      <w:r>
        <w:t>PPE</w:t>
      </w:r>
      <w:r>
        <w:t xml:space="preserve">), </w:t>
      </w:r>
      <w:r>
        <w:rPr>
          <w:rStyle w:val="Bold"/>
        </w:rPr>
        <w:t>Markus Buchheit</w:t>
      </w:r>
      <w:r>
        <w:t xml:space="preserve"> (</w:t>
      </w:r>
      <w:r>
        <w:t>ID</w:t>
      </w:r>
      <w:r>
        <w:t xml:space="preserve">), </w:t>
      </w:r>
      <w:r>
        <w:rPr>
          <w:rStyle w:val="Bold"/>
        </w:rPr>
        <w:t>Annika Bruna</w:t>
      </w:r>
      <w:r>
        <w:t xml:space="preserve"> (</w:t>
      </w:r>
      <w:r>
        <w:t>ID</w:t>
      </w:r>
      <w:r>
        <w:t xml:space="preserve">), </w:t>
      </w:r>
      <w:r>
        <w:rPr>
          <w:rStyle w:val="Bold"/>
        </w:rPr>
        <w:t>Maximilian Krah</w:t>
      </w:r>
      <w:r>
        <w:t xml:space="preserve"> (</w:t>
      </w:r>
      <w:r>
        <w:t>ID</w:t>
      </w:r>
      <w:r>
        <w:t xml:space="preserve">), </w:t>
      </w:r>
      <w:r>
        <w:rPr>
          <w:rStyle w:val="Bold"/>
        </w:rPr>
        <w:t>Romana Jerković</w:t>
      </w:r>
      <w:r>
        <w:t xml:space="preserve"> (</w:t>
      </w:r>
      <w:r>
        <w:t>S&amp;D</w:t>
      </w:r>
      <w:r>
        <w:t xml:space="preserve">), </w:t>
      </w:r>
      <w:r>
        <w:rPr>
          <w:rStyle w:val="Bold"/>
        </w:rPr>
        <w:t>Elżbieta Kruk</w:t>
      </w:r>
      <w:r>
        <w:t xml:space="preserve"> (</w:t>
      </w:r>
      <w:r>
        <w:t>ECR</w:t>
      </w:r>
      <w:r>
        <w:t xml:space="preserve">), </w:t>
      </w:r>
      <w:r>
        <w:rPr>
          <w:rStyle w:val="Bold"/>
        </w:rPr>
        <w:t>Jean-Paul Garraud</w:t>
      </w:r>
      <w:r>
        <w:t xml:space="preserve"> (</w:t>
      </w:r>
      <w:r>
        <w:t>ID</w:t>
      </w:r>
      <w:r>
        <w:t>)</w:t>
      </w:r>
    </w:p>
    <w:p>
      <w:pPr>
        <w:pStyle w:val="Subject"/>
      </w:pPr>
      <w:r>
        <w:t>Objet</w:t>
      </w:r>
      <w:r>
        <w:t>:</w:t>
      </w:r>
      <w:r>
        <w:tab/>
      </w:r>
      <w:r>
        <w:t xml:space="preserve">La nécessité de rapatrier la production pharmaceutique en Europe </w:t>
      </w:r>
    </w:p>
    <w:p>
      <w:pPr>
        <w:pStyle w:val="Body"/>
      </w:pPr>
      <w:r>
        <w:t>L'urgence sanitaire provoquée par la pandémie de COVID-19, qui touche l'ensemble du continent européen, a mis en évidence l'inquiétante dépendance de l'Union européenne et de ses États membres vis-à-vis de la production pharmaceutique en dehors de l’Europe, en provenance notamment de la République populaire de Chine.</w:t>
      </w:r>
    </w:p>
    <w:p>
      <w:pPr>
        <w:pStyle w:val="Body"/>
      </w:pPr>
      <w:r>
        <w:t xml:space="preserve">Une série d'articles précis, publiés dans le journal français </w:t>
      </w:r>
      <w:r>
        <w:rPr>
          <w:rStyle w:val="Italic"/>
        </w:rPr>
        <w:t xml:space="preserve"> Le Figaro</w:t>
      </w:r>
      <w:r>
        <w:t xml:space="preserve"> , a montré que la Chine produit environ 80 % des principes actifs utilisés par nos industries pharmaceutiques, tout en fournissant entre 80 % et 90 % des matières premières nécessaires à la production de ces principes actifs.</w:t>
      </w:r>
    </w:p>
    <w:p>
      <w:pPr>
        <w:pStyle w:val="Body"/>
      </w:pPr>
      <w:r>
        <w:t>Les causes principales de cette situation sont une délocalisation incontrôlée vers la Chine et un dumping social important, encouragés par les autorités chinoises elles-mêmes.</w:t>
      </w:r>
    </w:p>
    <w:p>
      <w:pPr>
        <w:pStyle w:val="itemList"/>
      </w:pPr>
      <w:r>
        <w:t>1.</w:t>
      </w:r>
      <w:r>
        <w:tab/>
      </w:r>
      <w:r>
        <w:t>La Commission peut-elle indiquer quel soutien financier est accordé aux fabricants de l'UE pour garantir une dépendance moindre à l'égard de la Chine, dans un avenir proche, et pour promouvoir l'autosuffisance médicale et pharmaceutique de l'Union européenne ainsi que de ses États membres?</w:t>
      </w:r>
    </w:p>
    <w:p>
      <w:pPr>
        <w:pStyle w:val="itemList"/>
      </w:pPr>
      <w:r>
        <w:t>2.</w:t>
      </w:r>
      <w:r>
        <w:tab/>
      </w:r>
      <w:r>
        <w:t>La Commission peut-elle indiquer quelles mesures urgentes elle compte prendre pour encourager les chaînes de production pharmaceutique au sein de l'UE en vue de diversifier l'approvisionnement en produits pharmaceutiques, compte tenu de l'importance stratégique essentielle des produits médicaux et pharmaceutiques, comme le démontre, malheureusement, la crise sanitaire actuelle?</w:t>
      </w:r>
    </w:p>
    <w:p>
      <w:pPr>
        <w:pStyle w:val="Supporter"/>
      </w:pPr>
      <w:r>
        <w:rPr>
          <w:rStyle w:val="Bold"/>
        </w:rPr>
        <w:t>Soutiens</w:t>
      </w:r>
      <w:r>
        <w:rPr>
          <w:rStyle w:val="FootnoteReference"/>
        </w:rPr>
        <w:footnoteReference w:id="0"/>
      </w:r>
    </w:p>
    <w:sectPr>
      <w:footerReference w:type="even" r:id="rId5"/>
      <w:footerReference w:type="default" r:id="rId6"/>
      <w:footerReference w:type="first" r:id="rId7"/>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PE651.411v01-00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PE651.411v01-00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PE651.411v01-00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t>Cette question est soutenue par d’autres députés que ses auteurs: Carlo Fidanza (ECR), Francesca Donato (ID)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avec demande de réponse écrite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20201105-141406-012507-784557</vt:lpwstr>
  </property>
</Properties>
</file>