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Vraag met verzoek om schriftelijk antwoord E-002698/2020</w:t>
      </w:r>
    </w:p>
    <w:p>
      <w:pPr>
        <w:pStyle w:val="Arial10"/>
      </w:pPr>
      <w:r>
        <w:rPr>
          <w:rStyle w:val="Bold"/>
        </w:rPr>
        <w:t>aan de Commissie</w:t>
      </w:r>
    </w:p>
    <w:p>
      <w:pPr>
        <w:pStyle w:val="Arial10"/>
      </w:pPr>
      <w:r>
        <w:t>Artikel 138 van het Reglement</w:t>
      </w:r>
    </w:p>
    <w:p>
      <w:pPr>
        <w:pStyle w:val="Arial10After10"/>
      </w:pPr>
      <w:r>
        <w:rPr>
          <w:rStyle w:val="Bold"/>
        </w:rPr>
        <w:t>Agnes Jongerius</w:t>
      </w:r>
    </w:p>
    <w:p>
      <w:pPr>
        <w:pStyle w:val="Subject"/>
      </w:pPr>
      <w:r>
        <w:t>Betreft</w:t>
      </w:r>
      <w:r>
        <w:t>:</w:t>
      </w:r>
      <w:r>
        <w:tab/>
      </w:r>
      <w:r>
        <w:t>Overheidsopdrachten en de bevordering van collectieve onderhandelingen</w:t>
      </w:r>
    </w:p>
    <w:p>
      <w:pPr>
        <w:pStyle w:val="Body"/>
      </w:pPr>
      <w:r>
        <w:t>Volgens de Commissie besteden meer dan 250 000 overheidsinstanties in de EU jaarlijks 14 % van het bbp (ongeveer 2 biljoen EUR per jaar) aan de aankoop van diensten, werkzaamheden en leveringen. In veel sectoren, zoals energie, transport, afvalbeheer, sociale bescherming en de verlening van gezondheids- of onderwijsdiensten, zijn overheidsinstanties volgens de Commissie de belangrijkste afnemers </w:t>
      </w:r>
      <w:r>
        <w:rPr>
          <w:rStyle w:val="FootnoteReference"/>
        </w:rPr>
        <w:footnoteReference w:id="0"/>
      </w:r>
      <w:r>
        <w:t xml:space="preserve"> .</w:t>
      </w:r>
    </w:p>
    <w:p>
      <w:pPr>
        <w:pStyle w:val="Body"/>
      </w:pPr>
      <w:r>
        <w:t>Regels en procedures inzake overheidsopdrachten zijn essentiële instrumenten voor de EU, de lidstaten en overheidsinstanties om doelstellingen van algemeen belang te helpen verwezenlijken.</w:t>
      </w:r>
    </w:p>
    <w:p>
      <w:pPr>
        <w:pStyle w:val="Body"/>
      </w:pPr>
      <w:r>
        <w:t>In haar recente mededeling, getiteld “Een sterk sociaal Europa voor rechtvaardige transities” erkende de Commissie nogmaals het belang van sociale dialoog en collectieve onderhandelingen en verklaarde ze dat ze “manieren [zal] onderzoeken om de sociale dialoog en collectieve onderhandelingen te bevorderen en de capaciteit van de vakbonden en werkgeversorganisaties op nationaal en EU-niveau [zal] vergroten”.</w:t>
      </w:r>
    </w:p>
    <w:p>
      <w:pPr>
        <w:pStyle w:val="itemList"/>
      </w:pPr>
      <w:r>
        <w:t>1.</w:t>
      </w:r>
      <w:r>
        <w:tab/>
      </w:r>
      <w:r>
        <w:t>Is de Commissie op de hoogte van het aandeel van overheidsopdrachten met ondernemingen waarbij er een collectieve overeenkomst wordt gehanteerd?</w:t>
      </w:r>
    </w:p>
    <w:p>
      <w:pPr>
        <w:pStyle w:val="itemList"/>
      </w:pPr>
      <w:r>
        <w:t>2.</w:t>
      </w:r>
      <w:r>
        <w:tab/>
      </w:r>
      <w:r>
        <w:t>Welke stappen gaat zij ondernemen om ervoor te zorgen dat het EU-rechtskader voor procedures voor overheidsopdrachten collectieve onderhandelingen bevordert, met name sectorale collectieve onderhandelingen, en dat overheidsopdrachten enkel worden toegekend aan ondernemingen die het recht van werknemers om collectief te onderhandelen respecteren?</w:t>
      </w:r>
    </w:p>
    <w:sectPr>
      <w:footerReference w:type="even" r:id="rId5"/>
      <w:footerReference w:type="default" r:id="rId6"/>
      <w:footerReference w:type="first" r:id="rId7"/>
      <w:pgSz w:w="11906" w:h="16838"/>
      <w:pgMar w:top="1440" w:right="1440" w:bottom="2000" w:left="1440" w:header="568" w:footer="568"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PE651.732v01-00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PE651.732v01-00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PE651.732v01-00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0">
    <w:p>
      <w:pPr>
        <w:pStyle w:val="FootnoteText"/>
      </w:pPr>
      <w:r>
        <w:rPr>
          <w:rStyle w:val="FootnoteReference"/>
        </w:rPr>
        <w:footnoteRef/>
      </w:r>
      <w:r>
        <w:t xml:space="preserve"> </w:t>
      </w:r>
      <w:r>
        <w:tab/>
      </w:r>
      <w:r>
        <w:t>https://ec.europa.eu/docsroom/documents/25612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Vraag met verzoek om schriftelijk antwoord</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20200520-132921-326495-662884</vt:lpwstr>
  </property>
</Properties>
</file>