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Question for written answer E-004032/2020</w:t>
      </w:r>
    </w:p>
    <w:p>
      <w:pPr>
        <w:pStyle w:val="Arial10"/>
      </w:pPr>
      <w:r>
        <w:rPr>
          <w:rStyle w:val="Bold"/>
        </w:rPr>
        <w:t>to the Commission</w:t>
      </w:r>
    </w:p>
    <w:p>
      <w:pPr>
        <w:pStyle w:val="Arial10"/>
      </w:pPr>
      <w:r>
        <w:t>Rule 138</w:t>
      </w:r>
    </w:p>
    <w:p>
      <w:pPr>
        <w:pStyle w:val="Arial10After10"/>
      </w:pPr>
      <w:r>
        <w:rPr>
          <w:rStyle w:val="Bold"/>
        </w:rPr>
        <w:t>Sabine Verheyen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Pascal Arimont</w:t>
      </w:r>
      <w:r>
        <w:t xml:space="preserve"> (</w:t>
      </w:r>
      <w:r>
        <w:t>PPE</w:t>
      </w:r>
      <w:r>
        <w:t>)</w:t>
      </w:r>
    </w:p>
    <w:p>
      <w:pPr>
        <w:pStyle w:val="Subject"/>
      </w:pPr>
      <w:r>
        <w:t>Subject</w:t>
      </w:r>
      <w:r>
        <w:t>:</w:t>
      </w:r>
      <w:r>
        <w:tab/>
      </w:r>
      <w:r>
        <w:t>Cross-border labour mobility</w:t>
      </w:r>
    </w:p>
    <w:p>
      <w:pPr>
        <w:pStyle w:val="Body"/>
      </w:pPr>
      <w:r>
        <w:t>In border areas, many citizens work in a neighbouring EU country, and companies often extend their search for workers to neighbouring countries. However, there are still obstacles to cross-border labour mobility.</w:t>
      </w:r>
    </w:p>
    <w:p>
      <w:pPr>
        <w:pStyle w:val="Body"/>
      </w:pPr>
      <w:r>
        <w:t>Third-country nationals residing in Belgium and married to an EU citizen must apply for a cross-border commuter card in Germany in order to pursue gainful employment in that country. It takes around seven weeks to issue a cross-border commuter card. This prevents workers from being hired immediately or at short notice because the cross-border commuter card can only be applied for upon presentation of an employment contract or provisional contract. In addition, the lengthy wait before such a card can be issued means that cross-border applicants are at a disadvantage compared to residents.</w:t>
      </w:r>
    </w:p>
    <w:p>
      <w:pPr>
        <w:pStyle w:val="itemList"/>
      </w:pPr>
      <w:r>
        <w:t>1.</w:t>
      </w:r>
      <w:r>
        <w:tab/>
      </w:r>
      <w:r>
        <w:t>Is the Commission aware of similar confirmation procedures in other EU Member States regarding the employment of third-country nationals?</w:t>
      </w:r>
    </w:p>
    <w:p>
      <w:pPr>
        <w:pStyle w:val="itemList"/>
      </w:pPr>
      <w:r>
        <w:t>2.</w:t>
      </w:r>
      <w:r>
        <w:tab/>
      </w:r>
      <w:r>
        <w:t>Is the Commission aware of the long deadline for issuing the cross-border commuter card in Germany and the associated obstacles to cross-border labour mobility?</w:t>
      </w:r>
    </w:p>
    <w:p>
      <w:pPr>
        <w:pStyle w:val="itemList"/>
      </w:pPr>
      <w:r>
        <w:t>3.</w:t>
      </w:r>
      <w:r>
        <w:tab/>
      </w:r>
      <w:r>
        <w:t>Does the Commission see a way to expedite this procedure, for example by issuing a temporary cross-border commuter card valid for a short period of time?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PE655.349v01-00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PE655.349v01-00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PE655.349v01-00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answer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20200721-144020-243217-365814</vt:lpwstr>
  </property>
</Properties>
</file>