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3 -->
  <w:body>
    <w:p>
      <w:pPr>
        <w:pStyle w:val="Arial10"/>
      </w:pPr>
      <w:r w:rsidR="00A77B3E">
        <w:rPr>
          <w:rStyle w:val="Bold"/>
        </w:rPr>
        <w:t>Question avec demande de réponse écrite E-004357/2020</w:t>
      </w:r>
    </w:p>
    <w:p>
      <w:pPr>
        <w:pStyle w:val="Arial10"/>
      </w:pPr>
      <w:r>
        <w:rPr>
          <w:rStyle w:val="Bold"/>
        </w:rPr>
        <w:t>à la Commission</w:t>
      </w:r>
    </w:p>
    <w:p>
      <w:pPr>
        <w:pStyle w:val="Arial10"/>
      </w:pPr>
      <w:r>
        <w:t>Article 138 du règlement intérieur</w:t>
      </w:r>
    </w:p>
    <w:p>
      <w:pPr>
        <w:pStyle w:val="Arial10After10"/>
      </w:pPr>
      <w:r>
        <w:rPr>
          <w:rStyle w:val="Bold"/>
        </w:rPr>
        <w:t>Jean-Paul Garraud</w:t>
      </w:r>
      <w:r>
        <w:t xml:space="preserve"> (</w:t>
      </w:r>
      <w:r>
        <w:t>ID</w:t>
      </w:r>
      <w:r>
        <w:t>)</w:t>
      </w:r>
    </w:p>
    <w:p>
      <w:pPr>
        <w:pStyle w:val="Subject"/>
      </w:pPr>
      <w:r>
        <w:t>Objet</w:t>
      </w:r>
      <w:r>
        <w:t>:</w:t>
      </w:r>
      <w:r>
        <w:tab/>
      </w:r>
      <w:r>
        <w:t>Aide à la Chine pendant la crise sanitaire</w:t>
      </w:r>
    </w:p>
    <w:p>
      <w:pPr>
        <w:pStyle w:val="Body"/>
      </w:pPr>
      <w:r>
        <w:t>Dans sa réponse du 10 juillet 2020 à la question E-002209/2020, la Commission européenne explique que l’Union européenne est venue en aide à la Chine en février, alors que le commissaire Thierry Breton avait déclaré que l’Union avait mobilisé «plus de 250 millions d’euros pour lui venir en aide dès le mois de janvier».</w:t>
      </w:r>
    </w:p>
    <w:p>
      <w:pPr>
        <w:pStyle w:val="Body"/>
      </w:pPr>
      <w:r>
        <w:t>La Commission européenne explique également que neuf États membres ont répondu à la demande d’aide de la Chine en faisant don de 56,35 tonnes métriques par l’intermédiaire du mécanisme de protection civile de l’Union.</w:t>
      </w:r>
    </w:p>
    <w:p>
      <w:pPr>
        <w:pStyle w:val="itemList"/>
      </w:pPr>
      <w:r>
        <w:t>1.</w:t>
      </w:r>
      <w:r>
        <w:tab/>
      </w:r>
      <w:r>
        <w:t>Peut-on savoir exactement à quoi correspond l’aide d’un montant de 250 millions d’euros mobilisée en janvier d’après M. Breton?</w:t>
      </w:r>
    </w:p>
    <w:p>
      <w:pPr>
        <w:pStyle w:val="itemList"/>
      </w:pPr>
      <w:r>
        <w:t>2.</w:t>
      </w:r>
      <w:r>
        <w:tab/>
      </w:r>
      <w:r>
        <w:t>La Commission européenne peut-elle indiquer quels sont les neufs États membres ayant fait ce don à la Chine ainsi que les quantités par État de chaque type d’éléments de protection donnés?</w:t>
      </w:r>
    </w:p>
    <w:sectPr>
      <w:footerReference w:type="even" r:id="rId4"/>
      <w:footerReference w:type="default" r:id="rId5"/>
      <w:footerReference w:type="first" r:id="rId6"/>
      <w:pgSz w:w="11906" w:h="16838"/>
      <w:pgMar w:top="1440" w:right="1440" w:bottom="2000" w:left="1440" w:header="568" w:footer="568" w:gutter="0"/>
      <w:cols w:num="1"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PE656.501v01-00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PE656.501v01-00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PE656.501v01-00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DefaultParagraphFont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1F497D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avec demande de réponse écrite</dc:title>
  <dc:creator>e-Parliament@europarl.europa.eu</dc:creator>
  <cp:lastModifiedBy>e-Parliament@europarl.europa.eu</cp:lastModifiedBy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XMLUID">
    <vt:lpwstr>20200805-121804-005834-610756</vt:lpwstr>
  </property>
</Properties>
</file>