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Pytanie wymagające odpowiedzi na piśmie E-004816/2020</w:t>
      </w:r>
    </w:p>
    <w:p>
      <w:pPr>
        <w:pStyle w:val="Arial10"/>
      </w:pPr>
      <w:r>
        <w:rPr>
          <w:rStyle w:val="Bold"/>
        </w:rPr>
        <w:t>do Komisji</w:t>
      </w:r>
    </w:p>
    <w:p>
      <w:pPr>
        <w:pStyle w:val="Arial10"/>
      </w:pPr>
      <w:r>
        <w:t>Art. 138 Regulaminu</w:t>
      </w:r>
    </w:p>
    <w:p>
      <w:pPr>
        <w:pStyle w:val="Arial10After10"/>
      </w:pPr>
      <w:r>
        <w:rPr>
          <w:rStyle w:val="Bold"/>
        </w:rPr>
        <w:t>Domènec Ruiz Devesa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Dietmar Köster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Tineke Strik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Pietro Bartolo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Erik Marquardt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Eric Andrieu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Aurore Lalucq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Raphaël Glucksmann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Pierre Larrouturou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Nora Mebarek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Bettina Vollath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Kati Piri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Tanja Fajon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Giuliano Pisapia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Javier Moreno Sánchez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Juan Fernando López Aguilar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Jonás Fernández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Clara Aguilera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Estrella Durá Ferrandis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Cristina Maestre Martín De Almagro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Isabel García Muñoz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César Luena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Lina Gálvez Muñoz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Javi López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Nicolás González Casares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Eider Gardiazabal Rubial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Inma Rodríguez-Piñero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Alicia Homs Ginel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Adriana Maldonado López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Mónica Silvana González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Pierfrancesco Majorino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Elisabetta Gualmini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Pina Picierno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Andreas Schieder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Irena Joveva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Charles Goerens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Karen Melchior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Damian Boeselager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Ville Niinistö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Anne-Sophie Pelletier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Jan-Christoph Oetjen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Kathleen Van Brempt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Milan Brglez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Maria Arena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Ernest Urtasun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Alice Kuhnke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Anna Cavazzini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Manon Aubry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Hannes Heide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Marie Toussaint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Malin Björk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Janina Ochojska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Billy Kelleher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Martin Sonneborn</w:t>
      </w:r>
      <w:r>
        <w:t xml:space="preserve"> (</w:t>
      </w:r>
      <w:r>
        <w:t>NI</w:t>
      </w:r>
      <w:r>
        <w:t xml:space="preserve">), </w:t>
      </w:r>
      <w:r>
        <w:rPr>
          <w:rStyle w:val="Bold"/>
        </w:rPr>
        <w:t>Damien Carême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Isabel Santos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Vera Tax</w:t>
      </w:r>
      <w:r>
        <w:t xml:space="preserve"> (</w:t>
      </w:r>
      <w:r>
        <w:t>S&amp;D</w:t>
      </w:r>
      <w:r>
        <w:t>)</w:t>
      </w:r>
    </w:p>
    <w:p>
      <w:pPr>
        <w:pStyle w:val="Subject"/>
      </w:pPr>
      <w:r>
        <w:t>Przedmiot</w:t>
      </w:r>
      <w:r>
        <w:t>:</w:t>
      </w:r>
      <w:r>
        <w:tab/>
      </w:r>
      <w:r>
        <w:t>Systemowe i skoordynowane zawracanie na granicy przez władze greckie</w:t>
      </w:r>
    </w:p>
    <w:p>
      <w:pPr>
        <w:pStyle w:val="Body"/>
      </w:pPr>
      <w:r>
        <w:t>W dniu 17 sierpnia 2020 r. New York Times opublikował artykuł zatytułowany „Taking Hard Line, Greece Turns Back Migrants by Abandoning Them at Sea”. Udokumentowano w nim, jak migranci docierający na grecki ląd byli przez greckie władze w wielu przypadkach umieszczani pod przymusem na niestabilnych tratwach ratunkowych i porzucani na turecko-greckiej granicy morskiej, gdzie musieli dryfować do czasu ich uratowania przez władze tureckie. Inni byli odholowywani z powrotem na turecką granicę morską i porzucani po uprzednim unieruchomieniu silników ich łodzi przez władze, pozostawiani na bezludnej wyspie lub wydalani przez rzekę Ewros bez dostępu do procedur odwoławczych.</w:t>
      </w:r>
    </w:p>
    <w:p>
      <w:pPr>
        <w:pStyle w:val="Body"/>
      </w:pPr>
      <w:r>
        <w:t>Czy Komisja posiada wiedzę na temat tych zdarzeń i może potwierdzić, że mają one miejsce?</w:t>
      </w:r>
    </w:p>
    <w:p>
      <w:pPr>
        <w:pStyle w:val="Body"/>
      </w:pPr>
      <w:r>
        <w:t>Biorąc pod uwagę wiarygodność dziennika, uważamy, że władze greckie dokonują bezprecedensowego, niezwykle agresywnego i systematycznego zawracania na granicy, a tym samym naruszają prawo Unii Europejskiej, a konkretnie art. 78 ust. 1 Traktatu o funkcjonowaniu Unii Europejskiej, art. 3 i 4 kodeksu granicznego Schengen, art. 9 dyrektywy w sprawie procedur azylowych, art. 5 dyrektywy powrotowej, art. 18, art. 19 ust. 2 i art. 24 Karty praw podstawowych Unii Europejskiej oraz konwencję dotyczącą statusu uchodźców z 1951 r. UE ponosi wspólną odpowiedzialność za azyl i migrację. Czy w związku z tym Komisja rozważa wszczęcie postępowania w sprawie uchybienia zobowiązaniom państwa członkowskiego przeciwko rządowi greckiemu?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PE657.615v01-00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PE657.615v01-00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PE657.615v01-00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 wymagające odpowiedzi na piśmie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20200915-152522-199489-572661</vt:lpwstr>
  </property>
</Properties>
</file>