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Anfrage zur schriftlichen Beantwortung E-005390/2020</w:t>
      </w:r>
    </w:p>
    <w:p>
      <w:pPr>
        <w:pStyle w:val="Arial10"/>
      </w:pPr>
      <w:r>
        <w:rPr>
          <w:rStyle w:val="Bold"/>
        </w:rPr>
        <w:t>an die Kommission</w:t>
      </w:r>
    </w:p>
    <w:p>
      <w:pPr>
        <w:pStyle w:val="Arial10"/>
      </w:pPr>
      <w:r>
        <w:t>Artikel 138 der Geschäftsordnung</w:t>
      </w:r>
    </w:p>
    <w:p>
      <w:pPr>
        <w:pStyle w:val="Arial10After10"/>
      </w:pPr>
      <w:r>
        <w:rPr>
          <w:rStyle w:val="Bold"/>
        </w:rPr>
        <w:t>Patrick Breyer</w:t>
      </w:r>
      <w:r>
        <w:t xml:space="preserve"> (</w:t>
      </w:r>
      <w:r>
        <w:t>Verts/ALE</w:t>
      </w:r>
      <w:r>
        <w:t>)</w:t>
      </w:r>
    </w:p>
    <w:p>
      <w:pPr>
        <w:pStyle w:val="Subject"/>
      </w:pPr>
      <w:r>
        <w:t>Betrifft</w:t>
      </w:r>
      <w:r>
        <w:t>:</w:t>
      </w:r>
      <w:r>
        <w:tab/>
      </w:r>
      <w:r>
        <w:t>Erklärungsversuche von „Black Box“-Modellen des maschinellen Lernens von KI-Programmen und Verwendung interpretierbarer Modelle</w:t>
      </w:r>
    </w:p>
    <w:p>
      <w:pPr>
        <w:pStyle w:val="Body"/>
      </w:pPr>
      <w:r>
        <w:t>Es ist Kritik</w:t>
      </w:r>
      <w:r>
        <w:rPr>
          <w:rStyle w:val="FootnoteReference"/>
        </w:rPr>
        <w:footnoteReference w:id="0"/>
      </w:r>
      <w:r>
        <w:t xml:space="preserve"> daran lautgeworden, dass es Anreize für die Privatwirtschaft gibt, intransparente „Black Box“-Algorithmen zu entwerfen und zu vermarkten. Einfache interpretierbare Modelle mit gleichem oder höherem Leistungsniveau wären für jeden frei nutzbar.</w:t>
      </w:r>
    </w:p>
    <w:p>
      <w:pPr>
        <w:pStyle w:val="itemList"/>
      </w:pPr>
      <w:r>
        <w:t>1.</w:t>
      </w:r>
      <w:r>
        <w:tab/>
      </w:r>
      <w:r>
        <w:t>Was hält die Kommission von dem Vorschlag</w:t>
      </w:r>
      <w:r>
        <w:rPr>
          <w:rStyle w:val="FootnoteReference"/>
        </w:rPr>
        <w:footnoteReference w:id="1"/>
      </w:r>
      <w:r>
        <w:t>, dass für bestimmte wichtige Entscheidungen von großer Tragweite keine „Black Box“-Modelle zugelassen werden sollten, wenn es bereits ein interpretierbares Modell mit gleichem Leistungsniveau gibt?</w:t>
      </w:r>
    </w:p>
    <w:p>
      <w:pPr>
        <w:pStyle w:val="itemList"/>
      </w:pPr>
      <w:r>
        <w:t>2.</w:t>
      </w:r>
      <w:r>
        <w:tab/>
      </w:r>
      <w:r>
        <w:t>Was hält die Kommission von dem Vorschlag</w:t>
      </w:r>
      <w:r>
        <w:rPr>
          <w:rStyle w:val="FootnoteReference"/>
        </w:rPr>
        <w:footnoteReference w:id="2"/>
      </w:r>
      <w:r>
        <w:t>, dass Organisationen, die „Black Box“-Modelle einführen, auch verpflichtet werden sollten, über die Genauigkeit interpretierbarer Modellierungsmethoden Bericht zu erstatten?</w:t>
      </w:r>
    </w:p>
    <w:sectPr>
      <w:footerReference w:type="even" r:id="rId5"/>
      <w:footerReference w:type="default" r:id="rId6"/>
      <w:footerReference w:type="first" r:id="rId7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PE658.682v01-00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PE658.682v01-00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PE658.682v01-00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Rudin, Cynthia, „Hören Sie damit auf, ‚Black Box‘-Modelle des maschinellen Lernens zu erklären zu versuchen, die bei wichtigen Entscheidungen von großer Tragweite eingesetzt werden, und verwenden Sie stattdessen interpretierbare Modelle“, Nature Machine Intelligence</w:t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Siehe oben.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Siehe oben.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 zur schriftlichen Beantwortung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20201016-172433-329601-878310</vt:lpwstr>
  </property>
</Properties>
</file>