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Vprašanje za pisni odgovor E-005571/2020</w:t>
      </w:r>
    </w:p>
    <w:p>
      <w:pPr>
        <w:pStyle w:val="Arial10"/>
      </w:pPr>
      <w:r>
        <w:rPr>
          <w:rStyle w:val="Bold"/>
        </w:rPr>
        <w:t>za Komisijo</w:t>
      </w:r>
    </w:p>
    <w:p>
      <w:pPr>
        <w:pStyle w:val="Arial10"/>
      </w:pPr>
      <w:r>
        <w:t>Člen 138 Poslovnika</w:t>
      </w:r>
    </w:p>
    <w:p>
      <w:pPr>
        <w:pStyle w:val="Arial10After10"/>
      </w:pPr>
      <w:r>
        <w:rPr>
          <w:rStyle w:val="Bold"/>
        </w:rPr>
        <w:t>Katrin Langensiepen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Giorgos Georgiou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Alexis Georgoulis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Brando Benifei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Chiara Gemma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Marianne Vind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Ivan Štefanec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Chrysoula Zacharopoulou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Atidzhe Alieva-Veli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Loucas Fourlas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Tilly Metz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José Gusmão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Marisa Matias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Isabel Carvalhais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Dragoș Pîslaru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Alex Agius Saliba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Rosa Estaràs Ferragut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Pascal Durand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Kim Van Sparrentak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Jarosław Duda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Samira Rafaela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Younous Omarjee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Eva Kaili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Stelios Kympouropoulos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Maite Pagazaurtundúa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Cindy Franssen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Benoît Lutgen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Estrella Durá Ferrandis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Alicia Homs Ginel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Abir Al-Sahlani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Maria Walsh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Tanja Fajon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Radka Maxová</w:t>
      </w:r>
      <w:r>
        <w:t xml:space="preserve"> (</w:t>
      </w:r>
      <w:r>
        <w:t>Renew</w:t>
      </w:r>
      <w:r>
        <w:t>)</w:t>
      </w:r>
    </w:p>
    <w:p>
      <w:pPr>
        <w:pStyle w:val="Subject"/>
      </w:pPr>
      <w:r>
        <w:t>Zadeva</w:t>
      </w:r>
      <w:r>
        <w:t>:</w:t>
      </w:r>
      <w:r>
        <w:tab/>
      </w:r>
      <w:r>
        <w:t>Projektna skupina za enakost</w:t>
      </w:r>
    </w:p>
    <w:p>
      <w:pPr>
        <w:pStyle w:val="Body"/>
      </w:pPr>
      <w:r>
        <w:t>V skladu s poslanico predsednice Komisije Ursule von der Leyen komisarki za enakost Heleni Dalli vam bo pri delu pomagala projektna skupina, ki jo sestavljajo strokovnjaki služb Komisije</w:t>
      </w:r>
      <w:r>
        <w:rPr>
          <w:rStyle w:val="FootnoteReference"/>
        </w:rPr>
        <w:footnoteReference w:id="0"/>
      </w:r>
      <w:r>
        <w:t>. V projektni skupini sodelujejo predstavniki vseh služb Komisije in Evropske službe za zunanje delovanje, da se zagotovi ustrezno vključevanje enakosti v vse zadevne politike, ki jih predlaga Komisija.</w:t>
      </w:r>
    </w:p>
    <w:p>
      <w:pPr>
        <w:pStyle w:val="Body"/>
      </w:pPr>
      <w:r>
        <w:t>20. novembra 2019 smo v družbenih medijih naleteli na sporočilo, v katerem je komisarka Dalli napovedala prvo srečanje projektne skupine za enakost</w:t>
      </w:r>
      <w:r>
        <w:rPr>
          <w:rStyle w:val="FootnoteReference"/>
        </w:rPr>
        <w:footnoteReference w:id="1"/>
      </w:r>
      <w:r>
        <w:t>. Še vedno pa ne vemo, kakšni so bili rezultati tega srečanja ali ali se je projektna skupina kadarkoli ponovno sestala, saj na spletišču Komisije o tem ni informacij, zato nas zanima:</w:t>
      </w:r>
    </w:p>
    <w:p>
      <w:pPr>
        <w:pStyle w:val="itemList"/>
      </w:pPr>
      <w:r>
        <w:t>1.</w:t>
      </w:r>
      <w:r>
        <w:tab/>
      </w:r>
      <w:r>
        <w:t>Ali namerava Komisija na spletni strani objaviti vse ustrezne informacije o projektni skupini za enakost, med drugim tudi o njenih članih, delovnih metodah, delovnem načrtu in zapisnikih dosedanjih srečanj? Če da, kdaj namerava to storiti?</w:t>
      </w:r>
    </w:p>
    <w:p>
      <w:pPr>
        <w:pStyle w:val="itemList"/>
      </w:pPr>
      <w:r>
        <w:t>2.</w:t>
      </w:r>
      <w:r>
        <w:tab/>
      </w:r>
      <w:r>
        <w:t>Ali namerava Komisija povabiti organizacije civilne družbe, ki se ukvarjajo z enakostjo, naj sodelujejo in prispevajo k delu te projektne skupine?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PE659.761v01-00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PE659.761v01-00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PE659.761v01-00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https://ec.europa.eu/commission/commissioners/sites/comm-cwt2019/files/commissioner_mission_letters/mission-letter-helena-dalli_2019_en.pdf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https://twitter.com/helenadalli/status/1197216616381124609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Vprašanje za pisni odgovor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20201030-110503-002821-762846</vt:lpwstr>
  </property>
</Properties>
</file>