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p>
      <w:pPr>
        <w:pStyle w:val="Arial10"/>
      </w:pPr>
      <w:r w:rsidR="00A77B3E">
        <w:rPr>
          <w:rStyle w:val="Bold"/>
        </w:rPr>
        <w:t>Interrogazione con richiesta di risposta scritta E-005592/2020</w:t>
      </w:r>
    </w:p>
    <w:p>
      <w:pPr>
        <w:pStyle w:val="Arial10"/>
      </w:pPr>
      <w:r>
        <w:rPr>
          <w:rStyle w:val="Bold"/>
        </w:rPr>
        <w:t>alla Commissione</w:t>
      </w:r>
    </w:p>
    <w:p>
      <w:pPr>
        <w:pStyle w:val="Arial10"/>
      </w:pPr>
      <w:r>
        <w:t>Articolo 138 del regolamento</w:t>
      </w:r>
    </w:p>
    <w:p>
      <w:pPr>
        <w:pStyle w:val="Arial10After10"/>
      </w:pPr>
      <w:r>
        <w:rPr>
          <w:rStyle w:val="Bold"/>
        </w:rPr>
        <w:t>Marc Angel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Terry Reintke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Malin Björk</w:t>
      </w:r>
      <w:r>
        <w:t xml:space="preserve"> (</w:t>
      </w:r>
      <w:r>
        <w:t>GUE/NGL</w:t>
      </w:r>
      <w:r>
        <w:t xml:space="preserve">), </w:t>
      </w:r>
      <w:r>
        <w:rPr>
          <w:rStyle w:val="Bold"/>
        </w:rPr>
        <w:t>Maria Walsh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Fabio Massimo Castaldo</w:t>
      </w:r>
      <w:r>
        <w:t xml:space="preserve"> (</w:t>
      </w:r>
      <w:r>
        <w:t>NI</w:t>
      </w:r>
      <w:r>
        <w:t xml:space="preserve">), </w:t>
      </w:r>
      <w:r>
        <w:rPr>
          <w:rStyle w:val="Bold"/>
        </w:rPr>
        <w:t>Michal Šimečka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Manuel Bompard</w:t>
      </w:r>
      <w:r>
        <w:t xml:space="preserve"> (</w:t>
      </w:r>
      <w:r>
        <w:t>GUE/NGL</w:t>
      </w:r>
      <w:r>
        <w:t xml:space="preserve">), </w:t>
      </w:r>
      <w:r>
        <w:rPr>
          <w:rStyle w:val="Bold"/>
        </w:rPr>
        <w:t>Monika Vana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Kim Van Sparrentak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Manon Aubry</w:t>
      </w:r>
      <w:r>
        <w:t xml:space="preserve"> (</w:t>
      </w:r>
      <w:r>
        <w:t>GUE/NGL</w:t>
      </w:r>
      <w:r>
        <w:t xml:space="preserve">), </w:t>
      </w:r>
      <w:r>
        <w:rPr>
          <w:rStyle w:val="Bold"/>
        </w:rPr>
        <w:t>Brando Benifei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Sandro Gozi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Mario Furore</w:t>
      </w:r>
      <w:r>
        <w:t xml:space="preserve"> (</w:t>
      </w:r>
      <w:r>
        <w:t>NI</w:t>
      </w:r>
      <w:r>
        <w:t xml:space="preserve">), </w:t>
      </w:r>
      <w:r>
        <w:rPr>
          <w:rStyle w:val="Bold"/>
        </w:rPr>
        <w:t>Frédérique Ries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Niklas Nienaß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Dietmar Köster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Radka Maxová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Karen Melchior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Frances Fitzgerald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Rasmus Andresen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Kathleen Van Brempt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Gwendoline Delbos-Corfield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Gabriele Bischoff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Chrysoula Zacharopoulou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Hannah Neumann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Sylwia Spurek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Pernando Barrena Arza</w:t>
      </w:r>
      <w:r>
        <w:t xml:space="preserve"> (</w:t>
      </w:r>
      <w:r>
        <w:t>GUE/NGL</w:t>
      </w:r>
      <w:r>
        <w:t xml:space="preserve">), </w:t>
      </w:r>
      <w:r>
        <w:rPr>
          <w:rStyle w:val="Bold"/>
        </w:rPr>
        <w:t>Robert Biedroń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Milan Brglez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Rosa D'Amato</w:t>
      </w:r>
      <w:r>
        <w:t xml:space="preserve"> (</w:t>
      </w:r>
      <w:r>
        <w:t>NI</w:t>
      </w:r>
      <w:r>
        <w:t xml:space="preserve">), </w:t>
      </w:r>
      <w:r>
        <w:rPr>
          <w:rStyle w:val="Bold"/>
        </w:rPr>
        <w:t>Andreas Schieder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Abir Al-Sahlani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Fredrick Federley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Evin Incir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Alicia Homs Ginel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Pina Picierno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Liesje Schreinemacher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Sándor Rónai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Irène Tolleret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Magdalena Adamowicz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Aurore Lalucq</w:t>
      </w:r>
      <w:r>
        <w:t xml:space="preserve"> (</w:t>
      </w:r>
      <w:r>
        <w:t>S&amp;D</w:t>
      </w:r>
      <w:r>
        <w:t>)</w:t>
      </w:r>
    </w:p>
    <w:p>
      <w:pPr>
        <w:pStyle w:val="Subject"/>
      </w:pPr>
      <w:r>
        <w:t>Oggetto</w:t>
      </w:r>
      <w:r>
        <w:t>:</w:t>
      </w:r>
      <w:r>
        <w:tab/>
      </w:r>
      <w:r>
        <w:t>incitamento all'odio nei confronti delle persone LGBTI da parte di funzionari del governo polacco</w:t>
      </w:r>
    </w:p>
    <w:p>
      <w:pPr>
        <w:pStyle w:val="Body"/>
      </w:pPr>
      <w:r>
        <w:t>Il commissario polacco per i diritti dei minori Mikołaj Pawlak ha recentemente rilasciato alcune dichiarazioni estremamente allarmanti a riguardo dell'educazione sessuale per i giovani. Il 1° settembre 2020 ha dichiarato, nella sua veste ufficiale di mediatore del governo, che le organizzazioni non governative dedite all'educazione sessuale "hanno preso di mira i minori in condizioni di instabilità e abbandonati e hanno somministrato loro sostanze farmacologiche per cambiare sesso". Tali dichiarazioni sono state rese nel corso di un'intervista per il canale di informazione TVN24.</w:t>
      </w:r>
    </w:p>
    <w:p>
      <w:pPr>
        <w:pStyle w:val="Body"/>
      </w:pPr>
      <w:r>
        <w:t>Analogamente, la nomina di Przemysław Czarnek a ministro dell'Istruzione solleva ulteriori questioni, visti i numerosi commenti che egli ha formulato a proposti delle persone LGBTI, come: "non sono persone uguali a quelle normali...Proteggiamo la famiglia da questo comportamento corrotto, perverso e assolutamente immorale".</w:t>
      </w:r>
    </w:p>
    <w:p>
      <w:pPr>
        <w:pStyle w:val="itemList"/>
      </w:pPr>
      <w:r>
        <w:t>1.</w:t>
      </w:r>
      <w:r>
        <w:tab/>
      </w:r>
      <w:r>
        <w:t>Quale posizione assume la Commissione a riguardo della condotta e dei commenti del commissario polacco per i diritti dei minori e del ministro dell'Istruzione recentemente nominato?</w:t>
      </w:r>
    </w:p>
    <w:p>
      <w:pPr>
        <w:pStyle w:val="itemList"/>
      </w:pPr>
      <w:r>
        <w:t>2.</w:t>
      </w:r>
      <w:r>
        <w:tab/>
      </w:r>
      <w:r>
        <w:t>Conviene la Commissione che tali dichiarazioni sono in netta contraddizione con i valori che i portavoce governativi (sia che tutelino i diritti dei minori, compreso il diritto alla salute e alla non discriminazione, sia che siano responsabili dell'istruzione) dovrebbero promuovere?</w:t>
      </w:r>
    </w:p>
    <w:p>
      <w:pPr>
        <w:pStyle w:val="itemList"/>
      </w:pPr>
      <w:r>
        <w:t>3.</w:t>
      </w:r>
      <w:r>
        <w:tab/>
      </w:r>
      <w:r>
        <w:t>Quale posizione assume la Commissione a riguardo della compatibilità di tali affermazioni con la decisione quadro del Consiglio 2008/913/GAI</w:t>
      </w:r>
      <w:r>
        <w:rPr>
          <w:rStyle w:val="FootnoteReference"/>
        </w:rPr>
        <w:footnoteReference w:id="0"/>
      </w:r>
      <w:r>
        <w:t xml:space="preserve"> e con la direttiva sui servizi di media audiovisivi</w:t>
      </w:r>
      <w:r>
        <w:rPr>
          <w:rStyle w:val="FootnoteReference"/>
        </w:rPr>
        <w:footnoteReference w:id="1"/>
      </w:r>
      <w:r>
        <w:t xml:space="preserve"> per quanto concerne la messa in onda in televisione di interventi caratterizzati da un tale linguaggio?</w:t>
      </w:r>
    </w:p>
    <w:sectPr>
      <w:footerReference w:type="even" r:id="rId5"/>
      <w:footerReference w:type="default" r:id="rId6"/>
      <w:footerReference w:type="first" r:id="rId7"/>
      <w:pgSz w:w="11906" w:h="16838"/>
      <w:pgMar w:top="1440" w:right="1440" w:bottom="2000" w:left="1440" w:header="568" w:footer="568" w:gutter="0"/>
      <w:cols w:num="1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PE659.696v01-00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PE659.696v01-00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PE659.696v01-00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>Decisione quadro 2008/913/GAI del Consiglio, del 28 novembre 2008, sulla lotta contro talune forme ed espressioni di razzismo e xenofobia mediante il diritto penale (https://eur-lex.europa.eu/legal-content/IT/TXT/HTML/?uri=CELEX:32008F0913&amp;from=en).</w:t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>https://eur-lex.europa.eu/legal-content/IT/TXT/HTML/?uri=CELEX:32018L1808&amp;from=EN (https://eur-lex.europa.eu/legal-content/IT/TXT/HTML/?uri=CELEX:32018L1808&amp;from=EN)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1F497D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Interrogazione con richiesta di risposta scritta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20201103-094844-005221-524214</vt:lpwstr>
  </property>
</Properties>
</file>