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E-005855/2020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Esther de Lange</w:t>
      </w:r>
      <w:r>
        <w:t xml:space="preserve"> (</w:t>
      </w:r>
      <w:r>
        <w:t>PPE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Euronext gives high-frequency traders an information advantage</w:t>
      </w:r>
    </w:p>
    <w:p>
      <w:pPr>
        <w:pStyle w:val="Body"/>
      </w:pPr>
      <w:r>
        <w:t>On 5 October</w:t>
      </w:r>
      <w:r>
        <w:rPr>
          <w:rStyle w:val="Italic"/>
        </w:rPr>
        <w:t xml:space="preserve"> het Finacieel Dagblad</w:t>
      </w:r>
      <w:r>
        <w:rPr>
          <w:rStyle w:val="FootnoteReference"/>
        </w:rPr>
        <w:footnoteReference w:id="0"/>
      </w:r>
      <w:r>
        <w:t xml:space="preserve"> reported that Euronext’s Optiq trading system allows high-frequency traders (such as Flow Traders, IMC, Optiver and Jumpfund) to benefit from an information advantage by differentiating between a ‘private feed’ and a ‘public feed’. In Optiq, traders that are involved in a purchase or sale receive information earlier than other investors. The information advantage is only about tens of microseconds. However, this allows high-frequency traders that are equipped with the appropriate programs to act before other market participants.</w:t>
      </w:r>
    </w:p>
    <w:p>
      <w:pPr>
        <w:pStyle w:val="itemList"/>
      </w:pPr>
      <w:r>
        <w:t>1.</w:t>
      </w:r>
      <w:r>
        <w:tab/>
      </w:r>
      <w:r>
        <w:t>According to the EU Markets in Financial Instruments Directive (MiFID), it is important for everyone to have the same information at the same time, and for there to be a level-playing field on the stock exchanges. Therefore, is the current practice described above a violation of MiFID, as Euronext’s trading system deliberately gives some market participants an information advantage over other investors?</w:t>
      </w:r>
    </w:p>
    <w:p>
      <w:pPr>
        <w:pStyle w:val="itemList"/>
      </w:pPr>
      <w:r>
        <w:t>2.</w:t>
      </w:r>
      <w:r>
        <w:tab/>
      </w:r>
      <w:r>
        <w:t>This advantage for high-frequency traders has already been in place for over two years. Is the Commission aware of this?</w:t>
      </w:r>
    </w:p>
    <w:p>
      <w:pPr>
        <w:pStyle w:val="itemList"/>
      </w:pPr>
      <w:r>
        <w:t>3.</w:t>
      </w:r>
      <w:r>
        <w:tab/>
      </w:r>
      <w:r>
        <w:t>Is the Commission aware of similar irregularities on other European trading platforms?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PE660.973v01-00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PE660.973v01-00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PE660.973v01-00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https://fd.nl/beurs/1358641/euronext-geeft-flitshandelaren-onzichtbare-voorsprong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20201112-152631-097456-944280</vt:lpwstr>
  </property>
</Properties>
</file>