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Írásbeli választ igénylő kérdés E-007022/2020</w:t>
      </w:r>
    </w:p>
    <w:p>
      <w:pPr>
        <w:pStyle w:val="Arial10"/>
      </w:pPr>
      <w:r>
        <w:rPr>
          <w:rStyle w:val="Bold"/>
        </w:rPr>
        <w:t>a Bizottság számára</w:t>
      </w:r>
    </w:p>
    <w:p>
      <w:pPr>
        <w:pStyle w:val="Arial10"/>
      </w:pPr>
      <w:r>
        <w:t>az eljárási szabályzat 138. cikke</w:t>
      </w:r>
    </w:p>
    <w:p>
      <w:pPr>
        <w:pStyle w:val="Arial10After10"/>
      </w:pPr>
      <w:r>
        <w:rPr>
          <w:rStyle w:val="Bold"/>
        </w:rPr>
        <w:t>Radka Maxová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Alexis Georgoulis</w:t>
      </w:r>
      <w:r>
        <w:t xml:space="preserve"> (</w:t>
      </w:r>
      <w:r>
        <w:t>The Left</w:t>
      </w:r>
      <w:r>
        <w:t xml:space="preserve">), </w:t>
      </w:r>
      <w:r>
        <w:rPr>
          <w:rStyle w:val="Bold"/>
        </w:rPr>
        <w:t>Chiara Gemma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Marianne Vind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Kateřina Konečná</w:t>
      </w:r>
      <w:r>
        <w:t xml:space="preserve"> (</w:t>
      </w:r>
      <w:r>
        <w:t>The Left</w:t>
      </w:r>
      <w:r>
        <w:t xml:space="preserve">), </w:t>
      </w:r>
      <w:r>
        <w:rPr>
          <w:rStyle w:val="Bold"/>
        </w:rPr>
        <w:t>Milan Brglez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Josianne Cutajar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Ivan Štefanec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Chrysoula Zacharopoulou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Aušra Maldeikienė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Ádám Kósa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Atidzhe Alieva-Veli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José Gusmão</w:t>
      </w:r>
      <w:r>
        <w:t xml:space="preserve"> (</w:t>
      </w:r>
      <w:r>
        <w:t>The Left</w:t>
      </w:r>
      <w:r>
        <w:t xml:space="preserve">), </w:t>
      </w:r>
      <w:r>
        <w:rPr>
          <w:rStyle w:val="Bold"/>
        </w:rPr>
        <w:t>Marisa Matias</w:t>
      </w:r>
      <w:r>
        <w:t xml:space="preserve"> (</w:t>
      </w:r>
      <w:r>
        <w:t>The Left</w:t>
      </w:r>
      <w:r>
        <w:t xml:space="preserve">), </w:t>
      </w:r>
      <w:r>
        <w:rPr>
          <w:rStyle w:val="Bold"/>
        </w:rPr>
        <w:t>Isabel Carvalhais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Dragoș Pîslaru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Anne-Sophie Pelletier</w:t>
      </w:r>
      <w:r>
        <w:t xml:space="preserve"> (</w:t>
      </w:r>
      <w:r>
        <w:t>The Left</w:t>
      </w:r>
      <w:r>
        <w:t xml:space="preserve">), </w:t>
      </w:r>
      <w:r>
        <w:rPr>
          <w:rStyle w:val="Bold"/>
        </w:rPr>
        <w:t>Alex Agius Saliba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Tanja Fajon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Rosa Estaràs Ferragut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Pascal Durand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Jarosław Duda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Samira Rafaela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Katrin Langensiepen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Younous Omarjee</w:t>
      </w:r>
      <w:r>
        <w:t xml:space="preserve"> (</w:t>
      </w:r>
      <w:r>
        <w:t>The Left</w:t>
      </w:r>
      <w:r>
        <w:t xml:space="preserve">), </w:t>
      </w:r>
      <w:r>
        <w:rPr>
          <w:rStyle w:val="Bold"/>
        </w:rPr>
        <w:t>Eva Kaili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Stelios Kympouropoulos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Ibán García Del Blanco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Cindy Franssen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Benoît Lutgen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Estrella Durá Ferrandis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Mónica Silvana González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Alicia Homs Ginel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Maria Walsh</w:t>
      </w:r>
      <w:r>
        <w:t xml:space="preserve"> (</w:t>
      </w:r>
      <w:r>
        <w:t>PPE</w:t>
      </w:r>
      <w:r>
        <w:t>)</w:t>
      </w:r>
    </w:p>
    <w:p>
      <w:pPr>
        <w:pStyle w:val="Subject"/>
      </w:pPr>
      <w:r>
        <w:t>Tárgy</w:t>
      </w:r>
      <w:r>
        <w:t>:</w:t>
      </w:r>
      <w:r>
        <w:tab/>
      </w:r>
      <w:r>
        <w:t>Az Európai Iskolák</w:t>
      </w:r>
    </w:p>
    <w:p>
      <w:pPr>
        <w:pStyle w:val="Body"/>
      </w:pPr>
      <w:r>
        <w:t>2015-ben az ENSZ Fogyatékossággal Élő Személyek Jogaival Foglalkozó Bizottsága aggodalmának adott hangot amiatt, hogy az Európai Iskolák nem tették meg a fogyatékossággal élő gyermekek számára szükséges kiigazításokat annak érdekében, hogy inkluzív oktatásban részesülhessenek, és hogy ez nem áll összhangban az elutasítást kizáró záradékkal</w:t>
      </w:r>
      <w:r>
        <w:rPr>
          <w:rStyle w:val="FootnoteReference"/>
        </w:rPr>
        <w:footnoteReference w:id="0"/>
      </w:r>
      <w:r>
        <w:t>. Az uniós ombudsman is felvetette ezt a kérdést 2016. január 26-án</w:t>
      </w:r>
      <w:r>
        <w:rPr>
          <w:rStyle w:val="FootnoteReference"/>
        </w:rPr>
        <w:footnoteReference w:id="1"/>
      </w:r>
      <w:r>
        <w:t>.</w:t>
      </w:r>
    </w:p>
    <w:p>
      <w:pPr>
        <w:pStyle w:val="Body"/>
      </w:pPr>
      <w:r>
        <w:t>Az Európai Fogyatékosügyi Fórum és a Human Rights Watch (Emberi Jogi Figyelő) közös jelentésükben</w:t>
      </w:r>
      <w:r>
        <w:rPr>
          <w:rStyle w:val="FootnoteReference"/>
        </w:rPr>
        <w:footnoteReference w:id="2"/>
      </w:r>
      <w:r>
        <w:t xml:space="preserve"> megállapították, hogy az uniós intézmények társfinanszírozást nyújtanak alkalmazottaik számára a fogyatékossággal élő gyermekek magániskolába való beiratásához. A Bizottság esetében ezt a társfinanszírozást 80%-ról 100%-ra emelték ahelyett, hogy az összeget abba fektették volna be, hogy az Európai Iskolák befogadhassák a fogyatékossággal élő gyermekeket.</w:t>
      </w:r>
    </w:p>
    <w:p>
      <w:pPr>
        <w:pStyle w:val="itemList"/>
      </w:pPr>
      <w:r>
        <w:t>1.</w:t>
      </w:r>
      <w:r>
        <w:tab/>
      </w:r>
      <w:r>
        <w:t>Mi az Európai Iskolák rendszerének a fogyatékossággal élő gyermekek oktatására vonatkozó jelenlegi szakpolitikája, és mi ennek az alapja?</w:t>
      </w:r>
    </w:p>
    <w:p>
      <w:pPr>
        <w:pStyle w:val="itemList"/>
      </w:pPr>
      <w:r>
        <w:t>2.</w:t>
      </w:r>
      <w:r>
        <w:tab/>
      </w:r>
      <w:r>
        <w:t>Mekkora éves költségvetést szán a Bizottság a fogyatékossággal élő gyermekek tanulási támogatására az Európai Iskolák rendszerén belül ahhoz az éves költségvetéshez képest, amelyet azoknak a fogyatékos gyermekeknek fizet, akiket nem vettek fel az Európai Iskolába, vagy akiknek el kellett hagyniuk azt, hogy magániskolában tanuljanak?</w:t>
      </w:r>
    </w:p>
    <w:sectPr>
      <w:footerReference w:type="even" r:id="rId5"/>
      <w:footerReference w:type="default" r:id="rId6"/>
      <w:footerReference w:type="first" r:id="rId7"/>
      <w:pgSz w:w="11906" w:h="16838"/>
      <w:pgMar w:top="1440" w:right="1440" w:bottom="2000" w:left="1440" w:header="568" w:footer="568" w:gutter="0"/>
      <w:cols w:num="1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PE663.554v01-00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PE663.554v01-00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PE663.554v01-00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https://tbinternet.ohchr.org/_layouts/15/treatybodyexternal/Download.aspx?symbolno=CRPD%2fC%2fEU%2fCO%2f1&amp;Lang=en , (84) és (85) bekezdés</w:t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https://www.ombudsman.europa.eu/hu/case/en/48406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https://www.hrw.org/report/2018/12/04/sink-or-swim/barriers-children-disabilities-european-school-system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Írásbeli választ igénylő kérdés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20210111-144640-000250-378812</vt:lpwstr>
  </property>
</Properties>
</file>