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Írásbeli választ igénylő kérdés E-000946/2021</w:t>
      </w:r>
    </w:p>
    <w:p>
      <w:pPr>
        <w:pStyle w:val="Arial10"/>
      </w:pPr>
      <w:r>
        <w:rPr>
          <w:rStyle w:val="Bold"/>
        </w:rPr>
        <w:t>a Bizottság számára</w:t>
      </w:r>
    </w:p>
    <w:p>
      <w:pPr>
        <w:pStyle w:val="Arial10"/>
      </w:pPr>
      <w:r>
        <w:t>az eljárási szabályzat 138. cikke</w:t>
      </w:r>
    </w:p>
    <w:p>
      <w:pPr>
        <w:pStyle w:val="Arial10After10"/>
      </w:pPr>
      <w:r>
        <w:rPr>
          <w:rStyle w:val="Bold"/>
        </w:rPr>
        <w:t>Radka Maxová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Ondřej Kovařík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Markéta Gregorová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Miriam Lexmann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Juozas Olekas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Tomasz Frankowski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Luděk Niedermayer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Andrzej Halicki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Liudas Mažylis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Tomáš Zdechovský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Łukasz Kohut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Bronis Ropė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Ondřej Knotek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Tineke Strik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Nils Torvalds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Magdalena Adamowicz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Sophia in 't Veld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Robert Biedroń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Maria Arena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Krzysztof Hetman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Vlad-Marius Botoş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Rasa Juknevičienė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Ilana Cicurel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Erik Marquardt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Laurence Farreng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Anna Júlia Donáth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Michaela Šojdrová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Viola Von Cramon-Taubadel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Michael Bloss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Malik Azmani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Hildegard Bentele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Eugen Jurzyca</w:t>
      </w:r>
      <w:r>
        <w:t xml:space="preserve"> (</w:t>
      </w:r>
      <w:r>
        <w:t>ECR</w:t>
      </w:r>
      <w:r>
        <w:t>)</w:t>
      </w:r>
    </w:p>
    <w:p>
      <w:pPr>
        <w:pStyle w:val="Subject"/>
      </w:pPr>
      <w:r>
        <w:t>Tárgy</w:t>
      </w:r>
      <w:r>
        <w:t>:</w:t>
      </w:r>
      <w:r>
        <w:tab/>
      </w:r>
      <w:r>
        <w:t>A belorusz diákok uniós egyetemi tanulmányainak támogatása</w:t>
      </w:r>
    </w:p>
    <w:p>
      <w:pPr>
        <w:pStyle w:val="Body"/>
      </w:pPr>
      <w:r>
        <w:t>Belaruszban jelenleg is ezrek harcolnak a demokráciáért, heves tüntetések közepette. A fiatal tüntetők tevékenységének korlátozására irányuló kétségbeesett kísérletként Lukasenka arra szólított fel, hogy zárják ki az egyetemekről és bocsássák el állásukból mindazokat, akik nyilvánosan támogatják a tiltakozásokat.</w:t>
      </w:r>
    </w:p>
    <w:p>
      <w:pPr>
        <w:pStyle w:val="Body"/>
      </w:pPr>
      <w:r>
        <w:t>Az EU-nak gyorsan kell cselekednie. Nem engedhetjük meg, hogy az oktatáshoz való joguk megvonásával és katonai szolgálatra kötelezéssel büntessék azokat, akik a demokratikus értékekért küzdenek.</w:t>
      </w:r>
    </w:p>
    <w:p>
      <w:pPr>
        <w:pStyle w:val="Body"/>
      </w:pPr>
      <w:r>
        <w:t>Ezért üdvözöljük az EU4Belarusz programot, amely kötelezettséget vállal arra, hogy 24 millió euróval hozzájárul a belarusz ellenállás erősítéséhez és a civil társadalom szerepvállalásának növeléséhez, amelyből 8 millió eurót uniós ösztöndíjakra és tanulmányokra fordítanának.</w:t>
      </w:r>
    </w:p>
    <w:p>
      <w:pPr>
        <w:pStyle w:val="Body"/>
      </w:pPr>
      <w:r>
        <w:t>Sajnos továbbra sem lehet tudni, hogy milyen alapon fogják ezt az összeget elosztani, így a pénz kiosztása még várat magára. Ezért a következő kérdéseket tesszük fel:</w:t>
      </w:r>
    </w:p>
    <w:p>
      <w:pPr>
        <w:pStyle w:val="itemList"/>
      </w:pPr>
      <w:r>
        <w:t>1.</w:t>
      </w:r>
      <w:r>
        <w:tab/>
      </w:r>
      <w:r>
        <w:t>Mikor válik elérhetővé ez a támogatás a diákok számára, hogy elkerülhessék a megtorlásokat?</w:t>
      </w:r>
    </w:p>
    <w:p>
      <w:pPr>
        <w:pStyle w:val="itemList"/>
      </w:pPr>
      <w:r>
        <w:t>2.</w:t>
      </w:r>
      <w:r>
        <w:tab/>
      </w:r>
      <w:r>
        <w:t>Mi alapján fogják ezeket a forrásokat elosztani? Figyelembe fogják-e venni az üldözött belarusz diákok támogatását célzó, ezt megelőzően tett hiteles erőfeszítéseket például annak feltételeként, hogy az egyetemek jogosultak legyenek ösztöndíjakra?</w:t>
      </w:r>
    </w:p>
    <w:p>
      <w:pPr>
        <w:pStyle w:val="itemList"/>
      </w:pPr>
      <w:r>
        <w:t>3.</w:t>
      </w:r>
      <w:r>
        <w:tab/>
      </w:r>
      <w:r>
        <w:t>Elég rugalmas lesz-e a program ahhoz, hogy a kedvezményezettek nyelvi vagy felkészítő tanulmányokhoz is támogatást kaphassanak?</w:t>
      </w:r>
    </w:p>
    <w:sectPr>
      <w:footerReference w:type="even" r:id="rId4"/>
      <w:footerReference w:type="default" r:id="rId5"/>
      <w:footerReference w:type="first" r:id="rId6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PE689.237v01-00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PE689.237v01-00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PE689.237v01-00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Írásbeli választ igénylő kérdés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20210305-121252-041133-423239</vt:lpwstr>
  </property>
</Properties>
</file>