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Question avec demande de réponse écrite E-002283/2021</w:t>
      </w:r>
    </w:p>
    <w:p>
      <w:pPr>
        <w:pStyle w:val="Arial10"/>
      </w:pPr>
      <w:r>
        <w:rPr>
          <w:rStyle w:val="Bold"/>
        </w:rPr>
        <w:t>à la Commission</w:t>
      </w:r>
    </w:p>
    <w:p>
      <w:pPr>
        <w:pStyle w:val="Arial10"/>
      </w:pPr>
      <w:r>
        <w:t>Article 138 du règlement intérieur</w:t>
      </w:r>
    </w:p>
    <w:p>
      <w:pPr>
        <w:pStyle w:val="Arial10After10"/>
      </w:pPr>
      <w:r>
        <w:rPr>
          <w:rStyle w:val="Bold"/>
        </w:rPr>
        <w:t>Thomas Waitz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Monika Vana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Jutta Paulus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Viola Von Cramon-Taubadel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Sarah Wiener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Michèle Rivasi</w:t>
      </w:r>
      <w:r>
        <w:t xml:space="preserve"> (</w:t>
      </w:r>
      <w:r>
        <w:t>Verts/ALE</w:t>
      </w:r>
      <w:r>
        <w:t>)</w:t>
      </w:r>
    </w:p>
    <w:p>
      <w:pPr>
        <w:pStyle w:val="Subject"/>
      </w:pPr>
      <w:r>
        <w:t>Objet</w:t>
      </w:r>
      <w:r>
        <w:t>:</w:t>
      </w:r>
      <w:r>
        <w:tab/>
      </w:r>
      <w:r>
        <w:t>Risque sismique en lien avec la centrale nucléaire Paks II</w:t>
      </w:r>
    </w:p>
    <w:p>
      <w:pPr>
        <w:pStyle w:val="Body"/>
      </w:pPr>
      <w:r>
        <w:t>D’après les informations disponibles</w:t>
      </w:r>
      <w:r>
        <w:rPr>
          <w:rStyle w:val="FootnoteReference"/>
        </w:rPr>
        <w:footnoteReference w:id="0"/>
      </w:r>
      <w:r>
        <w:t>, lors de la procédure d’autorisation de la centrale nucléaire Paks II, une contradiction importante a été constatée entre les résultats des études initiales sur le risque sismique du site et la lettre officielle de demande d’autorisation du site par la société MVM II à l’intention des autorités hongroises de sûreté nucléaire. Ainsi, dans la lettre de demande, des conclusions tirées des données de base paléosismiques collectées ont été omises. Celles-ci indiquent que le site de la centrale Paks II est situé sur une ligne de faille active, la faille de Dunaszentgyörgy-Harta (DH), ce qui est également étayé par une nouvelle étude</w:t>
      </w:r>
      <w:r>
        <w:rPr>
          <w:rStyle w:val="FootnoteReference"/>
        </w:rPr>
        <w:footnoteReference w:id="1"/>
      </w:r>
      <w:r>
        <w:t>.</w:t>
      </w:r>
    </w:p>
    <w:p>
      <w:pPr>
        <w:pStyle w:val="Body"/>
      </w:pPr>
      <w:r>
        <w:t>Les recommandations en vigueur de l’AIEA et le règlement 118/2011 (VII. 11.) du gouvernement hongrois prévoient qu’une centrale nucléaire ne peut pas être construite sur une ligne de faille considérée comme étant active.</w:t>
      </w:r>
    </w:p>
    <w:p>
      <w:pPr>
        <w:pStyle w:val="itemList"/>
      </w:pPr>
      <w:r>
        <w:t>1.</w:t>
      </w:r>
      <w:r>
        <w:tab/>
      </w:r>
      <w:r>
        <w:t>La Commission partage-t-elle l’avis que la faille de Dunaszentgyörgy-Harta (DH) est une ligne de faille active?</w:t>
      </w:r>
    </w:p>
    <w:p>
      <w:pPr>
        <w:pStyle w:val="itemList"/>
      </w:pPr>
      <w:r>
        <w:t>2.</w:t>
      </w:r>
      <w:r>
        <w:tab/>
      </w:r>
      <w:r>
        <w:t>Comment la Commission évalue-t-elle l’omission, dans la lettre de demande de l’entreprise MVM II, des conclusions paléosismiques relatives à la faille de Dunaszentgyörgy-Harta (DH) provenant des études initiales, et la Commission a-t-elle l’intention de procéder à une évaluation indépendante de la procédure d’autorisation du site?</w:t>
      </w:r>
    </w:p>
    <w:p>
      <w:pPr>
        <w:pStyle w:val="itemList"/>
      </w:pPr>
      <w:r>
        <w:t>3.</w:t>
      </w:r>
      <w:r>
        <w:tab/>
      </w:r>
      <w:r>
        <w:t>La Commission envisage-t-elle de prendre des mesures pour vérifier de manière transparente le tracé de la ligne de faille de Dunaszentgyörgy-Harta (DH) sous le site de construction prévu, au moment de l’excavation de la fouille?</w:t>
      </w:r>
    </w:p>
    <w:p>
      <w:pPr>
        <w:pStyle w:val="Supporter"/>
      </w:pPr>
      <w:r>
        <w:rPr>
          <w:rStyle w:val="Bold"/>
        </w:rPr>
        <w:t>Soutien</w:t>
      </w:r>
      <w:r>
        <w:rPr>
          <w:rStyle w:val="FootnoteReference"/>
        </w:rPr>
        <w:footnoteReference w:id="2"/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PE693.048v01-00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PE693.048v01-00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PE693.048v01-00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Bodoky, T. J., Hungarian Geophysics, Bd. 61 (2020), Nr. 4, S. 203–213</w:t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https://english.atlatszo.hu/2021/04/09/according-to-a-new-study-geological-research-on-paks-ii-npp-site-underestimates-earthquake-risk/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Cette question est soutenue par un autre député que ses auteurs: Rosa D'Amato (Verts/ALE)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avec demande de réponse écrite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20210517-153252-186208-994452</vt:lpwstr>
  </property>
</Properties>
</file>