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Întrebarea cu solicitare de răspuns scris E-002940/2021</w:t>
      </w:r>
    </w:p>
    <w:p>
      <w:pPr>
        <w:pStyle w:val="Arial10"/>
      </w:pPr>
      <w:r>
        <w:rPr>
          <w:rStyle w:val="Bold"/>
        </w:rPr>
        <w:t>adresată Comisiei</w:t>
      </w:r>
    </w:p>
    <w:p>
      <w:pPr>
        <w:pStyle w:val="Arial10"/>
      </w:pPr>
      <w:r>
        <w:t>Articolul 138 din Regulamentul de procedură</w:t>
      </w:r>
    </w:p>
    <w:p>
      <w:pPr>
        <w:pStyle w:val="Arial10After10"/>
      </w:pPr>
      <w:r>
        <w:rPr>
          <w:rStyle w:val="Bold"/>
        </w:rPr>
        <w:t>Radka Maxová</w:t>
      </w:r>
      <w:r>
        <w:t xml:space="preserve"> (</w:t>
      </w:r>
      <w:r>
        <w:t>S&amp;D</w:t>
      </w:r>
      <w:r>
        <w:t xml:space="preserve">), </w:t>
      </w:r>
      <w:r>
        <w:rPr>
          <w:rStyle w:val="Bold"/>
        </w:rPr>
        <w:t>Frédérique Ries</w:t>
      </w:r>
      <w:r>
        <w:t xml:space="preserve"> (</w:t>
      </w:r>
      <w:r>
        <w:t>Renew</w:t>
      </w:r>
      <w:r>
        <w:t xml:space="preserve">), </w:t>
      </w:r>
      <w:r>
        <w:rPr>
          <w:rStyle w:val="Bold"/>
        </w:rPr>
        <w:t>Kateřina Konečná</w:t>
      </w:r>
      <w:r>
        <w:t xml:space="preserve"> (</w:t>
      </w:r>
      <w:r>
        <w:t>The Left</w:t>
      </w:r>
      <w:r>
        <w:t xml:space="preserve">), </w:t>
      </w:r>
      <w:r>
        <w:rPr>
          <w:rStyle w:val="Bold"/>
        </w:rPr>
        <w:t>Dan-Ştefan Motreanu</w:t>
      </w:r>
      <w:r>
        <w:t xml:space="preserve"> (</w:t>
      </w:r>
      <w:r>
        <w:t>PPE</w:t>
      </w:r>
      <w:r>
        <w:t xml:space="preserve">), </w:t>
      </w:r>
      <w:r>
        <w:rPr>
          <w:rStyle w:val="Bold"/>
        </w:rPr>
        <w:t>Radan Kanev</w:t>
      </w:r>
      <w:r>
        <w:t xml:space="preserve"> (</w:t>
      </w:r>
      <w:r>
        <w:t>PPE</w:t>
      </w:r>
      <w:r>
        <w:t xml:space="preserve">), </w:t>
      </w:r>
      <w:r>
        <w:rPr>
          <w:rStyle w:val="Bold"/>
        </w:rPr>
        <w:t>Łukasz Kohut</w:t>
      </w:r>
      <w:r>
        <w:t xml:space="preserve"> (</w:t>
      </w:r>
      <w:r>
        <w:t>S&amp;D</w:t>
      </w:r>
      <w:r>
        <w:t xml:space="preserve">), </w:t>
      </w:r>
      <w:r>
        <w:rPr>
          <w:rStyle w:val="Bold"/>
        </w:rPr>
        <w:t>Manuel Pizarro</w:t>
      </w:r>
      <w:r>
        <w:t xml:space="preserve"> (</w:t>
      </w:r>
      <w:r>
        <w:t>S&amp;D</w:t>
      </w:r>
      <w:r>
        <w:t xml:space="preserve">), </w:t>
      </w:r>
      <w:r>
        <w:rPr>
          <w:rStyle w:val="Bold"/>
        </w:rPr>
        <w:t>Susana Solís Pérez</w:t>
      </w:r>
      <w:r>
        <w:t xml:space="preserve"> (</w:t>
      </w:r>
      <w:r>
        <w:t>Renew</w:t>
      </w:r>
      <w:r>
        <w:t xml:space="preserve">), </w:t>
      </w:r>
      <w:r>
        <w:rPr>
          <w:rStyle w:val="Bold"/>
        </w:rPr>
        <w:t>Izaskun Bilbao Barandica</w:t>
      </w:r>
      <w:r>
        <w:t xml:space="preserve"> (</w:t>
      </w:r>
      <w:r>
        <w:t>Renew</w:t>
      </w:r>
      <w:r>
        <w:t xml:space="preserve">), </w:t>
      </w:r>
      <w:r>
        <w:rPr>
          <w:rStyle w:val="Bold"/>
        </w:rPr>
        <w:t>Eva Kaili</w:t>
      </w:r>
      <w:r>
        <w:t xml:space="preserve"> (</w:t>
      </w:r>
      <w:r>
        <w:t>S&amp;D</w:t>
      </w:r>
      <w:r>
        <w:t xml:space="preserve">), </w:t>
      </w:r>
      <w:r>
        <w:rPr>
          <w:rStyle w:val="Bold"/>
        </w:rPr>
        <w:t>Sara Cerdas</w:t>
      </w:r>
      <w:r>
        <w:t xml:space="preserve"> (</w:t>
      </w:r>
      <w:r>
        <w:t>S&amp;D</w:t>
      </w:r>
      <w:r>
        <w:t xml:space="preserve">), </w:t>
      </w:r>
      <w:r>
        <w:rPr>
          <w:rStyle w:val="Bold"/>
        </w:rPr>
        <w:t>Tudor Ciuhodaru</w:t>
      </w:r>
      <w:r>
        <w:t xml:space="preserve"> (</w:t>
      </w:r>
      <w:r>
        <w:t>S&amp;D</w:t>
      </w:r>
      <w:r>
        <w:t xml:space="preserve">), </w:t>
      </w:r>
      <w:r>
        <w:rPr>
          <w:rStyle w:val="Bold"/>
        </w:rPr>
        <w:t>Atidzhe Alieva-Veli</w:t>
      </w:r>
      <w:r>
        <w:t xml:space="preserve"> (</w:t>
      </w:r>
      <w:r>
        <w:t>Renew</w:t>
      </w:r>
      <w:r>
        <w:t xml:space="preserve">), </w:t>
      </w:r>
      <w:r>
        <w:rPr>
          <w:rStyle w:val="Bold"/>
        </w:rPr>
        <w:t>Juozas Olekas</w:t>
      </w:r>
      <w:r>
        <w:t xml:space="preserve"> (</w:t>
      </w:r>
      <w:r>
        <w:t>S&amp;D</w:t>
      </w:r>
      <w:r>
        <w:t xml:space="preserve">), </w:t>
      </w:r>
      <w:r>
        <w:rPr>
          <w:rStyle w:val="Bold"/>
        </w:rPr>
        <w:t>Brando Benifei</w:t>
      </w:r>
      <w:r>
        <w:t xml:space="preserve"> (</w:t>
      </w:r>
      <w:r>
        <w:t>S&amp;D</w:t>
      </w:r>
      <w:r>
        <w:t xml:space="preserve">), </w:t>
      </w:r>
      <w:r>
        <w:rPr>
          <w:rStyle w:val="Bold"/>
        </w:rPr>
        <w:t>Pascal Arimont</w:t>
      </w:r>
      <w:r>
        <w:t xml:space="preserve"> (</w:t>
      </w:r>
      <w:r>
        <w:t>PPE</w:t>
      </w:r>
      <w:r>
        <w:t xml:space="preserve">), </w:t>
      </w:r>
      <w:r>
        <w:rPr>
          <w:rStyle w:val="Bold"/>
        </w:rPr>
        <w:t>Rasmus Andresen</w:t>
      </w:r>
      <w:r>
        <w:t xml:space="preserve"> (</w:t>
      </w:r>
      <w:r>
        <w:t>Verts/ALE</w:t>
      </w:r>
      <w:r>
        <w:t xml:space="preserve">), </w:t>
      </w:r>
      <w:r>
        <w:rPr>
          <w:rStyle w:val="Bold"/>
        </w:rPr>
        <w:t>Claudia Gamon</w:t>
      </w:r>
      <w:r>
        <w:t xml:space="preserve"> (</w:t>
      </w:r>
      <w:r>
        <w:t>Renew</w:t>
      </w:r>
      <w:r>
        <w:t xml:space="preserve">), </w:t>
      </w:r>
      <w:r>
        <w:rPr>
          <w:rStyle w:val="Bold"/>
        </w:rPr>
        <w:t>Ondřej Knotek</w:t>
      </w:r>
      <w:r>
        <w:t xml:space="preserve"> (</w:t>
      </w:r>
      <w:r>
        <w:t>Renew</w:t>
      </w:r>
      <w:r>
        <w:t xml:space="preserve">), </w:t>
      </w:r>
      <w:r>
        <w:rPr>
          <w:rStyle w:val="Bold"/>
        </w:rPr>
        <w:t>Anne Sander</w:t>
      </w:r>
      <w:r>
        <w:t xml:space="preserve"> (</w:t>
      </w:r>
      <w:r>
        <w:t>PPE</w:t>
      </w:r>
      <w:r>
        <w:t xml:space="preserve">), </w:t>
      </w:r>
      <w:r>
        <w:rPr>
          <w:rStyle w:val="Bold"/>
        </w:rPr>
        <w:t>Katrin Langensiepen</w:t>
      </w:r>
      <w:r>
        <w:t xml:space="preserve"> (</w:t>
      </w:r>
      <w:r>
        <w:t>Verts/ALE</w:t>
      </w:r>
      <w:r>
        <w:t xml:space="preserve">), </w:t>
      </w:r>
      <w:r>
        <w:rPr>
          <w:rStyle w:val="Bold"/>
        </w:rPr>
        <w:t>Samira Rafaela</w:t>
      </w:r>
      <w:r>
        <w:t xml:space="preserve"> (</w:t>
      </w:r>
      <w:r>
        <w:t>Renew</w:t>
      </w:r>
      <w:r>
        <w:t xml:space="preserve">), </w:t>
      </w:r>
      <w:r>
        <w:rPr>
          <w:rStyle w:val="Bold"/>
        </w:rPr>
        <w:t>Giorgos Georgiou</w:t>
      </w:r>
      <w:r>
        <w:t xml:space="preserve"> (</w:t>
      </w:r>
      <w:r>
        <w:t>The Left</w:t>
      </w:r>
      <w:r>
        <w:t xml:space="preserve">), </w:t>
      </w:r>
      <w:r>
        <w:rPr>
          <w:rStyle w:val="Bold"/>
        </w:rPr>
        <w:t>Petros Kokkalis</w:t>
      </w:r>
      <w:r>
        <w:t xml:space="preserve"> (</w:t>
      </w:r>
      <w:r>
        <w:t>The Left</w:t>
      </w:r>
      <w:r>
        <w:t xml:space="preserve">), </w:t>
      </w:r>
      <w:r>
        <w:rPr>
          <w:rStyle w:val="Bold"/>
        </w:rPr>
        <w:t>Dimitrios Papadimoulis</w:t>
      </w:r>
      <w:r>
        <w:t xml:space="preserve"> (</w:t>
      </w:r>
      <w:r>
        <w:t>The Left</w:t>
      </w:r>
      <w:r>
        <w:t xml:space="preserve">), </w:t>
      </w:r>
      <w:r>
        <w:rPr>
          <w:rStyle w:val="Bold"/>
        </w:rPr>
        <w:t>Alexis Georgoulis</w:t>
      </w:r>
      <w:r>
        <w:t xml:space="preserve"> (</w:t>
      </w:r>
      <w:r>
        <w:t>The Left</w:t>
      </w:r>
      <w:r>
        <w:t>)</w:t>
      </w:r>
    </w:p>
    <w:p>
      <w:pPr>
        <w:pStyle w:val="Subject"/>
      </w:pPr>
      <w:r>
        <w:t>Subiect</w:t>
      </w:r>
      <w:r>
        <w:t>:</w:t>
      </w:r>
      <w:r>
        <w:tab/>
      </w:r>
      <w:r>
        <w:t>Revizuirea cadrului UE privind asistența medicală transfrontalieră</w:t>
      </w:r>
    </w:p>
    <w:p>
      <w:pPr>
        <w:pStyle w:val="Body"/>
      </w:pPr>
      <w:r>
        <w:t>Cadrul UE privind asistența medicală transfrontalieră (Directiva 2011/24/UE privind aplicarea drepturilor pacienților în cadrul asistenței medicale transfrontaliere și Regulamentul (CE) nr. 883/2004 privind coordonarea sistemelor de securitate socială) este esențial pentru a permite accesul pacienților la terapii genetice și la alte medicamente pentru terapie avansată (ATMP) în cazul bolilor genetice grave și rare.</w:t>
      </w:r>
    </w:p>
    <w:p>
      <w:pPr>
        <w:pStyle w:val="Body"/>
      </w:pPr>
      <w:r>
        <w:t>Din păcate, în practică, cadrul actual nu funcționează pentru pacienți. Întrucât directiva impune pacienților sarcina plăților în avans, regulamentul rămâne în prezent singura cale viabilă pentru tratamentul ATPM transfrontalier. Acesta nu este totuși lipsit de propriile deficiențe, fiind marcat de un proces de aprobare complex și adesea opac și de calendare de aprobare diferite în întreaga UE, care pot întârzia sau bloca accesul la tratamente potențial curative.</w:t>
      </w:r>
    </w:p>
    <w:p>
      <w:pPr>
        <w:pStyle w:val="Body"/>
      </w:pPr>
      <w:r>
        <w:t>Deși evaluarea directivei este în curs, este esențial, prin urmare, ca Comisia să examineze actualele și viitoarele nevoi ale pacienților, ținând cont de ambele căi.</w:t>
      </w:r>
    </w:p>
    <w:p>
      <w:pPr>
        <w:pStyle w:val="itemList"/>
      </w:pPr>
      <w:r>
        <w:t>1.</w:t>
      </w:r>
      <w:r>
        <w:tab/>
      </w:r>
      <w:r>
        <w:t>Intenționează Comisia să ia măsuri pentru a îmbunătăți utilizarea regulamentului, în special prin abordarea disparităților în ceea ce privește termenele și procesele de aprobare, pe termen scurt, de exemplu prin noi orientări sau documente de orientare în vederea sprijinirii procesului decizional al statelor membre?</w:t>
      </w:r>
    </w:p>
    <w:p>
      <w:pPr>
        <w:pStyle w:val="itemList"/>
      </w:pPr>
      <w:r>
        <w:t>2.</w:t>
      </w:r>
      <w:r>
        <w:tab/>
      </w:r>
      <w:r>
        <w:t>Se angajează Comisia să revizuiască profund procedurile de rambursare prevăzute de directivă pentru a elimina barierele financiare care împiedică persoanele suferind de boli rare să aibă acces la tratament?</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PE693.473v01-00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PE693.473v01-00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PE693.473v01-00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Întrebarea cu solicitare de răspuns scris</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20210616-181252-318908-112504</vt:lpwstr>
  </property>
</Properties>
</file>