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E-002954/2021</w:t>
      </w:r>
    </w:p>
    <w:p>
      <w:pPr>
        <w:pStyle w:val="Arial10"/>
      </w:pPr>
      <w:r>
        <w:rPr>
          <w:rStyle w:val="Bold"/>
        </w:rPr>
        <w:t>to the Commission</w:t>
      </w:r>
    </w:p>
    <w:p>
      <w:pPr>
        <w:pStyle w:val="Arial10"/>
      </w:pPr>
      <w:r>
        <w:t>Rule 138</w:t>
      </w:r>
    </w:p>
    <w:p>
      <w:pPr>
        <w:pStyle w:val="Arial10After10"/>
      </w:pPr>
      <w:r>
        <w:rPr>
          <w:rStyle w:val="Bold"/>
        </w:rPr>
        <w:t>José Manuel Fernandes</w:t>
      </w:r>
      <w:r>
        <w:t xml:space="preserve"> (</w:t>
      </w:r>
      <w:r>
        <w:t>PPE</w:t>
      </w:r>
      <w:r>
        <w:t>)</w:t>
      </w:r>
    </w:p>
    <w:p>
      <w:pPr>
        <w:pStyle w:val="Subject"/>
      </w:pPr>
      <w:r>
        <w:t>Subject</w:t>
      </w:r>
      <w:r>
        <w:t>:</w:t>
      </w:r>
      <w:r>
        <w:tab/>
      </w:r>
      <w:r>
        <w:t>Reduction of health hazards and taxation of tobacco products</w:t>
      </w:r>
    </w:p>
    <w:p>
      <w:pPr>
        <w:pStyle w:val="Body"/>
      </w:pPr>
      <w:r>
        <w:t>Harm reduction and risk prevention are an effective combination when it comes to minimising the effect of tobacco consumption on health. Indeed, risk reduction should be an integral part of any effective strategy to combat cancer and other tobacco-related problems, with a differentiated approach being adopted to the less harmful alternatives to traditional tobacco.</w:t>
      </w:r>
    </w:p>
    <w:p>
      <w:pPr>
        <w:pStyle w:val="Body"/>
      </w:pPr>
      <w:r>
        <w:t>In view of this:</w:t>
      </w:r>
    </w:p>
    <w:p>
      <w:pPr>
        <w:pStyle w:val="itemList"/>
      </w:pPr>
      <w:r>
        <w:t>1.</w:t>
      </w:r>
      <w:r>
        <w:tab/>
      </w:r>
      <w:r>
        <w:t>Can the Commission give the reasons for failing to include the concept of ‘harm reduction’ in its anti-cancer strategy and how does it intend to remedy this?</w:t>
      </w:r>
    </w:p>
    <w:p>
      <w:pPr>
        <w:pStyle w:val="itemList"/>
      </w:pPr>
      <w:r>
        <w:t>2.</w:t>
      </w:r>
      <w:r>
        <w:tab/>
      </w:r>
      <w:r>
        <w:t>In reviewing Directive 2011/64/EU, how will it ensure that due account is taken of effective risk reduction, in the form of smokeless cigarettes for example, when it comes to taxing new tobacco products, given the key role of taxation in reducing tobacco consumption?</w:t>
      </w:r>
    </w:p>
    <w:p>
      <w:pPr>
        <w:pStyle w:val="Supporter"/>
      </w:pPr>
      <w:r>
        <w:rPr>
          <w:rStyle w:val="Bold"/>
        </w:rPr>
        <w:t>Supporters</w:t>
      </w:r>
      <w:r>
        <w:rPr>
          <w:rStyle w:val="FootnoteReference"/>
        </w:rPr>
        <w:footnoteReference w:id="0"/>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PE694.520v01-00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PE694.520v01-00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PE694.520v01-00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t>This question is supported by Members other than the author: Paulo Rangel (PPE), Maria da Graça Carvalho (PPE), Álvaro Amaro (PPE), Cláudia Monteiro de Aguiar (PPE)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20210616-182810-319046-653117</vt:lpwstr>
  </property>
</Properties>
</file>