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Pytanie wymagające odpowiedzi na piśmie E-002155/2022</w:t>
      </w:r>
    </w:p>
    <w:p>
      <w:pPr>
        <w:pStyle w:val="Arial10"/>
      </w:pPr>
      <w:r>
        <w:rPr>
          <w:rStyle w:val="Bold"/>
        </w:rPr>
        <w:t>do Komisji</w:t>
      </w:r>
    </w:p>
    <w:p>
      <w:pPr>
        <w:pStyle w:val="Arial10"/>
      </w:pPr>
      <w:r>
        <w:t>Art. 138 Regulaminu</w:t>
      </w:r>
    </w:p>
    <w:p>
      <w:pPr>
        <w:pStyle w:val="Arial10After10"/>
      </w:pPr>
      <w:r>
        <w:rPr>
          <w:rStyle w:val="Bold"/>
        </w:rPr>
        <w:t>Sara Skyttedal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Jeroen Lenaers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Lena Düpont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Andrzej Halicki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Tomas Tobé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Tomáš Zdechovský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Paulo Rangel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Emil Radev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Magdalena Adamowicz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Fulvio Martusciello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Janina Ochojska</w:t>
      </w:r>
      <w:r>
        <w:t xml:space="preserve"> (</w:t>
      </w:r>
      <w:r>
        <w:t>PPE</w:t>
      </w:r>
      <w:r>
        <w:t>)</w:t>
      </w:r>
    </w:p>
    <w:p>
      <w:pPr>
        <w:pStyle w:val="Subject"/>
      </w:pPr>
      <w:r>
        <w:t>Przedmiot</w:t>
      </w:r>
      <w:r>
        <w:t>:</w:t>
      </w:r>
      <w:r>
        <w:tab/>
      </w:r>
      <w:r>
        <w:t>Ocena Schengen i możliwość przeprowadzania niezapowiedzianych kontroli przez Komisję</w:t>
      </w:r>
    </w:p>
    <w:p>
      <w:pPr>
        <w:pStyle w:val="Body"/>
      </w:pPr>
      <w:r>
        <w:t>9 czerwca 2022 roku Rada przyjęła zmiany w mechanizmie oceny i monitorowania Schengen. Rada nie uwzględniła wniosku Komisji o umożliwienie przeprowadzania, w normalnych czasach, faktycznie niezapowiedzianych inspekcji zarządzania granicami przez państwa członkowskie. Państwa członkowskie zamiast tego mają być informowane z przynajmniej 24-godzinnym wyprzedzeniem. Komisja straciła zatem kluczowe narzędzie.</w:t>
      </w:r>
    </w:p>
    <w:p>
      <w:pPr>
        <w:pStyle w:val="Body"/>
      </w:pPr>
      <w:r>
        <w:t>Nasze pytania do Komisji brzmią następująco:</w:t>
      </w:r>
    </w:p>
    <w:p>
      <w:pPr>
        <w:pStyle w:val="itemList"/>
      </w:pPr>
      <w:r>
        <w:t>1.</w:t>
      </w:r>
      <w:r>
        <w:tab/>
      </w:r>
      <w:r>
        <w:t>Czy uważa, że zaprzepaszczono cele zmian w mechanizmie oceny i monitorowania Schengen, skoro Rada podjęła decyzję, która uniemożliwia przeprowadzanie, w normalnych czasach, niezapowiedzianych kontroli zdolności państw członkowskich do zachowania dorobku Schengen? Jeśli tak, to w jaki sposób i w jakim stopniu?</w:t>
      </w:r>
    </w:p>
    <w:p>
      <w:pPr>
        <w:pStyle w:val="itemList"/>
      </w:pPr>
      <w:r>
        <w:t>2.</w:t>
      </w:r>
      <w:r>
        <w:tab/>
      </w:r>
      <w:r>
        <w:t>Czy podejmie się jakiś innych działań, by lepiej monitorować dorobek Schengen?</w:t>
      </w: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PE734.048v01-00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PE734.048v01-00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PE734.048v01-00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 wymagające odpowiedzi na piśmie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20220627-100330-180076-004962</vt:lpwstr>
  </property>
</Properties>
</file>