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E-001560/2023</w:t>
      </w:r>
    </w:p>
    <w:p>
      <w:pPr>
        <w:pStyle w:val="Arial10"/>
      </w:pPr>
      <w:r>
        <w:rPr>
          <w:rStyle w:val="Bold"/>
        </w:rPr>
        <w:t>to the Commission</w:t>
      </w:r>
    </w:p>
    <w:p>
      <w:pPr>
        <w:pStyle w:val="Arial10"/>
      </w:pPr>
      <w:r>
        <w:t>Rule 138</w:t>
      </w:r>
    </w:p>
    <w:p>
      <w:pPr>
        <w:pStyle w:val="Arial10After10"/>
      </w:pPr>
      <w:r>
        <w:rPr>
          <w:rStyle w:val="Bold"/>
        </w:rPr>
        <w:t>Margarita de la Pisa Carrión</w:t>
      </w:r>
      <w:r>
        <w:t xml:space="preserve"> (</w:t>
      </w:r>
      <w:r>
        <w:t>ECR</w:t>
      </w:r>
      <w:r>
        <w:t>)</w:t>
      </w:r>
    </w:p>
    <w:p>
      <w:pPr>
        <w:pStyle w:val="Subject"/>
      </w:pPr>
      <w:r>
        <w:t>Subject</w:t>
      </w:r>
      <w:r>
        <w:t>:</w:t>
      </w:r>
      <w:r>
        <w:tab/>
      </w:r>
      <w:r>
        <w:t>Scrutinising the European Commission on its monitoring of the European Child Guarantee</w:t>
      </w:r>
    </w:p>
    <w:p>
      <w:pPr>
        <w:pStyle w:val="Body"/>
      </w:pPr>
      <w:r>
        <w:t>In their respective reports entitled ‘Guaranteeing Children’s Future’ and ‘Invisible Children’, the non-governmental organisations Save the Children and Eurochild highlight that Spain has become the Member State with the second highest incidence of child poverty in the EU and that the country's child poverty rate even increased from 31% to 33% between 2019 and 2021.</w:t>
      </w:r>
    </w:p>
    <w:p>
      <w:pPr>
        <w:pStyle w:val="Body"/>
      </w:pPr>
      <w:r>
        <w:t>In the light of the above:</w:t>
      </w:r>
    </w:p>
    <w:p>
      <w:pPr>
        <w:pStyle w:val="itemList"/>
      </w:pPr>
      <w:r>
        <w:t>1.</w:t>
      </w:r>
      <w:r>
        <w:tab/>
      </w:r>
      <w:r>
        <w:t>Does the Commission consider this rise in child poverty to be linked in any way to the policies followed by the Spanish Government during the COVID-19 crisis?</w:t>
      </w:r>
    </w:p>
    <w:p>
      <w:pPr>
        <w:pStyle w:val="itemList"/>
      </w:pPr>
      <w:r>
        <w:t>2.</w:t>
      </w:r>
      <w:r>
        <w:tab/>
      </w:r>
      <w:r>
        <w:t>Given that the above-mentioned Eurochild report states that families with children are suffering the most from the consequences of the pandemic, is the Commission planning to draw up any kind of strategy to protect them?</w:t>
      </w:r>
    </w:p>
    <w:p>
      <w:pPr>
        <w:pStyle w:val="itemList"/>
      </w:pPr>
      <w:r>
        <w:t>3.</w:t>
      </w:r>
      <w:r>
        <w:tab/>
      </w:r>
      <w:r>
        <w:t>Given that six Member States have not even submitted their national plans yet and given that the Commission has not published any information on when these are expected to be submitted, does the Commission consider it appropriate to increase funding for the European Child Guarantee?</w:t>
      </w:r>
    </w:p>
    <w:p>
      <w:pPr>
        <w:pStyle w:val="Body"/>
      </w:pPr>
      <w:r>
        <w:t>Submitted: 16.5.2023</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PE749.443v01-00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PE749.443v01-00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PE749.443v01-00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20230524-142718-001655-543465</vt:lpwstr>
  </property>
</Properties>
</file>