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6804"/>
        <w:gridCol w:w="2268"/>
      </w:tblGrid>
      <w:tr w:rsidR="0016017B" w:rsidRPr="00167E1F">
        <w:trPr>
          <w:trHeight w:hRule="exact" w:val="1300"/>
          <w:jc w:val="center"/>
        </w:trPr>
        <w:tc>
          <w:tcPr>
            <w:tcW w:w="6804" w:type="dxa"/>
            <w:vAlign w:val="center"/>
          </w:tcPr>
          <w:p w:rsidR="00A77B3E" w:rsidRPr="00167E1F" w:rsidRDefault="00D62DD4">
            <w:pPr>
              <w:pStyle w:val="EPName"/>
            </w:pPr>
            <w:r w:rsidRPr="00167E1F">
              <w:t>Evropski parlament</w:t>
            </w:r>
          </w:p>
          <w:p w:rsidR="0016017B" w:rsidRPr="00167E1F" w:rsidRDefault="00D62DD4">
            <w:pPr>
              <w:pStyle w:val="EPTerm"/>
            </w:pPr>
            <w:r w:rsidRPr="00167E1F">
              <w:t>2014-2019</w:t>
            </w:r>
          </w:p>
        </w:tc>
        <w:tc>
          <w:tcPr>
            <w:tcW w:w="2268" w:type="dxa"/>
          </w:tcPr>
          <w:p w:rsidR="0016017B" w:rsidRPr="00167E1F" w:rsidRDefault="00D62DD4">
            <w:pPr>
              <w:pStyle w:val="EPLogo"/>
            </w:pPr>
            <w:r w:rsidRPr="00167E1F">
              <w:rPr>
                <w:lang w:eastAsia="sl-SI"/>
              </w:rPr>
              <w:drawing>
                <wp:inline distT="0" distB="0" distL="0" distR="0">
                  <wp:extent cx="11620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A77B3E" w:rsidRPr="00167E1F" w:rsidRDefault="001D15E0">
      <w:pPr>
        <w:pStyle w:val="LineTop"/>
      </w:pPr>
    </w:p>
    <w:p w:rsidR="0016017B" w:rsidRPr="00167E1F" w:rsidRDefault="00D62DD4">
      <w:pPr>
        <w:pStyle w:val="ZCommittee"/>
      </w:pPr>
      <w:r w:rsidRPr="00167E1F">
        <w:rPr>
          <w:rStyle w:val="HideTWBExt"/>
          <w:noProof w:val="0"/>
        </w:rPr>
        <w:t>&lt;Commission&gt;</w:t>
      </w:r>
      <w:r w:rsidRPr="00167E1F">
        <w:rPr>
          <w:rStyle w:val="HideTWBInt"/>
        </w:rPr>
        <w:t>{ECON}</w:t>
      </w:r>
      <w:r w:rsidRPr="00167E1F">
        <w:t>Odbor za ekonomske in monetarne zadeve</w:t>
      </w:r>
      <w:r w:rsidRPr="00167E1F">
        <w:rPr>
          <w:rStyle w:val="HideTWBExt"/>
          <w:noProof w:val="0"/>
        </w:rPr>
        <w:t>&lt;/Commission&gt;</w:t>
      </w:r>
    </w:p>
    <w:p w:rsidR="0016017B" w:rsidRPr="00167E1F" w:rsidRDefault="0016017B">
      <w:pPr>
        <w:pStyle w:val="LineBottom"/>
      </w:pPr>
    </w:p>
    <w:p w:rsidR="0016017B" w:rsidRPr="00167E1F" w:rsidRDefault="00D62DD4">
      <w:pPr>
        <w:pStyle w:val="RefProc"/>
      </w:pPr>
      <w:r w:rsidRPr="00167E1F">
        <w:rPr>
          <w:rStyle w:val="HideTWBExt"/>
          <w:noProof w:val="0"/>
        </w:rPr>
        <w:t>&lt;RefProc&gt;</w:t>
      </w:r>
      <w:r w:rsidRPr="00167E1F">
        <w:t>2018/2102</w:t>
      </w:r>
      <w:r w:rsidRPr="00167E1F">
        <w:rPr>
          <w:rStyle w:val="HideTWBExt"/>
          <w:noProof w:val="0"/>
        </w:rPr>
        <w:t>&lt;/RefProc&gt;&lt;RefTypeProc&gt;</w:t>
      </w:r>
      <w:r w:rsidRPr="00167E1F">
        <w:t>(INI)</w:t>
      </w:r>
      <w:r w:rsidRPr="00167E1F">
        <w:rPr>
          <w:rStyle w:val="HideTWBExt"/>
          <w:noProof w:val="0"/>
        </w:rPr>
        <w:t>&lt;/RefTypeProc&gt;</w:t>
      </w:r>
    </w:p>
    <w:p w:rsidR="0016017B" w:rsidRPr="00167E1F" w:rsidRDefault="00D62DD4">
      <w:pPr>
        <w:pStyle w:val="ZDate"/>
      </w:pPr>
      <w:r w:rsidRPr="00167E1F">
        <w:rPr>
          <w:rStyle w:val="HideTWBExt"/>
          <w:noProof w:val="0"/>
        </w:rPr>
        <w:t>&lt;Date&gt;</w:t>
      </w:r>
      <w:r w:rsidRPr="00167E1F">
        <w:rPr>
          <w:rStyle w:val="HideTWBInt"/>
        </w:rPr>
        <w:t>{08/10/2018}</w:t>
      </w:r>
      <w:r w:rsidRPr="00167E1F">
        <w:t>8.10.2018</w:t>
      </w:r>
      <w:r w:rsidRPr="00167E1F">
        <w:rPr>
          <w:rStyle w:val="HideTWBExt"/>
          <w:noProof w:val="0"/>
        </w:rPr>
        <w:t>&lt;/Date&gt;</w:t>
      </w:r>
    </w:p>
    <w:p w:rsidR="0016017B" w:rsidRPr="00167E1F" w:rsidRDefault="00D62DD4">
      <w:pPr>
        <w:pStyle w:val="TypeDoc"/>
      </w:pPr>
      <w:r w:rsidRPr="00167E1F">
        <w:rPr>
          <w:rStyle w:val="HideTWBExt"/>
          <w:noProof w:val="0"/>
        </w:rPr>
        <w:t>&lt;TitreType&gt;</w:t>
      </w:r>
      <w:r w:rsidRPr="00167E1F">
        <w:t>OSNUTEK POROČILA</w:t>
      </w:r>
      <w:r w:rsidRPr="00167E1F">
        <w:rPr>
          <w:rStyle w:val="HideTWBExt"/>
          <w:noProof w:val="0"/>
        </w:rPr>
        <w:t>&lt;/TitreType&gt;</w:t>
      </w:r>
    </w:p>
    <w:p w:rsidR="0016017B" w:rsidRPr="00167E1F" w:rsidRDefault="00D62DD4">
      <w:pPr>
        <w:pStyle w:val="CoverNormal"/>
      </w:pPr>
      <w:r w:rsidRPr="00167E1F">
        <w:rPr>
          <w:rStyle w:val="HideTWBExt"/>
          <w:noProof w:val="0"/>
        </w:rPr>
        <w:t>&lt;Titre&gt;</w:t>
      </w:r>
      <w:r w:rsidRPr="00167E1F">
        <w:t>o letnem poročilu o politiki konkurence</w:t>
      </w:r>
      <w:r w:rsidRPr="00167E1F">
        <w:rPr>
          <w:rStyle w:val="HideTWBExt"/>
          <w:noProof w:val="0"/>
        </w:rPr>
        <w:t>&lt;/Titre&gt;</w:t>
      </w:r>
    </w:p>
    <w:p w:rsidR="0016017B" w:rsidRPr="00167E1F" w:rsidRDefault="00D62DD4">
      <w:pPr>
        <w:pStyle w:val="Cover24"/>
      </w:pPr>
      <w:r w:rsidRPr="00167E1F">
        <w:rPr>
          <w:rStyle w:val="HideTWBExt"/>
          <w:noProof w:val="0"/>
        </w:rPr>
        <w:t>&lt;DocRef&gt;</w:t>
      </w:r>
      <w:r w:rsidRPr="00167E1F">
        <w:t>(2018/2102(INI))</w:t>
      </w:r>
      <w:r w:rsidRPr="00167E1F">
        <w:rPr>
          <w:rStyle w:val="HideTWBExt"/>
          <w:noProof w:val="0"/>
        </w:rPr>
        <w:t>&lt;/DocRef&gt;</w:t>
      </w:r>
    </w:p>
    <w:p w:rsidR="0016017B" w:rsidRPr="00167E1F" w:rsidRDefault="00D62DD4">
      <w:pPr>
        <w:pStyle w:val="Cover24"/>
      </w:pPr>
      <w:r w:rsidRPr="00167E1F">
        <w:rPr>
          <w:rStyle w:val="HideTWBExt"/>
          <w:noProof w:val="0"/>
        </w:rPr>
        <w:t>&lt;Commission&gt;</w:t>
      </w:r>
      <w:r w:rsidRPr="00167E1F">
        <w:rPr>
          <w:rStyle w:val="HideTWBInt"/>
        </w:rPr>
        <w:t>{ECON}</w:t>
      </w:r>
      <w:r w:rsidRPr="00167E1F">
        <w:t>Odbor za ekonomske in monetarne zadeve</w:t>
      </w:r>
      <w:r w:rsidRPr="00167E1F">
        <w:rPr>
          <w:rStyle w:val="HideTWBExt"/>
          <w:noProof w:val="0"/>
        </w:rPr>
        <w:t>&lt;/Commission&gt;</w:t>
      </w:r>
    </w:p>
    <w:p w:rsidR="0016017B" w:rsidRPr="00167E1F" w:rsidRDefault="00D62DD4">
      <w:pPr>
        <w:pStyle w:val="Cover24"/>
      </w:pPr>
      <w:r w:rsidRPr="00167E1F">
        <w:t xml:space="preserve">Poročevalec: </w:t>
      </w:r>
      <w:r w:rsidRPr="00167E1F">
        <w:rPr>
          <w:rStyle w:val="HideTWBExt"/>
          <w:noProof w:val="0"/>
        </w:rPr>
        <w:t>&lt;Depute&gt;</w:t>
      </w:r>
      <w:r w:rsidRPr="00167E1F">
        <w:t>Michel Reimon</w:t>
      </w:r>
      <w:r w:rsidRPr="00167E1F">
        <w:rPr>
          <w:rStyle w:val="HideTWBExt"/>
          <w:noProof w:val="0"/>
        </w:rPr>
        <w:t>&lt;/Depute&gt;</w:t>
      </w:r>
    </w:p>
    <w:p w:rsidR="0016017B" w:rsidRPr="00167E1F" w:rsidRDefault="00D62DD4">
      <w:r w:rsidRPr="00167E1F">
        <w:br w:type="page"/>
      </w:r>
    </w:p>
    <w:p w:rsidR="0016017B" w:rsidRPr="00167E1F" w:rsidRDefault="00D62DD4">
      <w:r w:rsidRPr="00167E1F">
        <w:lastRenderedPageBreak/>
        <w:t>PR_INI</w:t>
      </w:r>
    </w:p>
    <w:p w:rsidR="0016017B" w:rsidRPr="00167E1F" w:rsidRDefault="00D62DD4">
      <w:pPr>
        <w:pStyle w:val="TOCHeading"/>
      </w:pPr>
      <w:r w:rsidRPr="00167E1F">
        <w:t>VSEBINA</w:t>
      </w:r>
    </w:p>
    <w:p w:rsidR="0016017B" w:rsidRPr="00167E1F" w:rsidRDefault="00D62DD4">
      <w:pPr>
        <w:pStyle w:val="TOCPage"/>
      </w:pPr>
      <w:r w:rsidRPr="00167E1F">
        <w:t>Stran</w:t>
      </w:r>
    </w:p>
    <w:p w:rsidR="001D15E0" w:rsidRDefault="00D62DD4">
      <w:pPr>
        <w:pStyle w:val="TOC1"/>
        <w:tabs>
          <w:tab w:val="right" w:leader="dot" w:pos="9062"/>
        </w:tabs>
        <w:rPr>
          <w:rFonts w:asciiTheme="minorHAnsi" w:eastAsiaTheme="minorEastAsia" w:hAnsiTheme="minorHAnsi" w:cstheme="minorBidi"/>
          <w:noProof/>
          <w:sz w:val="22"/>
          <w:szCs w:val="22"/>
          <w:lang w:eastAsia="sl-SI"/>
        </w:rPr>
      </w:pPr>
      <w:r w:rsidRPr="00167E1F">
        <w:fldChar w:fldCharType="begin"/>
      </w:r>
      <w:r w:rsidRPr="00167E1F">
        <w:instrText>TOC \t "PageHeading;1"</w:instrText>
      </w:r>
      <w:r w:rsidRPr="00167E1F">
        <w:fldChar w:fldCharType="separate"/>
      </w:r>
      <w:r w:rsidR="001D15E0">
        <w:rPr>
          <w:noProof/>
        </w:rPr>
        <w:t>PREDLOG RESOLUCIJE EVROPSKEGA PARLAMENTA</w:t>
      </w:r>
      <w:r w:rsidR="001D15E0">
        <w:rPr>
          <w:noProof/>
        </w:rPr>
        <w:tab/>
      </w:r>
      <w:r w:rsidR="001D15E0">
        <w:rPr>
          <w:noProof/>
        </w:rPr>
        <w:fldChar w:fldCharType="begin"/>
      </w:r>
      <w:r w:rsidR="001D15E0">
        <w:rPr>
          <w:noProof/>
        </w:rPr>
        <w:instrText xml:space="preserve"> PAGEREF _Toc527471149 \h </w:instrText>
      </w:r>
      <w:r w:rsidR="001D15E0">
        <w:rPr>
          <w:noProof/>
        </w:rPr>
      </w:r>
      <w:r w:rsidR="001D15E0">
        <w:rPr>
          <w:noProof/>
        </w:rPr>
        <w:fldChar w:fldCharType="separate"/>
      </w:r>
      <w:r w:rsidR="001D15E0">
        <w:rPr>
          <w:noProof/>
        </w:rPr>
        <w:t>3</w:t>
      </w:r>
      <w:r w:rsidR="001D15E0">
        <w:rPr>
          <w:noProof/>
        </w:rPr>
        <w:fldChar w:fldCharType="end"/>
      </w:r>
    </w:p>
    <w:p w:rsidR="0016017B" w:rsidRPr="00167E1F" w:rsidRDefault="00D62DD4">
      <w:pPr>
        <w:pStyle w:val="Normal12b"/>
      </w:pPr>
      <w:r w:rsidRPr="00167E1F">
        <w:fldChar w:fldCharType="end"/>
      </w:r>
    </w:p>
    <w:p w:rsidR="0016017B" w:rsidRPr="00167E1F" w:rsidRDefault="0016017B">
      <w:pPr>
        <w:pStyle w:val="CoverNormalLeft"/>
      </w:pPr>
    </w:p>
    <w:p w:rsidR="0016017B" w:rsidRPr="00167E1F" w:rsidRDefault="00D62DD4">
      <w:pPr>
        <w:pStyle w:val="PageHeading"/>
      </w:pPr>
      <w:r w:rsidRPr="00167E1F">
        <w:br w:type="page"/>
      </w:r>
      <w:bookmarkStart w:id="0" w:name="_Toc527471149"/>
      <w:r w:rsidRPr="00167E1F">
        <w:lastRenderedPageBreak/>
        <w:t>PREDLOG RESOLUCIJE EVROPSKEGA PARLAMENTA</w:t>
      </w:r>
      <w:bookmarkEnd w:id="0"/>
    </w:p>
    <w:p w:rsidR="0016017B" w:rsidRPr="00167E1F" w:rsidRDefault="00D62DD4">
      <w:pPr>
        <w:pStyle w:val="NormalBold"/>
      </w:pPr>
      <w:r w:rsidRPr="00167E1F">
        <w:t>o letnem poročilu o politiki konkurence</w:t>
      </w:r>
    </w:p>
    <w:p w:rsidR="0016017B" w:rsidRPr="00167E1F" w:rsidRDefault="00D62DD4">
      <w:pPr>
        <w:pStyle w:val="Normal12Bold"/>
      </w:pPr>
      <w:r w:rsidRPr="00167E1F">
        <w:t>(2018/2102(INI))</w:t>
      </w:r>
    </w:p>
    <w:p w:rsidR="0016017B" w:rsidRPr="00167E1F" w:rsidRDefault="00D62DD4">
      <w:pPr>
        <w:pStyle w:val="Normal12"/>
      </w:pPr>
      <w:r w:rsidRPr="00167E1F">
        <w:rPr>
          <w:i/>
        </w:rPr>
        <w:t>Evropski parlament</w:t>
      </w:r>
      <w:r w:rsidRPr="00167E1F">
        <w:t>,</w:t>
      </w:r>
    </w:p>
    <w:p w:rsidR="0016017B" w:rsidRPr="00167E1F" w:rsidRDefault="00D62DD4">
      <w:pPr>
        <w:pStyle w:val="Normal12Hanging"/>
      </w:pPr>
      <w:r w:rsidRPr="00167E1F">
        <w:t>–</w:t>
      </w:r>
      <w:r w:rsidRPr="00167E1F">
        <w:tab/>
        <w:t>ob upoštevanju Pogodbe o delovanju Evropske unije (PDEU) in zlasti členov 7, 8, 9, 11, 12, 39, 42 ter 101 do 109 Pogodbe,</w:t>
      </w:r>
    </w:p>
    <w:p w:rsidR="0016017B" w:rsidRPr="00167E1F" w:rsidRDefault="00D62DD4">
      <w:pPr>
        <w:pStyle w:val="Normal12Hanging"/>
      </w:pPr>
      <w:r w:rsidRPr="00167E1F">
        <w:t>–</w:t>
      </w:r>
      <w:r w:rsidRPr="00167E1F">
        <w:tab/>
        <w:t>ob upoštevanju Listine Evropske unije o temeljnih pravicah in zlasti členov 35, 37 in 38 Listine,</w:t>
      </w:r>
    </w:p>
    <w:p w:rsidR="0016017B" w:rsidRPr="00167E1F" w:rsidRDefault="00D62DD4">
      <w:pPr>
        <w:pStyle w:val="Normal12Hanging"/>
      </w:pPr>
      <w:r w:rsidRPr="00167E1F">
        <w:t>–</w:t>
      </w:r>
      <w:r w:rsidRPr="00167E1F">
        <w:tab/>
        <w:t>ob upoštevanju poročila Komisije z dne 18. junija 2018 o politiki konkurence za leto 2017 (COM(2018)0482) ter objavljenega delovnega dokumenta služb Komisije z istega dne,</w:t>
      </w:r>
    </w:p>
    <w:p w:rsidR="0016017B" w:rsidRPr="00167E1F" w:rsidRDefault="00D62DD4">
      <w:pPr>
        <w:pStyle w:val="Normal12Hanging"/>
      </w:pPr>
      <w:r w:rsidRPr="00167E1F">
        <w:t>–</w:t>
      </w:r>
      <w:r w:rsidRPr="00167E1F">
        <w:tab/>
        <w:t>ob upoštevanju bele knjige Komisije z dne 9. julija 2014 z naslovom Za učinkovitejši nadzor EU nad združitvami (COM(2014)0449),</w:t>
      </w:r>
    </w:p>
    <w:p w:rsidR="0016017B" w:rsidRPr="00167E1F" w:rsidRDefault="00D62DD4">
      <w:pPr>
        <w:pStyle w:val="Normal12Hanging"/>
      </w:pPr>
      <w:r w:rsidRPr="00167E1F">
        <w:t>–</w:t>
      </w:r>
      <w:r w:rsidRPr="00167E1F">
        <w:tab/>
        <w:t>ob upoštevanju predloga Komisije za direktivo Evropskega parlamenta in Sveta z dne 22. marca 2017 o krepitvi vloge organov držav članic, pristojnih za konkurenco, da bodo učinkoviteje izvajali pravila konkurence in zagotavljali pravilno delovanje notranjega trga (COM(2017)0142),</w:t>
      </w:r>
    </w:p>
    <w:p w:rsidR="0016017B" w:rsidRPr="00167E1F" w:rsidRDefault="00D62DD4">
      <w:pPr>
        <w:pStyle w:val="Normal12Hanging"/>
      </w:pPr>
      <w:r w:rsidRPr="00167E1F">
        <w:t>–</w:t>
      </w:r>
      <w:r w:rsidRPr="00167E1F">
        <w:tab/>
        <w:t>ob upoštevanju svoje resolucije z dne 5. februarja 2014 o sporazumih EU o sodelovanju na področju izvrševanja politike konkurence – pot naprej</w:t>
      </w:r>
      <w:r w:rsidRPr="00167E1F">
        <w:rPr>
          <w:rStyle w:val="FootnoteReference"/>
        </w:rPr>
        <w:footnoteReference w:id="1"/>
      </w:r>
      <w:r w:rsidRPr="00167E1F">
        <w:t>,</w:t>
      </w:r>
    </w:p>
    <w:p w:rsidR="0016017B" w:rsidRPr="00167E1F" w:rsidRDefault="00D62DD4">
      <w:pPr>
        <w:pStyle w:val="Normal12Hanging"/>
      </w:pPr>
      <w:r w:rsidRPr="00167E1F">
        <w:t>–</w:t>
      </w:r>
      <w:r w:rsidRPr="00167E1F">
        <w:tab/>
        <w:t>ob upoštevanju ustreznih pravil, smernic, sklepov, resolucij, sporočil in dokumentov Komisije na področju konkurence,</w:t>
      </w:r>
    </w:p>
    <w:p w:rsidR="0016017B" w:rsidRPr="00167E1F" w:rsidRDefault="00D62DD4">
      <w:pPr>
        <w:pStyle w:val="Normal12Hanging"/>
      </w:pPr>
      <w:r w:rsidRPr="00167E1F">
        <w:t>–</w:t>
      </w:r>
      <w:r w:rsidRPr="00167E1F">
        <w:tab/>
        <w:t>ob upoštevanju svojih resolucij z dne 19. aprila 2018</w:t>
      </w:r>
      <w:r w:rsidRPr="00167E1F">
        <w:rPr>
          <w:rStyle w:val="FootnoteReference"/>
        </w:rPr>
        <w:footnoteReference w:id="2"/>
      </w:r>
      <w:r w:rsidRPr="00167E1F">
        <w:t xml:space="preserve"> in 14. februarja 2017</w:t>
      </w:r>
      <w:r w:rsidRPr="00167E1F">
        <w:rPr>
          <w:rStyle w:val="FootnoteReference"/>
        </w:rPr>
        <w:footnoteReference w:id="3"/>
      </w:r>
      <w:r w:rsidRPr="00167E1F">
        <w:t xml:space="preserve"> o letnem poročilu o politiki konkurence EU za leti 2017 in 2016,</w:t>
      </w:r>
    </w:p>
    <w:p w:rsidR="0016017B" w:rsidRPr="00167E1F" w:rsidRDefault="00D62DD4">
      <w:pPr>
        <w:pStyle w:val="Normal12Hanging"/>
      </w:pPr>
      <w:r w:rsidRPr="00167E1F">
        <w:t>–</w:t>
      </w:r>
      <w:r w:rsidRPr="00167E1F">
        <w:tab/>
        <w:t>ob upoštevanju člena 52 Poslovnika,</w:t>
      </w:r>
    </w:p>
    <w:p w:rsidR="0016017B" w:rsidRPr="00167E1F" w:rsidRDefault="00D62DD4">
      <w:pPr>
        <w:pStyle w:val="Normal12Hanging"/>
      </w:pPr>
      <w:r w:rsidRPr="00167E1F">
        <w:t>–</w:t>
      </w:r>
      <w:r w:rsidRPr="00167E1F">
        <w:tab/>
        <w:t>ob upoštevanju poročila Odbora za ekonomske in monetarne zadeve ter mnenj Odbora za mednarodno trgovino in Odbora za kmetijstvo in razvoj podeželja (A8-0000/2018),</w:t>
      </w:r>
    </w:p>
    <w:p w:rsidR="0016017B" w:rsidRPr="00167E1F" w:rsidRDefault="00D62DD4">
      <w:pPr>
        <w:pStyle w:val="Normal12Hanging0"/>
      </w:pPr>
      <w:r w:rsidRPr="00167E1F">
        <w:t>1.</w:t>
      </w:r>
      <w:r w:rsidRPr="00167E1F">
        <w:tab/>
        <w:t>pozdravlja dejavnosti in prizadevanja Komisije za zagotavljanje učinkovite uporabe pravil o konkurenci v Uniji;</w:t>
      </w:r>
    </w:p>
    <w:p w:rsidR="0016017B" w:rsidRPr="00167E1F" w:rsidRDefault="00D62DD4">
      <w:pPr>
        <w:pStyle w:val="Normal12Hanging0"/>
      </w:pPr>
      <w:r w:rsidRPr="00167E1F">
        <w:t>2.</w:t>
      </w:r>
      <w:r w:rsidRPr="00167E1F">
        <w:tab/>
        <w:t>meni, da je treba pravila o konkurenci, ki izhajajo iz Pogodbe, razlagati ob upoštevanju širših evropskih vrednot, ki podpirajo socialno tržno gospodarstvo Unije, zlasti okoljske in socialne zaščite, premislekov o enakosti ter varstva potrošnikov in javnega zdravja, kot določa člen 7 PDEU; zato meni, da dejavnosti, ki imajo negativne socialne in okoljske zunanje učinke, povzročajo izkrivljanje trga, ki ga je treba obravnavati s konkurenčnim pravom, medtem ko bi bilo treba dejavnosti, ki imajo socialne ali okoljske koristi, izrecno upoštevati pri ocenjevanju določb o konkurenci, ki izhajajo iz Pogodbe;</w:t>
      </w:r>
    </w:p>
    <w:p w:rsidR="0016017B" w:rsidRPr="00167E1F" w:rsidRDefault="00D62DD4">
      <w:pPr>
        <w:pStyle w:val="Normal12Hanging0"/>
      </w:pPr>
      <w:r w:rsidRPr="00167E1F">
        <w:t>3.</w:t>
      </w:r>
      <w:r w:rsidRPr="00167E1F">
        <w:tab/>
        <w:t>poudarja, da bodo potrošniki morda tudi v primeru brezplačne dobave izdelkov ali storitev še vedno izpostavljeni nepoštenemu ravnanju, kot je poslabšanje kakovosti ali izsiljevanje; zato poziva, naj se za namene obravnavanih primerov oblikuje „teorija škode“, ki bi morala presegati cenovno usmerjene pristope in upoštevati širše vidike, kot je vpliv na zasebnost državljanov;</w:t>
      </w:r>
    </w:p>
    <w:p w:rsidR="0016017B" w:rsidRPr="00167E1F" w:rsidRDefault="00D62DD4">
      <w:pPr>
        <w:pStyle w:val="Normal12Hanging0"/>
      </w:pPr>
      <w:r w:rsidRPr="00167E1F">
        <w:t>4.</w:t>
      </w:r>
      <w:r w:rsidRPr="00167E1F">
        <w:tab/>
        <w:t>poudarja, da je nujno potreben učinkovit okvir, prilagojen izzivom gospodarstva, ki temelji na podatkih; zlasti ugotavlja, da digitalne platforme pri obvladovanju naraščajočih pretokov podatkov ustvarjajo precejšnje zunanje učinke omrežja in ekonomijo obsega ter nazadnje s prekomerno koncentracijo, črpanjem rent in zlorabo tržne moči povzročijo nedelovanje trga;</w:t>
      </w:r>
    </w:p>
    <w:p w:rsidR="0016017B" w:rsidRPr="00167E1F" w:rsidRDefault="00D62DD4">
      <w:pPr>
        <w:pStyle w:val="Normal12Hanging0"/>
      </w:pPr>
      <w:r w:rsidRPr="00167E1F">
        <w:t>5.</w:t>
      </w:r>
      <w:r w:rsidRPr="00167E1F">
        <w:tab/>
        <w:t>v zvezi s tem poziva Komisijo, naj potrdi, da je nadzor podatkov, potrebnih za oblikovanje in opravljanje storitev, približek obstoja tržne moči, tudi pri izdajanju smernic za uporabo člena 102 PDEU, ter naj zahteva interoperabilnost med spletnimi platformami in ponudniki socialnih omrežij; zahteva, da Komisija v svojem naslednjem letnem poročilu o politiki konkurence tem vprašanjem nameni posebno poglavje, vključno s študijami primerov o najvišjih cenah v sektorjih, kot so spletne platforme za nastanitev in turizem;</w:t>
      </w:r>
    </w:p>
    <w:p w:rsidR="0016017B" w:rsidRPr="00167E1F" w:rsidRDefault="00D62DD4">
      <w:pPr>
        <w:pStyle w:val="Normal12Hanging0"/>
      </w:pPr>
      <w:r w:rsidRPr="00167E1F">
        <w:t>6.</w:t>
      </w:r>
      <w:r w:rsidRPr="00167E1F">
        <w:tab/>
        <w:t>meni, da pragi za določitev pravne pristojnosti, ki določajo izhodišče za pregled združitev na ravni EU, ki temeljijo na prometu ciljnih in prevzemnih subjektov, niso primerni za digitalno gospodarstvo, v katerem vrednost za oglaševalske namene pogosto predstavlja število obiskovalcev spletnega mesta; predlaga, naj se ti pragovi spremenijo in prilagodijo številu potrošnikov, na katere vplivajo združitve, in vrednosti zadevnih transakcij;</w:t>
      </w:r>
    </w:p>
    <w:p w:rsidR="0016017B" w:rsidRPr="00167E1F" w:rsidRDefault="00D62DD4">
      <w:pPr>
        <w:pStyle w:val="Normal12Hanging0"/>
      </w:pPr>
      <w:r w:rsidRPr="00167E1F">
        <w:t>7.</w:t>
      </w:r>
      <w:r w:rsidRPr="00167E1F">
        <w:tab/>
        <w:t>poudarja, da postajajo ovire za vstop v digitalno gospodarstvo vse bolj nepremostljive, ker se je s povečevanjem nepravičnega ravnanja vedno težje vrniti k protikonkurenčnim učinkom; v zvezi s tem potrjuje, da bi morala Komisija učinkovito uporabiti začasne ukrepe ter hkrati zagotoviti ustrezen postopek in pravico do obrambe podjetij, ki so predmet preiskave;</w:t>
      </w:r>
    </w:p>
    <w:p w:rsidR="0016017B" w:rsidRPr="00167E1F" w:rsidRDefault="00D62DD4">
      <w:pPr>
        <w:pStyle w:val="Normal12Hanging0"/>
      </w:pPr>
      <w:r w:rsidRPr="00167E1F">
        <w:t>8.</w:t>
      </w:r>
      <w:r w:rsidRPr="00167E1F">
        <w:tab/>
        <w:t>opozarja na neskladja med predpisi o državni pomoči na področju pomoči za likvidacijo in shem za reševanje iz direktive o sanaciji in reševanju bank (DSRB); opozarja, da je Komisija v dveh nedavnih primerih kljub ugotovitvam Enotnega odbora za reševanje (SRB), da reševanje ne more temeljiti na razlogih javnega interesa, odobrila državno pomoč na podlagi tega, da bo zmanjšala gospodarske motnje na regionalni ravni, s čimer se kažeta dve različni interpretaciji javnega interesa; zato poziva Komisijo, naj ponovno razmisli o razlagi ustreznih pravil o državni pomoči, da bo ta v skladu z DSRB, in v skladu s tem revidira svoje sporočilo o bančništvu iz leta 2013, vključno s področjem pomoči za likvidacijo;</w:t>
      </w:r>
    </w:p>
    <w:p w:rsidR="0016017B" w:rsidRPr="00167E1F" w:rsidRDefault="00D62DD4">
      <w:pPr>
        <w:pStyle w:val="Normal12Hanging0"/>
      </w:pPr>
      <w:r w:rsidRPr="00167E1F">
        <w:t>9.</w:t>
      </w:r>
      <w:r w:rsidRPr="00167E1F">
        <w:tab/>
        <w:t>ponovno poziva Komisijo, naj preuči, ali so banke od začetka krize prejele implicitne subvencije in državno pomoč v obliki likvidnostne podpore, ki jo zagotovijo centralne banke; pozdravlja zaveze komisarke Vestager, izražene med strukturiranim dialogom z Odborom za ekonomske in monetarne zadeve novembra 2017, da bo preučila morebitno izkrivljanje konkurence, ki ga povzroča program Evropske centralne banke za nakup vrednostnih papirjev podjetniškega sektorja, in sporočila kvalitativne ugotovitve;</w:t>
      </w:r>
    </w:p>
    <w:p w:rsidR="0016017B" w:rsidRPr="00167E1F" w:rsidRDefault="00D62DD4">
      <w:pPr>
        <w:pStyle w:val="Normal12Hanging0"/>
      </w:pPr>
      <w:r w:rsidRPr="00167E1F">
        <w:t>10.</w:t>
      </w:r>
      <w:r w:rsidRPr="00167E1F">
        <w:tab/>
        <w:t>je močno zaskrbljen zaradi daljnosežne koncentracije verige preskrbe s hrano, pri čemer imajo štiri družbe, ki jih povezujejo tesne finančne vezi, v lasti in prodajajo do 60 % vseh semen na svetovnem trgu in 75 % svetovnih pesticidov v škodo potrošnikov, kmetov, okolja in biotske raznovrstnosti; opozarja, da bo zaradi takšnega oligopola prišlo do povečanja tehnološke in ekonomske odvisnosti kmetov od nekaj globalnih celovitih platform za nakup vsega na enem mestu, omejene raznovrstnosti semen in prenehanja prizadevanja na področju inovacij, da bi sprejeli proizvodni model, ki spoštuje okolje in biotsko raznovrstnost, ter v končni fazi do manjše inovativnosti zaradi zmanjšane konkurence;</w:t>
      </w:r>
    </w:p>
    <w:p w:rsidR="0016017B" w:rsidRPr="00167E1F" w:rsidRDefault="00D62DD4">
      <w:pPr>
        <w:pStyle w:val="Normal12Hanging0"/>
      </w:pPr>
      <w:r w:rsidRPr="00167E1F">
        <w:t>11.</w:t>
      </w:r>
      <w:r w:rsidRPr="00167E1F">
        <w:tab/>
        <w:t>poziva Komisijo, naj predlaga revizijo uredbe EU o združitvah, da bi lahko imela pooblastila, podobno kot jih ima zdaj več držav članic, da sprejme ukrepe za zaščito evropskega javnega reda ter pravic in načel iz PDEU in Listine EU o temeljnih pravicah, tudi na področju varstva okolja;</w:t>
      </w:r>
    </w:p>
    <w:p w:rsidR="0016017B" w:rsidRPr="00167E1F" w:rsidRDefault="00D62DD4">
      <w:pPr>
        <w:pStyle w:val="Normal12Hanging0"/>
      </w:pPr>
      <w:r w:rsidRPr="00167E1F">
        <w:t>12.</w:t>
      </w:r>
      <w:r w:rsidRPr="00167E1F">
        <w:tab/>
        <w:t>poziva, naj se člen 101(3) PDEU, tudi v horizontalnih smernicah Komisije, razlaga na način, ki se ne osredotoča na ozko opredeljeno blaginjo potrošnikov, usmerjeno v cene, temveč upošteva potrebo po socialni in okoljski učinkovitosti s spodbujanjem horizontalnega usklajevanja, da bi izboljšali okoljsko in socialno trajnost dobavne verige; poudarja, da mora učinkovitost, ustvarjena s takim sporazumom na zadevnem trgu, odtehtati protikonkurenčne učinke na istem ali nepovezanem geografskem trgu;</w:t>
      </w:r>
    </w:p>
    <w:p w:rsidR="0016017B" w:rsidRPr="00167E1F" w:rsidRDefault="00D62DD4">
      <w:pPr>
        <w:pStyle w:val="Normal12Hanging0"/>
      </w:pPr>
      <w:r w:rsidRPr="00167E1F">
        <w:t>13.</w:t>
      </w:r>
      <w:r w:rsidRPr="00167E1F">
        <w:tab/>
        <w:t>priznava, da pravno zavezujočih zavez držav članic v skladu s pariškim podnebnim sporazumom ni mogoče uresničiti brez konkretnih državnih ukrepov za spodbujanje in financiranje proizvodnje ter uporabe obnovljivih virov energije; je seznanjen s prihodnjo revizijo smernic o državni pomoči in energiji, ki ne bodo več izključevale dveh sektorjev, ki pridobita največ državnih subvencij, tj. jedrske energije in pridobivanja fosilnih goriv, pri čemer bodo smernice zagotovile večjo prožnost za energijo iz obnovljivih virov, ki jo proizvajajo potrošniki;</w:t>
      </w:r>
    </w:p>
    <w:p w:rsidR="0016017B" w:rsidRPr="00167E1F" w:rsidRDefault="00D62DD4">
      <w:pPr>
        <w:pStyle w:val="Normal12Hanging0"/>
      </w:pPr>
      <w:r w:rsidRPr="00167E1F">
        <w:t>14.</w:t>
      </w:r>
      <w:r w:rsidRPr="00167E1F">
        <w:tab/>
        <w:t>poudarja, da je treba organom za konkurenco dodeliti dovolj sredstev, da lahko opravljajo svoje delo; v zvezi s tem podpira predlagani sklop programa enotnega trga v okviru večletnega finančnega okvira 2021–2027, namenjen konkurenci;</w:t>
      </w:r>
    </w:p>
    <w:p w:rsidR="0016017B" w:rsidRPr="00167E1F" w:rsidRDefault="00D62DD4">
      <w:pPr>
        <w:pStyle w:val="Normal12Hanging0"/>
      </w:pPr>
      <w:r w:rsidRPr="00167E1F">
        <w:t>15.</w:t>
      </w:r>
      <w:r w:rsidRPr="00167E1F">
        <w:tab/>
        <w:t>naroči svojemu predsedniku, naj to res</w:t>
      </w:r>
      <w:bookmarkStart w:id="1" w:name="_GoBack"/>
      <w:bookmarkEnd w:id="1"/>
      <w:r w:rsidRPr="00167E1F">
        <w:t>olucijo posreduje Svetu, Komisiji in nacionalnim parlamentom.</w:t>
      </w:r>
    </w:p>
    <w:p w:rsidR="0016017B" w:rsidRPr="00167E1F" w:rsidRDefault="0016017B">
      <w:pPr>
        <w:pStyle w:val="Normal12b"/>
      </w:pPr>
    </w:p>
    <w:sectPr w:rsidR="0016017B" w:rsidRPr="00167E1F" w:rsidSect="00167E1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134"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949" w:rsidRPr="00167E1F" w:rsidRDefault="00D62DD4">
      <w:r w:rsidRPr="00167E1F">
        <w:separator/>
      </w:r>
    </w:p>
  </w:endnote>
  <w:endnote w:type="continuationSeparator" w:id="0">
    <w:p w:rsidR="004F2949" w:rsidRPr="00167E1F" w:rsidRDefault="00D62DD4">
      <w:r w:rsidRPr="00167E1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E1F" w:rsidRPr="00167E1F" w:rsidRDefault="00167E1F" w:rsidP="00167E1F">
    <w:pPr>
      <w:pStyle w:val="Footer"/>
    </w:pPr>
    <w:r w:rsidRPr="00167E1F">
      <w:t>PE</w:t>
    </w:r>
    <w:r w:rsidRPr="00167E1F">
      <w:rPr>
        <w:rStyle w:val="HideTWBExt"/>
        <w:noProof w:val="0"/>
      </w:rPr>
      <w:t>&lt;NoPE&gt;</w:t>
    </w:r>
    <w:r w:rsidRPr="00167E1F">
      <w:t>628.570</w:t>
    </w:r>
    <w:r w:rsidRPr="00167E1F">
      <w:rPr>
        <w:rStyle w:val="HideTWBExt"/>
        <w:noProof w:val="0"/>
      </w:rPr>
      <w:t>&lt;/NoPE&gt;&lt;Version&gt;</w:t>
    </w:r>
    <w:r w:rsidRPr="00167E1F">
      <w:t>v01-00</w:t>
    </w:r>
    <w:r w:rsidRPr="00167E1F">
      <w:rPr>
        <w:rStyle w:val="HideTWBExt"/>
        <w:noProof w:val="0"/>
      </w:rPr>
      <w:t>&lt;/Version&gt;</w:t>
    </w:r>
    <w:r w:rsidRPr="00167E1F">
      <w:tab/>
    </w:r>
    <w:r w:rsidRPr="00167E1F">
      <w:fldChar w:fldCharType="begin"/>
    </w:r>
    <w:r w:rsidRPr="00167E1F">
      <w:instrText xml:space="preserve"> PAGE  \* MERGEFORMAT </w:instrText>
    </w:r>
    <w:r w:rsidRPr="00167E1F">
      <w:fldChar w:fldCharType="separate"/>
    </w:r>
    <w:r w:rsidR="001D15E0">
      <w:rPr>
        <w:noProof/>
      </w:rPr>
      <w:t>2</w:t>
    </w:r>
    <w:r w:rsidRPr="00167E1F">
      <w:fldChar w:fldCharType="end"/>
    </w:r>
    <w:r w:rsidRPr="00167E1F">
      <w:t>/</w:t>
    </w:r>
    <w:r w:rsidR="001D15E0">
      <w:rPr>
        <w:noProof/>
      </w:rPr>
      <w:fldChar w:fldCharType="begin"/>
    </w:r>
    <w:r w:rsidR="001D15E0">
      <w:rPr>
        <w:noProof/>
      </w:rPr>
      <w:instrText xml:space="preserve"> NUMPAGES  \* MERGEFORMAT </w:instrText>
    </w:r>
    <w:r w:rsidR="001D15E0">
      <w:rPr>
        <w:noProof/>
      </w:rPr>
      <w:fldChar w:fldCharType="separate"/>
    </w:r>
    <w:r w:rsidR="001D15E0">
      <w:rPr>
        <w:noProof/>
      </w:rPr>
      <w:t>5</w:t>
    </w:r>
    <w:r w:rsidR="001D15E0">
      <w:rPr>
        <w:noProof/>
      </w:rPr>
      <w:fldChar w:fldCharType="end"/>
    </w:r>
    <w:r w:rsidRPr="00167E1F">
      <w:tab/>
    </w:r>
    <w:r w:rsidRPr="00167E1F">
      <w:rPr>
        <w:rStyle w:val="HideTWBExt"/>
        <w:noProof w:val="0"/>
      </w:rPr>
      <w:t>&lt;PathFdR&gt;</w:t>
    </w:r>
    <w:r w:rsidRPr="00167E1F">
      <w:t>PR\1164884SL.docx</w:t>
    </w:r>
    <w:r w:rsidRPr="00167E1F">
      <w:rPr>
        <w:rStyle w:val="HideTWBExt"/>
        <w:noProof w:val="0"/>
      </w:rPr>
      <w:t>&lt;/PathFdR&gt;</w:t>
    </w:r>
  </w:p>
  <w:p w:rsidR="0016017B" w:rsidRPr="00167E1F" w:rsidRDefault="00167E1F" w:rsidP="00167E1F">
    <w:pPr>
      <w:pStyle w:val="Footer2"/>
    </w:pPr>
    <w:r w:rsidRPr="00167E1F">
      <w:t>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E1F" w:rsidRPr="00167E1F" w:rsidRDefault="00167E1F" w:rsidP="00167E1F">
    <w:pPr>
      <w:pStyle w:val="Footer"/>
    </w:pPr>
    <w:r w:rsidRPr="00167E1F">
      <w:rPr>
        <w:rStyle w:val="HideTWBExt"/>
        <w:noProof w:val="0"/>
      </w:rPr>
      <w:t>&lt;PathFdR&gt;</w:t>
    </w:r>
    <w:r w:rsidRPr="00167E1F">
      <w:t>PR\1164884SL.docx</w:t>
    </w:r>
    <w:r w:rsidRPr="00167E1F">
      <w:rPr>
        <w:rStyle w:val="HideTWBExt"/>
        <w:noProof w:val="0"/>
      </w:rPr>
      <w:t>&lt;/PathFdR&gt;</w:t>
    </w:r>
    <w:r w:rsidRPr="00167E1F">
      <w:tab/>
    </w:r>
    <w:r w:rsidRPr="00167E1F">
      <w:fldChar w:fldCharType="begin"/>
    </w:r>
    <w:r w:rsidRPr="00167E1F">
      <w:instrText xml:space="preserve"> PAGE  \* MERGEFORMAT </w:instrText>
    </w:r>
    <w:r w:rsidRPr="00167E1F">
      <w:fldChar w:fldCharType="separate"/>
    </w:r>
    <w:r w:rsidR="001D15E0">
      <w:rPr>
        <w:noProof/>
      </w:rPr>
      <w:t>5</w:t>
    </w:r>
    <w:r w:rsidRPr="00167E1F">
      <w:fldChar w:fldCharType="end"/>
    </w:r>
    <w:r w:rsidRPr="00167E1F">
      <w:t>/</w:t>
    </w:r>
    <w:r w:rsidR="001D15E0">
      <w:rPr>
        <w:noProof/>
      </w:rPr>
      <w:fldChar w:fldCharType="begin"/>
    </w:r>
    <w:r w:rsidR="001D15E0">
      <w:rPr>
        <w:noProof/>
      </w:rPr>
      <w:instrText xml:space="preserve"> NUMPAGES  \* MERGEFORMAT </w:instrText>
    </w:r>
    <w:r w:rsidR="001D15E0">
      <w:rPr>
        <w:noProof/>
      </w:rPr>
      <w:fldChar w:fldCharType="separate"/>
    </w:r>
    <w:r w:rsidR="001D15E0">
      <w:rPr>
        <w:noProof/>
      </w:rPr>
      <w:t>5</w:t>
    </w:r>
    <w:r w:rsidR="001D15E0">
      <w:rPr>
        <w:noProof/>
      </w:rPr>
      <w:fldChar w:fldCharType="end"/>
    </w:r>
    <w:r w:rsidRPr="00167E1F">
      <w:tab/>
      <w:t>PE</w:t>
    </w:r>
    <w:r w:rsidRPr="00167E1F">
      <w:rPr>
        <w:rStyle w:val="HideTWBExt"/>
        <w:noProof w:val="0"/>
      </w:rPr>
      <w:t>&lt;NoPE&gt;</w:t>
    </w:r>
    <w:r w:rsidRPr="00167E1F">
      <w:t>628.570</w:t>
    </w:r>
    <w:r w:rsidRPr="00167E1F">
      <w:rPr>
        <w:rStyle w:val="HideTWBExt"/>
        <w:noProof w:val="0"/>
      </w:rPr>
      <w:t>&lt;/NoPE&gt;&lt;Version&gt;</w:t>
    </w:r>
    <w:r w:rsidRPr="00167E1F">
      <w:t>v01-00</w:t>
    </w:r>
    <w:r w:rsidRPr="00167E1F">
      <w:rPr>
        <w:rStyle w:val="HideTWBExt"/>
        <w:noProof w:val="0"/>
      </w:rPr>
      <w:t>&lt;/Version&gt;</w:t>
    </w:r>
  </w:p>
  <w:p w:rsidR="0016017B" w:rsidRPr="00167E1F" w:rsidRDefault="00167E1F" w:rsidP="00167E1F">
    <w:pPr>
      <w:pStyle w:val="Footer2"/>
    </w:pPr>
    <w:r w:rsidRPr="00167E1F">
      <w:tab/>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E1F" w:rsidRPr="00167E1F" w:rsidRDefault="00167E1F" w:rsidP="00167E1F">
    <w:pPr>
      <w:pStyle w:val="Footer"/>
    </w:pPr>
    <w:r w:rsidRPr="00167E1F">
      <w:rPr>
        <w:rStyle w:val="HideTWBExt"/>
        <w:noProof w:val="0"/>
      </w:rPr>
      <w:t>&lt;PathFdR&gt;</w:t>
    </w:r>
    <w:r w:rsidRPr="00167E1F">
      <w:t>PR\1164884SL.docx</w:t>
    </w:r>
    <w:r w:rsidRPr="00167E1F">
      <w:rPr>
        <w:rStyle w:val="HideTWBExt"/>
        <w:noProof w:val="0"/>
      </w:rPr>
      <w:t>&lt;/PathFdR&gt;</w:t>
    </w:r>
    <w:r w:rsidRPr="00167E1F">
      <w:tab/>
    </w:r>
    <w:r w:rsidRPr="00167E1F">
      <w:tab/>
      <w:t>PE</w:t>
    </w:r>
    <w:r w:rsidRPr="00167E1F">
      <w:rPr>
        <w:rStyle w:val="HideTWBExt"/>
        <w:noProof w:val="0"/>
      </w:rPr>
      <w:t>&lt;NoPE&gt;</w:t>
    </w:r>
    <w:r w:rsidRPr="00167E1F">
      <w:t>628.570</w:t>
    </w:r>
    <w:r w:rsidRPr="00167E1F">
      <w:rPr>
        <w:rStyle w:val="HideTWBExt"/>
        <w:noProof w:val="0"/>
      </w:rPr>
      <w:t>&lt;/NoPE&gt;&lt;Version&gt;</w:t>
    </w:r>
    <w:r w:rsidRPr="00167E1F">
      <w:t>v01-00</w:t>
    </w:r>
    <w:r w:rsidRPr="00167E1F">
      <w:rPr>
        <w:rStyle w:val="HideTWBExt"/>
        <w:noProof w:val="0"/>
      </w:rPr>
      <w:t>&lt;/Version&gt;</w:t>
    </w:r>
  </w:p>
  <w:p w:rsidR="0016017B" w:rsidRPr="00167E1F" w:rsidRDefault="00167E1F" w:rsidP="00167E1F">
    <w:pPr>
      <w:pStyle w:val="Footer2"/>
      <w:tabs>
        <w:tab w:val="center" w:pos="4535"/>
      </w:tabs>
    </w:pPr>
    <w:r w:rsidRPr="00167E1F">
      <w:t>SL</w:t>
    </w:r>
    <w:r w:rsidRPr="00167E1F">
      <w:tab/>
    </w:r>
    <w:r w:rsidRPr="00167E1F">
      <w:rPr>
        <w:b w:val="0"/>
        <w:i/>
        <w:color w:val="C0C0C0"/>
        <w:sz w:val="22"/>
      </w:rPr>
      <w:t>Združena v raznolikosti</w:t>
    </w:r>
    <w:r w:rsidRPr="00167E1F">
      <w:tab/>
      <w:t>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949" w:rsidRPr="00167E1F" w:rsidRDefault="00D62DD4">
      <w:r w:rsidRPr="00167E1F">
        <w:separator/>
      </w:r>
    </w:p>
  </w:footnote>
  <w:footnote w:type="continuationSeparator" w:id="0">
    <w:p w:rsidR="004F2949" w:rsidRPr="00167E1F" w:rsidRDefault="00D62DD4">
      <w:r w:rsidRPr="00167E1F">
        <w:continuationSeparator/>
      </w:r>
    </w:p>
  </w:footnote>
  <w:footnote w:id="1">
    <w:p w:rsidR="0016017B" w:rsidRPr="001D15E0" w:rsidRDefault="00D62DD4">
      <w:pPr>
        <w:pStyle w:val="FootnoteText"/>
        <w:rPr>
          <w:szCs w:val="20"/>
        </w:rPr>
      </w:pPr>
      <w:r w:rsidRPr="001D15E0">
        <w:rPr>
          <w:rStyle w:val="FootnoteReference"/>
          <w:sz w:val="20"/>
          <w:szCs w:val="20"/>
        </w:rPr>
        <w:footnoteRef/>
      </w:r>
      <w:r w:rsidRPr="001D15E0">
        <w:rPr>
          <w:szCs w:val="20"/>
        </w:rPr>
        <w:t xml:space="preserve"> UL C 93, 24.3.2017, str. 71.</w:t>
      </w:r>
    </w:p>
  </w:footnote>
  <w:footnote w:id="2">
    <w:p w:rsidR="0016017B" w:rsidRPr="001D15E0" w:rsidRDefault="00D62DD4">
      <w:pPr>
        <w:pStyle w:val="FootnoteText"/>
        <w:rPr>
          <w:szCs w:val="20"/>
        </w:rPr>
      </w:pPr>
      <w:r w:rsidRPr="001D15E0">
        <w:rPr>
          <w:rStyle w:val="FootnoteReference"/>
          <w:sz w:val="20"/>
          <w:szCs w:val="20"/>
        </w:rPr>
        <w:footnoteRef/>
      </w:r>
      <w:r w:rsidRPr="001D15E0">
        <w:rPr>
          <w:szCs w:val="20"/>
        </w:rPr>
        <w:t xml:space="preserve"> Sprejeta besedila, P8_TA(2018)0187.</w:t>
      </w:r>
    </w:p>
  </w:footnote>
  <w:footnote w:id="3">
    <w:p w:rsidR="0016017B" w:rsidRPr="001D15E0" w:rsidRDefault="00D62DD4">
      <w:pPr>
        <w:pStyle w:val="FootnoteText"/>
        <w:rPr>
          <w:szCs w:val="20"/>
        </w:rPr>
      </w:pPr>
      <w:r w:rsidRPr="001D15E0">
        <w:rPr>
          <w:rStyle w:val="FootnoteReference"/>
          <w:sz w:val="20"/>
          <w:szCs w:val="20"/>
        </w:rPr>
        <w:footnoteRef/>
      </w:r>
      <w:r w:rsidRPr="001D15E0">
        <w:rPr>
          <w:szCs w:val="20"/>
        </w:rPr>
        <w:t xml:space="preserve"> UL C 252, 18.7.2018, str. 78.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A8A" w:rsidRDefault="00BD7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A8A" w:rsidRDefault="00BD7A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A8A" w:rsidRDefault="00BD7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16C6036"/>
    <w:lvl w:ilvl="0" w:tplc="1862D0CE">
      <w:start w:val="1"/>
      <w:numFmt w:val="bullet"/>
      <w:pStyle w:val="Normal12Bullet1"/>
      <w:lvlText w:val=""/>
      <w:lvlJc w:val="left"/>
      <w:pPr>
        <w:ind w:left="720" w:hanging="360"/>
      </w:pPr>
      <w:rPr>
        <w:rFonts w:ascii="Symbol" w:hAnsi="Symbol" w:hint="default"/>
      </w:rPr>
    </w:lvl>
    <w:lvl w:ilvl="1" w:tplc="0A861A36" w:tentative="1">
      <w:start w:val="1"/>
      <w:numFmt w:val="bullet"/>
      <w:lvlText w:val="o"/>
      <w:lvlJc w:val="left"/>
      <w:pPr>
        <w:ind w:left="1440" w:hanging="360"/>
      </w:pPr>
      <w:rPr>
        <w:rFonts w:ascii="Courier New" w:hAnsi="Courier New" w:cs="Courier New" w:hint="default"/>
      </w:rPr>
    </w:lvl>
    <w:lvl w:ilvl="2" w:tplc="14020480" w:tentative="1">
      <w:start w:val="1"/>
      <w:numFmt w:val="bullet"/>
      <w:lvlText w:val=""/>
      <w:lvlJc w:val="left"/>
      <w:pPr>
        <w:ind w:left="2160" w:hanging="360"/>
      </w:pPr>
      <w:rPr>
        <w:rFonts w:ascii="Wingdings" w:hAnsi="Wingdings" w:hint="default"/>
      </w:rPr>
    </w:lvl>
    <w:lvl w:ilvl="3" w:tplc="18D04C66" w:tentative="1">
      <w:start w:val="1"/>
      <w:numFmt w:val="bullet"/>
      <w:lvlText w:val=""/>
      <w:lvlJc w:val="left"/>
      <w:pPr>
        <w:ind w:left="2880" w:hanging="360"/>
      </w:pPr>
      <w:rPr>
        <w:rFonts w:ascii="Symbol" w:hAnsi="Symbol" w:hint="default"/>
      </w:rPr>
    </w:lvl>
    <w:lvl w:ilvl="4" w:tplc="4C54C732" w:tentative="1">
      <w:start w:val="1"/>
      <w:numFmt w:val="bullet"/>
      <w:lvlText w:val="o"/>
      <w:lvlJc w:val="left"/>
      <w:pPr>
        <w:ind w:left="3600" w:hanging="360"/>
      </w:pPr>
      <w:rPr>
        <w:rFonts w:ascii="Courier New" w:hAnsi="Courier New" w:cs="Courier New" w:hint="default"/>
      </w:rPr>
    </w:lvl>
    <w:lvl w:ilvl="5" w:tplc="5C3254DA" w:tentative="1">
      <w:start w:val="1"/>
      <w:numFmt w:val="bullet"/>
      <w:lvlText w:val=""/>
      <w:lvlJc w:val="left"/>
      <w:pPr>
        <w:ind w:left="4320" w:hanging="360"/>
      </w:pPr>
      <w:rPr>
        <w:rFonts w:ascii="Wingdings" w:hAnsi="Wingdings" w:hint="default"/>
      </w:rPr>
    </w:lvl>
    <w:lvl w:ilvl="6" w:tplc="BDBE9750" w:tentative="1">
      <w:start w:val="1"/>
      <w:numFmt w:val="bullet"/>
      <w:lvlText w:val=""/>
      <w:lvlJc w:val="left"/>
      <w:pPr>
        <w:ind w:left="5040" w:hanging="360"/>
      </w:pPr>
      <w:rPr>
        <w:rFonts w:ascii="Symbol" w:hAnsi="Symbol" w:hint="default"/>
      </w:rPr>
    </w:lvl>
    <w:lvl w:ilvl="7" w:tplc="6A18B60E" w:tentative="1">
      <w:start w:val="1"/>
      <w:numFmt w:val="bullet"/>
      <w:lvlText w:val="o"/>
      <w:lvlJc w:val="left"/>
      <w:pPr>
        <w:ind w:left="5760" w:hanging="360"/>
      </w:pPr>
      <w:rPr>
        <w:rFonts w:ascii="Courier New" w:hAnsi="Courier New" w:cs="Courier New" w:hint="default"/>
      </w:rPr>
    </w:lvl>
    <w:lvl w:ilvl="8" w:tplc="D0CE08A2"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0DAA9F68"/>
    <w:lvl w:ilvl="0" w:tplc="BD585C06">
      <w:start w:val="1"/>
      <w:numFmt w:val="bullet"/>
      <w:pStyle w:val="Normal12Bullet2"/>
      <w:lvlText w:val="o"/>
      <w:lvlJc w:val="left"/>
      <w:pPr>
        <w:ind w:left="1080" w:hanging="360"/>
      </w:pPr>
      <w:rPr>
        <w:rFonts w:ascii="Courier New" w:hAnsi="Courier New" w:cs="Courier New" w:hint="default"/>
      </w:rPr>
    </w:lvl>
    <w:lvl w:ilvl="1" w:tplc="EEC49B68" w:tentative="1">
      <w:start w:val="1"/>
      <w:numFmt w:val="bullet"/>
      <w:lvlText w:val="o"/>
      <w:lvlJc w:val="left"/>
      <w:pPr>
        <w:ind w:left="1800" w:hanging="360"/>
      </w:pPr>
      <w:rPr>
        <w:rFonts w:ascii="Courier New" w:hAnsi="Courier New" w:cs="Courier New" w:hint="default"/>
      </w:rPr>
    </w:lvl>
    <w:lvl w:ilvl="2" w:tplc="8F124650" w:tentative="1">
      <w:start w:val="1"/>
      <w:numFmt w:val="bullet"/>
      <w:lvlText w:val=""/>
      <w:lvlJc w:val="left"/>
      <w:pPr>
        <w:ind w:left="2520" w:hanging="360"/>
      </w:pPr>
      <w:rPr>
        <w:rFonts w:ascii="Wingdings" w:hAnsi="Wingdings" w:hint="default"/>
      </w:rPr>
    </w:lvl>
    <w:lvl w:ilvl="3" w:tplc="D7B038EA" w:tentative="1">
      <w:start w:val="1"/>
      <w:numFmt w:val="bullet"/>
      <w:lvlText w:val=""/>
      <w:lvlJc w:val="left"/>
      <w:pPr>
        <w:ind w:left="3240" w:hanging="360"/>
      </w:pPr>
      <w:rPr>
        <w:rFonts w:ascii="Symbol" w:hAnsi="Symbol" w:hint="default"/>
      </w:rPr>
    </w:lvl>
    <w:lvl w:ilvl="4" w:tplc="F256581E" w:tentative="1">
      <w:start w:val="1"/>
      <w:numFmt w:val="bullet"/>
      <w:lvlText w:val="o"/>
      <w:lvlJc w:val="left"/>
      <w:pPr>
        <w:ind w:left="3960" w:hanging="360"/>
      </w:pPr>
      <w:rPr>
        <w:rFonts w:ascii="Courier New" w:hAnsi="Courier New" w:cs="Courier New" w:hint="default"/>
      </w:rPr>
    </w:lvl>
    <w:lvl w:ilvl="5" w:tplc="E0FCBCE6" w:tentative="1">
      <w:start w:val="1"/>
      <w:numFmt w:val="bullet"/>
      <w:lvlText w:val=""/>
      <w:lvlJc w:val="left"/>
      <w:pPr>
        <w:ind w:left="4680" w:hanging="360"/>
      </w:pPr>
      <w:rPr>
        <w:rFonts w:ascii="Wingdings" w:hAnsi="Wingdings" w:hint="default"/>
      </w:rPr>
    </w:lvl>
    <w:lvl w:ilvl="6" w:tplc="4E9ADC1C" w:tentative="1">
      <w:start w:val="1"/>
      <w:numFmt w:val="bullet"/>
      <w:lvlText w:val=""/>
      <w:lvlJc w:val="left"/>
      <w:pPr>
        <w:ind w:left="5400" w:hanging="360"/>
      </w:pPr>
      <w:rPr>
        <w:rFonts w:ascii="Symbol" w:hAnsi="Symbol" w:hint="default"/>
      </w:rPr>
    </w:lvl>
    <w:lvl w:ilvl="7" w:tplc="C876E6E2" w:tentative="1">
      <w:start w:val="1"/>
      <w:numFmt w:val="bullet"/>
      <w:lvlText w:val="o"/>
      <w:lvlJc w:val="left"/>
      <w:pPr>
        <w:ind w:left="6120" w:hanging="360"/>
      </w:pPr>
      <w:rPr>
        <w:rFonts w:ascii="Courier New" w:hAnsi="Courier New" w:cs="Courier New" w:hint="default"/>
      </w:rPr>
    </w:lvl>
    <w:lvl w:ilvl="8" w:tplc="08DC1BA8"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strDocTypeID" w:val="PR_INI"/>
    <w:docVar w:name="TXTLANGUE" w:val="SL"/>
    <w:docVar w:name="TXTLANGUEMIN" w:val="sl"/>
    <w:docVar w:name="TXTNRPE" w:val="628.570"/>
    <w:docVar w:name="TXTPEorAP" w:val="PE"/>
    <w:docVar w:name="TXTROUTE" w:val="PR\1164884SL.docx"/>
    <w:docVar w:name="TXTVERSION" w:val="01-00"/>
  </w:docVars>
  <w:rsids>
    <w:rsidRoot w:val="0016017B"/>
    <w:rsid w:val="000E3E95"/>
    <w:rsid w:val="0016017B"/>
    <w:rsid w:val="00167E1F"/>
    <w:rsid w:val="001D15E0"/>
    <w:rsid w:val="004F2949"/>
    <w:rsid w:val="00666ED2"/>
    <w:rsid w:val="0074327F"/>
    <w:rsid w:val="00763AB9"/>
    <w:rsid w:val="008521ED"/>
    <w:rsid w:val="009A752E"/>
    <w:rsid w:val="00BD7A8A"/>
    <w:rsid w:val="00D62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17B80B-BA67-4162-8AF5-791869B0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spacing w:before="240" w:after="60"/>
      <w:outlineLvl w:val="0"/>
    </w:pPr>
    <w:rPr>
      <w:rFonts w:ascii="Arial" w:hAnsi="Arial"/>
      <w:b/>
      <w:kern w:val="28"/>
      <w:sz w:val="28"/>
    </w:rPr>
  </w:style>
  <w:style w:type="paragraph" w:styleId="Heading2">
    <w:name w:val="heading 2"/>
    <w:basedOn w:val="Normal"/>
    <w:next w:val="Normal"/>
    <w:qFormat/>
    <w:pPr>
      <w:keepNext/>
      <w:widowControl w:val="0"/>
      <w:spacing w:before="240" w:after="60"/>
      <w:outlineLvl w:val="1"/>
    </w:pPr>
    <w:rPr>
      <w:rFonts w:ascii="Arial" w:hAnsi="Arial"/>
      <w:b/>
      <w:i/>
    </w:rPr>
  </w:style>
  <w:style w:type="paragraph" w:styleId="Heading3">
    <w:name w:val="heading 3"/>
    <w:basedOn w:val="Normal"/>
    <w:next w:val="Normal"/>
    <w:qFormat/>
    <w:pPr>
      <w:keepNext/>
      <w:widowControl w:val="0"/>
      <w:spacing w:before="240" w:after="60"/>
      <w:outlineLvl w:val="2"/>
    </w:pPr>
    <w:rPr>
      <w:rFonts w:ascii="Arial" w:hAnsi="Arial"/>
    </w:rPr>
  </w:style>
  <w:style w:type="paragraph" w:styleId="Heading4">
    <w:name w:val="heading 4"/>
    <w:basedOn w:val="Normal"/>
    <w:next w:val="Normal"/>
    <w:qFormat/>
    <w:pPr>
      <w:keepNext/>
      <w:widowControl w:val="0"/>
      <w:spacing w:before="240" w:after="60"/>
      <w:outlineLvl w:val="3"/>
    </w:pPr>
    <w:rPr>
      <w:rFonts w:ascii="Arial" w:hAnsi="Arial"/>
      <w:b/>
    </w:rPr>
  </w:style>
  <w:style w:type="paragraph" w:styleId="Heading5">
    <w:name w:val="heading 5"/>
    <w:basedOn w:val="Normal"/>
    <w:next w:val="Normal"/>
    <w:qFormat/>
    <w:pPr>
      <w:widowControl w:val="0"/>
      <w:spacing w:before="240" w:after="60"/>
      <w:outlineLvl w:val="4"/>
    </w:pPr>
    <w:rPr>
      <w:sz w:val="22"/>
    </w:rPr>
  </w:style>
  <w:style w:type="paragraph" w:styleId="Heading6">
    <w:name w:val="heading 6"/>
    <w:basedOn w:val="Normal"/>
    <w:next w:val="Normal"/>
    <w:qFormat/>
    <w:pPr>
      <w:widowControl w:val="0"/>
      <w:spacing w:before="240" w:after="60"/>
      <w:outlineLvl w:val="5"/>
    </w:pPr>
    <w:rPr>
      <w:i/>
      <w:sz w:val="22"/>
    </w:rPr>
  </w:style>
  <w:style w:type="paragraph" w:styleId="Heading7">
    <w:name w:val="heading 7"/>
    <w:basedOn w:val="Normal"/>
    <w:next w:val="Normal"/>
    <w:qFormat/>
    <w:pPr>
      <w:widowControl w:val="0"/>
      <w:spacing w:before="240" w:after="60"/>
      <w:outlineLvl w:val="6"/>
    </w:pPr>
    <w:rPr>
      <w:rFonts w:ascii="Arial" w:hAnsi="Arial"/>
    </w:rPr>
  </w:style>
  <w:style w:type="paragraph" w:styleId="Heading8">
    <w:name w:val="heading 8"/>
    <w:basedOn w:val="Normal"/>
    <w:next w:val="Normal"/>
    <w:qFormat/>
    <w:pPr>
      <w:widowControl w:val="0"/>
      <w:spacing w:before="240" w:after="60"/>
      <w:outlineLvl w:val="7"/>
    </w:pPr>
    <w:rPr>
      <w:rFonts w:ascii="Arial" w:hAnsi="Arial"/>
      <w:i/>
    </w:rPr>
  </w:style>
  <w:style w:type="paragraph" w:styleId="Heading9">
    <w:name w:val="heading 9"/>
    <w:basedOn w:val="Normal"/>
    <w:next w:val="Normal"/>
    <w:qFormat/>
    <w:pPr>
      <w:widowControl w:val="0"/>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NumberTabs">
    <w:name w:val="AMNumberTabs"/>
    <w:basedOn w:val="Normal"/>
    <w:qFormat/>
    <w:rsid w:val="005A4D26"/>
    <w:pPr>
      <w:widowControl w:val="0"/>
      <w:tabs>
        <w:tab w:val="left" w:pos="879"/>
        <w:tab w:val="left" w:pos="936"/>
        <w:tab w:val="left" w:pos="1021"/>
        <w:tab w:val="left" w:pos="1077"/>
        <w:tab w:val="left" w:pos="1134"/>
        <w:tab w:val="left" w:pos="1191"/>
        <w:tab w:val="left" w:pos="1247"/>
        <w:tab w:val="left" w:pos="1304"/>
        <w:tab w:val="left" w:pos="1361"/>
        <w:tab w:val="left" w:pos="1418"/>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Arial14CentreBold">
    <w:name w:val="Arial14CentreBold"/>
    <w:basedOn w:val="Normal"/>
    <w:qFormat/>
    <w:rsid w:val="00D2194B"/>
    <w:pPr>
      <w:widowControl w:val="0"/>
      <w:jc w:val="center"/>
    </w:pPr>
    <w:rPr>
      <w:rFonts w:ascii="Arial" w:hAnsi="Arial" w:cs="Arial"/>
      <w:b/>
      <w:sz w:val="28"/>
      <w:szCs w:val="28"/>
    </w:rPr>
  </w:style>
  <w:style w:type="character" w:customStyle="1" w:styleId="Bold">
    <w:name w:val="Bold"/>
    <w:uiPriority w:val="1"/>
    <w:qFormat/>
    <w:rsid w:val="00A862BD"/>
    <w:rPr>
      <w:rFonts w:ascii="Times New Roman" w:hAnsi="Times New Roman"/>
      <w:b/>
      <w:sz w:val="24"/>
    </w:rPr>
  </w:style>
  <w:style w:type="character" w:customStyle="1" w:styleId="BoldItalic">
    <w:name w:val="BoldItalic"/>
    <w:uiPriority w:val="1"/>
    <w:qFormat/>
    <w:rsid w:val="009D060D"/>
    <w:rPr>
      <w:rFonts w:ascii="Times New Roman" w:hAnsi="Times New Roman"/>
      <w:b/>
      <w:i/>
      <w:sz w:val="24"/>
    </w:rPr>
  </w:style>
  <w:style w:type="character" w:customStyle="1" w:styleId="BoldItalicUnderline">
    <w:name w:val="BoldItalicUnderline"/>
    <w:uiPriority w:val="1"/>
    <w:qFormat/>
    <w:rsid w:val="00A862BD"/>
    <w:rPr>
      <w:rFonts w:ascii="Times New Roman" w:hAnsi="Times New Roman"/>
      <w:b/>
      <w:i/>
      <w:sz w:val="24"/>
      <w:u w:val="single"/>
    </w:rPr>
  </w:style>
  <w:style w:type="character" w:customStyle="1" w:styleId="BoldUnderline">
    <w:name w:val="BoldUnderline"/>
    <w:uiPriority w:val="1"/>
    <w:qFormat/>
    <w:rsid w:val="00A862BD"/>
    <w:rPr>
      <w:rFonts w:ascii="Times New Roman" w:hAnsi="Times New Roman"/>
      <w:b/>
      <w:sz w:val="24"/>
      <w:u w:val="single"/>
    </w:rPr>
  </w:style>
  <w:style w:type="paragraph" w:customStyle="1" w:styleId="ColumnHeading">
    <w:name w:val="ColumnHeading"/>
    <w:basedOn w:val="Normal"/>
    <w:qFormat/>
    <w:rsid w:val="005A4D26"/>
    <w:pPr>
      <w:widowControl w:val="0"/>
      <w:spacing w:after="240"/>
      <w:jc w:val="center"/>
    </w:pPr>
    <w:rPr>
      <w:i/>
    </w:rPr>
  </w:style>
  <w:style w:type="paragraph" w:customStyle="1" w:styleId="Cover12">
    <w:name w:val="Cover12"/>
    <w:basedOn w:val="Normal"/>
    <w:pPr>
      <w:widowControl w:val="0"/>
      <w:ind w:left="1418"/>
    </w:pPr>
  </w:style>
  <w:style w:type="paragraph" w:customStyle="1" w:styleId="Cover12a12b">
    <w:name w:val="Cover12a12b"/>
    <w:qFormat/>
    <w:rsid w:val="00BC101C"/>
    <w:pPr>
      <w:widowControl w:val="0"/>
      <w:spacing w:before="240" w:after="240"/>
      <w:ind w:left="1418"/>
    </w:pPr>
    <w:rPr>
      <w:sz w:val="24"/>
    </w:rPr>
  </w:style>
  <w:style w:type="paragraph" w:customStyle="1" w:styleId="Cover12b48">
    <w:name w:val="Cover12b48"/>
    <w:qFormat/>
    <w:rsid w:val="008B01CE"/>
    <w:pPr>
      <w:widowControl w:val="0"/>
      <w:spacing w:before="960"/>
      <w:ind w:left="1418"/>
    </w:pPr>
    <w:rPr>
      <w:sz w:val="24"/>
    </w:rPr>
  </w:style>
  <w:style w:type="paragraph" w:customStyle="1" w:styleId="Cover24">
    <w:name w:val="Cover24"/>
    <w:pPr>
      <w:widowControl w:val="0"/>
      <w:spacing w:after="480"/>
      <w:ind w:left="1418"/>
    </w:pPr>
    <w:rPr>
      <w:sz w:val="24"/>
    </w:rPr>
  </w:style>
  <w:style w:type="paragraph" w:customStyle="1" w:styleId="Cover24Left">
    <w:name w:val="Cover24Left"/>
    <w:qFormat/>
    <w:rsid w:val="00486438"/>
    <w:pPr>
      <w:widowControl w:val="0"/>
      <w:spacing w:after="480"/>
    </w:pPr>
    <w:rPr>
      <w:sz w:val="24"/>
    </w:rPr>
  </w:style>
  <w:style w:type="paragraph" w:customStyle="1" w:styleId="Cover24Left24Before">
    <w:name w:val="Cover24Left24Before"/>
    <w:qFormat/>
    <w:rsid w:val="006B35E2"/>
    <w:pPr>
      <w:widowControl w:val="0"/>
      <w:spacing w:before="480" w:after="480"/>
    </w:pPr>
    <w:rPr>
      <w:sz w:val="24"/>
    </w:rPr>
  </w:style>
  <w:style w:type="paragraph" w:customStyle="1" w:styleId="CoverLeftb48">
    <w:name w:val="CoverLeftb48"/>
    <w:qFormat/>
    <w:rsid w:val="008D5CDA"/>
    <w:pPr>
      <w:widowControl w:val="0"/>
      <w:spacing w:before="960"/>
    </w:pPr>
    <w:rPr>
      <w:sz w:val="24"/>
    </w:rPr>
  </w:style>
  <w:style w:type="paragraph" w:customStyle="1" w:styleId="CoverNormal">
    <w:name w:val="CoverNormal"/>
    <w:basedOn w:val="Normal"/>
    <w:pPr>
      <w:widowControl w:val="0"/>
      <w:ind w:left="1418"/>
    </w:pPr>
  </w:style>
  <w:style w:type="paragraph" w:customStyle="1" w:styleId="CoverNormalLeft">
    <w:name w:val="CoverNormalLeft"/>
    <w:qFormat/>
    <w:rsid w:val="00AB0253"/>
    <w:pPr>
      <w:widowControl w:val="0"/>
    </w:pPr>
    <w:rPr>
      <w:sz w:val="24"/>
    </w:rPr>
  </w:style>
  <w:style w:type="character" w:customStyle="1" w:styleId="DefaultParagraphFont0">
    <w:name w:val="Default Paragraph Font_0"/>
    <w:uiPriority w:val="1"/>
    <w:semiHidden/>
    <w:unhideWhenUsed/>
  </w:style>
  <w:style w:type="paragraph" w:customStyle="1" w:styleId="EPLogo">
    <w:name w:val="EPLogo"/>
    <w:basedOn w:val="Normal"/>
    <w:qFormat/>
    <w:rsid w:val="002544DF"/>
    <w:pPr>
      <w:widowControl w:val="0"/>
      <w:jc w:val="right"/>
    </w:pPr>
  </w:style>
  <w:style w:type="paragraph" w:customStyle="1" w:styleId="EPName">
    <w:name w:val="EPName"/>
    <w:basedOn w:val="Normal"/>
    <w:rsid w:val="002544DF"/>
    <w:pPr>
      <w:widowControl w:val="0"/>
      <w:spacing w:before="80" w:after="80"/>
    </w:pPr>
    <w:rPr>
      <w:rFonts w:ascii="Arial Narrow" w:hAnsi="Arial Narrow" w:cs="Arial"/>
      <w:b/>
      <w:color w:val="000000"/>
      <w:sz w:val="32"/>
      <w:szCs w:val="22"/>
    </w:rPr>
  </w:style>
  <w:style w:type="paragraph" w:customStyle="1" w:styleId="EPTerm">
    <w:name w:val="EPTerm"/>
    <w:basedOn w:val="Normal"/>
    <w:next w:val="Normal"/>
    <w:rsid w:val="002544DF"/>
    <w:pPr>
      <w:widowControl w:val="0"/>
      <w:spacing w:after="80"/>
    </w:pPr>
    <w:rPr>
      <w:rFonts w:ascii="Arial" w:hAnsi="Arial" w:cs="Arial"/>
      <w:sz w:val="20"/>
      <w:szCs w:val="22"/>
    </w:rPr>
  </w:style>
  <w:style w:type="paragraph" w:styleId="Footer">
    <w:name w:val="footer"/>
    <w:pPr>
      <w:widowControl w:val="0"/>
      <w:tabs>
        <w:tab w:val="center" w:pos="4535"/>
        <w:tab w:val="right" w:pos="9071"/>
      </w:tabs>
      <w:spacing w:before="240" w:after="240"/>
    </w:pPr>
    <w:rPr>
      <w:sz w:val="22"/>
    </w:rPr>
  </w:style>
  <w:style w:type="paragraph" w:customStyle="1" w:styleId="Footer2">
    <w:name w:val="Footer2"/>
    <w:basedOn w:val="Normal"/>
    <w:link w:val="Footer2Char"/>
    <w:rsid w:val="008A733D"/>
    <w:pPr>
      <w:tabs>
        <w:tab w:val="right" w:pos="9921"/>
      </w:tabs>
      <w:spacing w:after="240"/>
      <w:ind w:left="-850" w:right="-850"/>
    </w:pPr>
    <w:rPr>
      <w:rFonts w:ascii="Arial" w:hAnsi="Arial" w:cs="Arial"/>
      <w:b/>
      <w:sz w:val="48"/>
      <w:szCs w:val="20"/>
    </w:rPr>
  </w:style>
  <w:style w:type="character" w:customStyle="1" w:styleId="Footer2Char">
    <w:name w:val="Footer2 Char"/>
    <w:basedOn w:val="DefaultParagraphFont"/>
    <w:link w:val="Footer2"/>
    <w:rsid w:val="008A733D"/>
    <w:rPr>
      <w:rFonts w:ascii="Arial" w:hAnsi="Arial" w:cs="Arial"/>
      <w:b/>
      <w:sz w:val="48"/>
    </w:rPr>
  </w:style>
  <w:style w:type="character" w:customStyle="1" w:styleId="Footer2Char0">
    <w:name w:val="Footer2 Char_0"/>
    <w:basedOn w:val="DefaultParagraphFont"/>
    <w:link w:val="Footer20"/>
    <w:rsid w:val="008A733D"/>
    <w:rPr>
      <w:rFonts w:ascii="Arial" w:hAnsi="Arial" w:cs="Arial"/>
      <w:sz w:val="48"/>
    </w:rPr>
  </w:style>
  <w:style w:type="paragraph" w:customStyle="1" w:styleId="Footer20">
    <w:name w:val="Footer2_0"/>
    <w:basedOn w:val="Normal"/>
    <w:link w:val="Footer2Char0"/>
    <w:rsid w:val="008A733D"/>
    <w:pPr>
      <w:tabs>
        <w:tab w:val="center" w:pos="4536"/>
        <w:tab w:val="right" w:pos="9923"/>
      </w:tabs>
      <w:spacing w:after="240"/>
      <w:ind w:left="-850" w:right="-850"/>
    </w:pPr>
    <w:rPr>
      <w:rFonts w:ascii="Arial" w:hAnsi="Arial" w:cs="Arial"/>
      <w:sz w:val="48"/>
    </w:rPr>
  </w:style>
  <w:style w:type="paragraph" w:customStyle="1" w:styleId="Footer2Landscape">
    <w:name w:val="Footer2Landscape"/>
    <w:qFormat/>
    <w:rsid w:val="005C06C9"/>
    <w:pPr>
      <w:tabs>
        <w:tab w:val="right" w:pos="6804"/>
        <w:tab w:val="right" w:pos="13608"/>
      </w:tabs>
      <w:spacing w:after="240"/>
      <w:ind w:left="-850" w:right="-850"/>
    </w:pPr>
    <w:rPr>
      <w:rFonts w:ascii="Arial" w:hAnsi="Arial" w:cs="Arial"/>
      <w:sz w:val="48"/>
    </w:rPr>
  </w:style>
  <w:style w:type="character" w:customStyle="1" w:styleId="Footer2Lang">
    <w:name w:val="Footer2Lang"/>
    <w:uiPriority w:val="1"/>
    <w:rsid w:val="008A733D"/>
    <w:rPr>
      <w:rFonts w:ascii="Arial" w:hAnsi="Arial"/>
      <w:b/>
      <w:sz w:val="48"/>
    </w:rPr>
  </w:style>
  <w:style w:type="character" w:customStyle="1" w:styleId="Footer2Middle">
    <w:name w:val="Footer2Middle"/>
    <w:uiPriority w:val="1"/>
    <w:rsid w:val="00F52B5C"/>
    <w:rPr>
      <w:rFonts w:ascii="Arial" w:hAnsi="Arial"/>
      <w:b w:val="0"/>
      <w:i/>
      <w:color w:val="AEAAAA"/>
      <w:sz w:val="22"/>
    </w:rPr>
  </w:style>
  <w:style w:type="paragraph" w:customStyle="1" w:styleId="FooterLandscape">
    <w:name w:val="FooterLandscape"/>
    <w:qFormat/>
    <w:rsid w:val="005C06C9"/>
    <w:pPr>
      <w:widowControl w:val="0"/>
      <w:tabs>
        <w:tab w:val="right" w:pos="6804"/>
        <w:tab w:val="right" w:pos="13608"/>
      </w:tabs>
      <w:spacing w:before="240" w:after="240"/>
    </w:pPr>
    <w:rPr>
      <w:sz w:val="22"/>
    </w:rPr>
  </w:style>
  <w:style w:type="character" w:styleId="FootnoteReference">
    <w:name w:val="footnote reference"/>
    <w:basedOn w:val="DefaultParagraphFont"/>
    <w:rsid w:val="00426821"/>
    <w:rPr>
      <w:rFonts w:ascii="Times New Roman" w:hAnsi="Times New Roman"/>
      <w:sz w:val="24"/>
      <w:vertAlign w:val="superscript"/>
    </w:rPr>
  </w:style>
  <w:style w:type="paragraph" w:styleId="FootnoteText">
    <w:name w:val="footnote text"/>
    <w:basedOn w:val="Normal"/>
    <w:link w:val="FootnoteTextChar"/>
    <w:rsid w:val="00B05BDF"/>
    <w:pPr>
      <w:keepLines/>
      <w:jc w:val="both"/>
    </w:pPr>
    <w:rPr>
      <w:sz w:val="20"/>
    </w:rPr>
  </w:style>
  <w:style w:type="character" w:customStyle="1" w:styleId="FootnoteTextChar">
    <w:name w:val="Footnote Text Char"/>
    <w:basedOn w:val="DefaultParagraphFont"/>
    <w:link w:val="FootnoteText"/>
    <w:rsid w:val="00B05BDF"/>
  </w:style>
  <w:style w:type="character" w:customStyle="1" w:styleId="FootnoteTextChar0">
    <w:name w:val="Footnote Text Char_0"/>
    <w:basedOn w:val="DefaultParagraphFont"/>
    <w:link w:val="FootnoteText0"/>
    <w:rsid w:val="00B05BDF"/>
  </w:style>
  <w:style w:type="paragraph" w:customStyle="1" w:styleId="FootnoteText0">
    <w:name w:val="Footnote Text_0"/>
    <w:basedOn w:val="Normal"/>
    <w:link w:val="FootnoteTextChar0"/>
    <w:rsid w:val="00B05BDF"/>
    <w:pPr>
      <w:keepLines/>
      <w:jc w:val="both"/>
    </w:pPr>
    <w:rPr>
      <w:sz w:val="20"/>
    </w:rPr>
  </w:style>
  <w:style w:type="paragraph" w:styleId="Header">
    <w:name w:val="header"/>
    <w:basedOn w:val="Normal"/>
    <w:pPr>
      <w:widowControl w:val="0"/>
      <w:tabs>
        <w:tab w:val="center" w:pos="4153"/>
        <w:tab w:val="right" w:pos="8306"/>
      </w:tabs>
    </w:pPr>
  </w:style>
  <w:style w:type="character" w:customStyle="1" w:styleId="HideTWBExt">
    <w:name w:val="HideTWBExt"/>
    <w:rPr>
      <w:rFonts w:ascii="Arial" w:hAnsi="Arial"/>
      <w:noProof/>
      <w:vanish/>
      <w:color w:val="000080"/>
      <w:sz w:val="20"/>
    </w:rPr>
  </w:style>
  <w:style w:type="character" w:customStyle="1" w:styleId="HideTWBInt">
    <w:name w:val="HideTWBInt"/>
    <w:rPr>
      <w:vanish/>
      <w:color w:val="808080"/>
    </w:rPr>
  </w:style>
  <w:style w:type="character" w:customStyle="1" w:styleId="Italic">
    <w:name w:val="Italic"/>
    <w:uiPriority w:val="1"/>
    <w:qFormat/>
    <w:rsid w:val="00281018"/>
    <w:rPr>
      <w:rFonts w:ascii="Times New Roman" w:hAnsi="Times New Roman"/>
      <w:i/>
      <w:sz w:val="24"/>
    </w:rPr>
  </w:style>
  <w:style w:type="character" w:customStyle="1" w:styleId="ItalicUnderline">
    <w:name w:val="ItalicUnderline"/>
    <w:uiPriority w:val="1"/>
    <w:qFormat/>
    <w:rsid w:val="00A862BD"/>
    <w:rPr>
      <w:rFonts w:ascii="Times New Roman" w:hAnsi="Times New Roman"/>
      <w:i/>
      <w:sz w:val="24"/>
      <w:u w:val="single"/>
    </w:rPr>
  </w:style>
  <w:style w:type="paragraph" w:customStyle="1" w:styleId="JustificationTitle">
    <w:name w:val="JustificationTitle"/>
    <w:basedOn w:val="Normal"/>
    <w:qFormat/>
    <w:rsid w:val="00CC4CB2"/>
    <w:pPr>
      <w:keepNext/>
      <w:widowControl w:val="0"/>
      <w:spacing w:before="240"/>
      <w:jc w:val="center"/>
    </w:pPr>
    <w:rPr>
      <w:i/>
    </w:rPr>
  </w:style>
  <w:style w:type="paragraph" w:customStyle="1" w:styleId="LegendSign">
    <w:name w:val="LegendSign"/>
    <w:basedOn w:val="Normal"/>
    <w:qFormat/>
    <w:rsid w:val="00EE62FD"/>
    <w:pPr>
      <w:widowControl w:val="0"/>
      <w:tabs>
        <w:tab w:val="right" w:pos="454"/>
        <w:tab w:val="left" w:pos="737"/>
      </w:tabs>
      <w:ind w:left="737" w:hanging="737"/>
    </w:pPr>
    <w:rPr>
      <w:sz w:val="18"/>
    </w:rPr>
  </w:style>
  <w:style w:type="paragraph" w:customStyle="1" w:styleId="LegendStandard">
    <w:name w:val="LegendStandard"/>
    <w:qFormat/>
    <w:rsid w:val="009F7E34"/>
    <w:pPr>
      <w:widowControl w:val="0"/>
      <w:tabs>
        <w:tab w:val="right" w:pos="454"/>
        <w:tab w:val="left" w:pos="737"/>
      </w:tabs>
    </w:pPr>
    <w:rPr>
      <w:sz w:val="18"/>
    </w:rPr>
  </w:style>
  <w:style w:type="character" w:customStyle="1" w:styleId="LegendStandardBold">
    <w:name w:val="LegendStandardBold"/>
    <w:uiPriority w:val="1"/>
    <w:qFormat/>
    <w:rsid w:val="009D060D"/>
    <w:rPr>
      <w:rFonts w:ascii="Times New Roman" w:hAnsi="Times New Roman"/>
      <w:b/>
      <w:i w:val="0"/>
      <w:sz w:val="18"/>
      <w:u w:val="none"/>
    </w:rPr>
  </w:style>
  <w:style w:type="character" w:customStyle="1" w:styleId="LegendStandardBoldItalic">
    <w:name w:val="LegendStandardBoldItalic"/>
    <w:uiPriority w:val="1"/>
    <w:qFormat/>
    <w:rsid w:val="009D060D"/>
    <w:rPr>
      <w:rFonts w:ascii="Times New Roman" w:hAnsi="Times New Roman"/>
      <w:b/>
      <w:i/>
      <w:sz w:val="18"/>
    </w:rPr>
  </w:style>
  <w:style w:type="character" w:customStyle="1" w:styleId="LegendStandardBoldItalicUnderline">
    <w:name w:val="LegendStandardBoldItalicUnderline"/>
    <w:uiPriority w:val="1"/>
    <w:qFormat/>
    <w:rsid w:val="009D060D"/>
    <w:rPr>
      <w:rFonts w:ascii="Times New Roman" w:hAnsi="Times New Roman"/>
      <w:b/>
      <w:i/>
      <w:sz w:val="18"/>
      <w:u w:val="single"/>
    </w:rPr>
  </w:style>
  <w:style w:type="character" w:customStyle="1" w:styleId="LegendStandardBoldUnderline">
    <w:name w:val="LegendStandardBoldUnderline"/>
    <w:uiPriority w:val="1"/>
    <w:qFormat/>
    <w:rsid w:val="009D060D"/>
    <w:rPr>
      <w:rFonts w:ascii="Times New Roman" w:hAnsi="Times New Roman"/>
      <w:b/>
      <w:i w:val="0"/>
      <w:sz w:val="18"/>
      <w:u w:val="single"/>
    </w:rPr>
  </w:style>
  <w:style w:type="character" w:customStyle="1" w:styleId="LegendStandardItalic">
    <w:name w:val="LegendStandardItalic"/>
    <w:uiPriority w:val="1"/>
    <w:qFormat/>
    <w:rsid w:val="009D060D"/>
    <w:rPr>
      <w:rFonts w:ascii="Times New Roman" w:hAnsi="Times New Roman"/>
      <w:b w:val="0"/>
      <w:i/>
      <w:sz w:val="18"/>
      <w:u w:val="none"/>
    </w:rPr>
  </w:style>
  <w:style w:type="character" w:customStyle="1" w:styleId="LegendStandardItalicUnderline">
    <w:name w:val="LegendStandardItalicUnderline"/>
    <w:uiPriority w:val="1"/>
    <w:qFormat/>
    <w:rsid w:val="009D060D"/>
    <w:rPr>
      <w:rFonts w:ascii="Times New Roman" w:hAnsi="Times New Roman"/>
      <w:b w:val="0"/>
      <w:i/>
      <w:sz w:val="18"/>
      <w:u w:val="single"/>
    </w:rPr>
  </w:style>
  <w:style w:type="character" w:customStyle="1" w:styleId="LegendStandardUnderline">
    <w:name w:val="LegendStandardUnderline"/>
    <w:uiPriority w:val="1"/>
    <w:qFormat/>
    <w:rsid w:val="009D060D"/>
    <w:rPr>
      <w:rFonts w:ascii="Times New Roman" w:hAnsi="Times New Roman"/>
      <w:b w:val="0"/>
      <w:i w:val="0"/>
      <w:sz w:val="18"/>
      <w:u w:val="single"/>
    </w:rPr>
  </w:style>
  <w:style w:type="paragraph" w:customStyle="1" w:styleId="LegendTitle">
    <w:name w:val="LegendTitle"/>
    <w:basedOn w:val="Normal"/>
    <w:qFormat/>
    <w:rsid w:val="003A3743"/>
    <w:pPr>
      <w:widowControl w:val="0"/>
      <w:spacing w:before="240" w:after="240"/>
    </w:pPr>
    <w:rPr>
      <w:b/>
      <w:i/>
    </w:rPr>
  </w:style>
  <w:style w:type="paragraph" w:customStyle="1" w:styleId="LineBottom">
    <w:name w:val="LineBottom"/>
    <w:basedOn w:val="Normal"/>
    <w:next w:val="Normal"/>
    <w:rsid w:val="00634B8A"/>
    <w:pPr>
      <w:widowControl w:val="0"/>
      <w:pBdr>
        <w:bottom w:val="single" w:sz="4" w:space="1" w:color="auto"/>
      </w:pBdr>
      <w:spacing w:after="1080"/>
      <w:jc w:val="center"/>
    </w:pPr>
    <w:rPr>
      <w:rFonts w:ascii="Arial" w:hAnsi="Arial"/>
      <w:sz w:val="16"/>
      <w:szCs w:val="16"/>
    </w:rPr>
  </w:style>
  <w:style w:type="paragraph" w:customStyle="1" w:styleId="LineTop">
    <w:name w:val="LineTop"/>
    <w:basedOn w:val="Normal"/>
    <w:rsid w:val="00E3537C"/>
    <w:pPr>
      <w:widowControl w:val="0"/>
      <w:pBdr>
        <w:top w:val="single" w:sz="4" w:space="1" w:color="auto"/>
      </w:pBdr>
      <w:jc w:val="center"/>
    </w:pPr>
    <w:rPr>
      <w:rFonts w:ascii="Arial" w:hAnsi="Arial"/>
      <w:sz w:val="16"/>
      <w:szCs w:val="16"/>
    </w:rPr>
  </w:style>
  <w:style w:type="numbering" w:customStyle="1" w:styleId="NoList0">
    <w:name w:val="No List_0"/>
    <w:next w:val="NoList"/>
    <w:uiPriority w:val="99"/>
    <w:semiHidden/>
    <w:unhideWhenUsed/>
  </w:style>
  <w:style w:type="paragraph" w:customStyle="1" w:styleId="Normal0">
    <w:name w:val="Normal_0"/>
    <w:next w:val="Normal"/>
    <w:qFormat/>
    <w:rsid w:val="009D060D"/>
    <w:pPr>
      <w:widowControl w:val="0"/>
    </w:pPr>
    <w:rPr>
      <w:sz w:val="24"/>
    </w:rPr>
  </w:style>
  <w:style w:type="paragraph" w:customStyle="1" w:styleId="Normal10">
    <w:name w:val="Normal10"/>
    <w:basedOn w:val="Normal"/>
    <w:qFormat/>
    <w:rsid w:val="00BB2E45"/>
    <w:pPr>
      <w:widowControl w:val="0"/>
    </w:pPr>
    <w:rPr>
      <w:sz w:val="20"/>
    </w:rPr>
  </w:style>
  <w:style w:type="paragraph" w:customStyle="1" w:styleId="Normal10Bold">
    <w:name w:val="Normal10Bold"/>
    <w:qFormat/>
    <w:rsid w:val="005170C4"/>
    <w:pPr>
      <w:widowControl w:val="0"/>
    </w:pPr>
    <w:rPr>
      <w:b/>
    </w:rPr>
  </w:style>
  <w:style w:type="paragraph" w:customStyle="1" w:styleId="Normal11Centered">
    <w:name w:val="Normal11Centered"/>
    <w:basedOn w:val="Normal"/>
    <w:qFormat/>
    <w:rsid w:val="0040390B"/>
    <w:pPr>
      <w:widowControl w:val="0"/>
      <w:jc w:val="center"/>
    </w:pPr>
    <w:rPr>
      <w:sz w:val="22"/>
    </w:rPr>
  </w:style>
  <w:style w:type="paragraph" w:customStyle="1" w:styleId="Normal12">
    <w:name w:val="Normal12"/>
    <w:basedOn w:val="Normal"/>
    <w:qFormat/>
    <w:rsid w:val="00EE2ED1"/>
    <w:pPr>
      <w:widowControl w:val="0"/>
      <w:spacing w:after="240"/>
    </w:pPr>
  </w:style>
  <w:style w:type="paragraph" w:customStyle="1" w:styleId="Normal12Bold">
    <w:name w:val="Normal12Bold"/>
    <w:qFormat/>
    <w:rsid w:val="0042418B"/>
    <w:pPr>
      <w:widowControl w:val="0"/>
      <w:spacing w:after="240"/>
    </w:pPr>
    <w:rPr>
      <w:b/>
      <w:sz w:val="24"/>
    </w:rPr>
  </w:style>
  <w:style w:type="paragraph" w:customStyle="1" w:styleId="Normal12BoldItalic">
    <w:name w:val="Normal12BoldItalic"/>
    <w:qFormat/>
    <w:rsid w:val="00E27217"/>
    <w:pPr>
      <w:widowControl w:val="0"/>
    </w:pPr>
    <w:rPr>
      <w:b/>
      <w:i/>
      <w:sz w:val="24"/>
    </w:rPr>
  </w:style>
  <w:style w:type="paragraph" w:customStyle="1" w:styleId="Normal12BoldUnderline">
    <w:name w:val="Normal12BoldUnderline"/>
    <w:qFormat/>
    <w:rsid w:val="004B2602"/>
    <w:pPr>
      <w:widowControl w:val="0"/>
    </w:pPr>
    <w:rPr>
      <w:b/>
      <w:sz w:val="24"/>
      <w:u w:val="single"/>
    </w:rPr>
  </w:style>
  <w:style w:type="paragraph" w:customStyle="1" w:styleId="Normal12BoldUnderlineA">
    <w:name w:val="Normal12BoldUnderlineA"/>
    <w:qFormat/>
    <w:rsid w:val="00F9573B"/>
    <w:pPr>
      <w:widowControl w:val="0"/>
      <w:spacing w:after="240"/>
    </w:pPr>
    <w:rPr>
      <w:b/>
      <w:sz w:val="24"/>
      <w:u w:val="single"/>
    </w:rPr>
  </w:style>
  <w:style w:type="paragraph" w:customStyle="1" w:styleId="Normal12BoldVote">
    <w:name w:val="Normal12BoldVote"/>
    <w:rsid w:val="00CC6391"/>
    <w:pPr>
      <w:widowControl w:val="0"/>
    </w:pPr>
    <w:rPr>
      <w:b/>
      <w:sz w:val="24"/>
    </w:rPr>
  </w:style>
  <w:style w:type="paragraph" w:customStyle="1" w:styleId="Normal12Bullet1">
    <w:name w:val="Normal12Bullet1"/>
    <w:qFormat/>
    <w:rsid w:val="00DC5385"/>
    <w:pPr>
      <w:numPr>
        <w:numId w:val="1"/>
      </w:numPr>
      <w:spacing w:after="240"/>
    </w:pPr>
    <w:rPr>
      <w:sz w:val="24"/>
    </w:rPr>
  </w:style>
  <w:style w:type="paragraph" w:customStyle="1" w:styleId="Normal12Bullet2">
    <w:name w:val="Normal12Bullet2"/>
    <w:qFormat/>
    <w:rsid w:val="00DC5385"/>
    <w:pPr>
      <w:widowControl w:val="0"/>
      <w:numPr>
        <w:numId w:val="2"/>
      </w:numPr>
      <w:spacing w:after="240"/>
    </w:pPr>
    <w:rPr>
      <w:sz w:val="24"/>
    </w:rPr>
  </w:style>
  <w:style w:type="paragraph" w:customStyle="1" w:styleId="Normal12Centre">
    <w:name w:val="Normal12Centre"/>
    <w:pPr>
      <w:widowControl w:val="0"/>
      <w:spacing w:after="240"/>
      <w:jc w:val="center"/>
    </w:pPr>
    <w:rPr>
      <w:sz w:val="24"/>
    </w:rPr>
  </w:style>
  <w:style w:type="paragraph" w:customStyle="1" w:styleId="Normal12Hanging">
    <w:name w:val="Normal12Hanging"/>
    <w:rsid w:val="00391ABD"/>
    <w:pPr>
      <w:widowControl w:val="0"/>
      <w:spacing w:after="240"/>
      <w:ind w:left="567" w:hanging="567"/>
    </w:pPr>
    <w:rPr>
      <w:sz w:val="24"/>
    </w:rPr>
  </w:style>
  <w:style w:type="paragraph" w:customStyle="1" w:styleId="Normal12Hanging0">
    <w:name w:val="Normal12Hanging0"/>
    <w:qFormat/>
    <w:rsid w:val="004D2BFC"/>
    <w:pPr>
      <w:widowControl w:val="0"/>
      <w:spacing w:after="240"/>
      <w:ind w:left="567" w:hanging="567"/>
    </w:pPr>
    <w:rPr>
      <w:sz w:val="24"/>
    </w:rPr>
  </w:style>
  <w:style w:type="paragraph" w:customStyle="1" w:styleId="Normal12Hanging1">
    <w:name w:val="Normal12Hanging1"/>
    <w:qFormat/>
    <w:rsid w:val="004D2BFC"/>
    <w:pPr>
      <w:widowControl w:val="0"/>
      <w:spacing w:after="240"/>
      <w:ind w:left="992" w:hanging="425"/>
    </w:pPr>
    <w:rPr>
      <w:sz w:val="24"/>
    </w:rPr>
  </w:style>
  <w:style w:type="paragraph" w:customStyle="1" w:styleId="Normal12Hanging2">
    <w:name w:val="Normal12Hanging2"/>
    <w:qFormat/>
    <w:rsid w:val="004D2BFC"/>
    <w:pPr>
      <w:widowControl w:val="0"/>
      <w:spacing w:after="240"/>
      <w:ind w:left="1417" w:hanging="425"/>
    </w:pPr>
    <w:rPr>
      <w:sz w:val="24"/>
    </w:rPr>
  </w:style>
  <w:style w:type="paragraph" w:customStyle="1" w:styleId="Normal12Hanging3">
    <w:name w:val="Normal12Hanging3"/>
    <w:qFormat/>
    <w:rsid w:val="004D2BFC"/>
    <w:pPr>
      <w:widowControl w:val="0"/>
      <w:spacing w:after="240"/>
      <w:ind w:left="1843" w:hanging="425"/>
    </w:pPr>
    <w:rPr>
      <w:sz w:val="24"/>
    </w:rPr>
  </w:style>
  <w:style w:type="paragraph" w:customStyle="1" w:styleId="Normal12Hanging4">
    <w:name w:val="Normal12Hanging4"/>
    <w:qFormat/>
    <w:rsid w:val="004D2BFC"/>
    <w:pPr>
      <w:widowControl w:val="0"/>
      <w:spacing w:after="240"/>
      <w:ind w:left="2268" w:hanging="425"/>
    </w:pPr>
    <w:rPr>
      <w:sz w:val="24"/>
    </w:rPr>
  </w:style>
  <w:style w:type="paragraph" w:customStyle="1" w:styleId="Normal12Hanging5">
    <w:name w:val="Normal12Hanging5"/>
    <w:qFormat/>
    <w:rsid w:val="004D2BFC"/>
    <w:pPr>
      <w:widowControl w:val="0"/>
      <w:spacing w:after="240"/>
      <w:ind w:left="2693" w:hanging="425"/>
    </w:pPr>
    <w:rPr>
      <w:sz w:val="24"/>
    </w:rPr>
  </w:style>
  <w:style w:type="paragraph" w:customStyle="1" w:styleId="Normal12Hanging6">
    <w:name w:val="Normal12Hanging6"/>
    <w:qFormat/>
    <w:rsid w:val="004D2BFC"/>
    <w:pPr>
      <w:widowControl w:val="0"/>
      <w:spacing w:after="240"/>
      <w:ind w:left="3118" w:hanging="425"/>
    </w:pPr>
    <w:rPr>
      <w:sz w:val="24"/>
    </w:rPr>
  </w:style>
  <w:style w:type="paragraph" w:customStyle="1" w:styleId="Normal12Hanging7">
    <w:name w:val="Normal12Hanging7"/>
    <w:qFormat/>
    <w:rsid w:val="004D2BFC"/>
    <w:pPr>
      <w:widowControl w:val="0"/>
      <w:spacing w:after="240"/>
      <w:ind w:left="3544" w:hanging="425"/>
    </w:pPr>
    <w:rPr>
      <w:sz w:val="24"/>
    </w:rPr>
  </w:style>
  <w:style w:type="paragraph" w:customStyle="1" w:styleId="Normal12HangingJustified">
    <w:name w:val="Normal12HangingJustified"/>
    <w:qFormat/>
    <w:rsid w:val="00D267AD"/>
    <w:pPr>
      <w:widowControl w:val="0"/>
      <w:spacing w:after="240"/>
      <w:ind w:left="714" w:hanging="357"/>
      <w:jc w:val="both"/>
    </w:pPr>
    <w:rPr>
      <w:sz w:val="24"/>
    </w:rPr>
  </w:style>
  <w:style w:type="paragraph" w:customStyle="1" w:styleId="Normal12Italic">
    <w:name w:val="Normal12Italic"/>
    <w:qFormat/>
    <w:rsid w:val="007D2B98"/>
    <w:pPr>
      <w:widowControl w:val="0"/>
      <w:spacing w:before="240"/>
    </w:pPr>
    <w:rPr>
      <w:sz w:val="24"/>
    </w:rPr>
  </w:style>
  <w:style w:type="paragraph" w:customStyle="1" w:styleId="Normal12ItalicAfter12">
    <w:name w:val="Normal12ItalicAfter12"/>
    <w:qFormat/>
    <w:rsid w:val="00A403F7"/>
    <w:pPr>
      <w:widowControl w:val="0"/>
      <w:spacing w:after="240"/>
    </w:pPr>
    <w:rPr>
      <w:i/>
      <w:sz w:val="24"/>
    </w:rPr>
  </w:style>
  <w:style w:type="paragraph" w:customStyle="1" w:styleId="Normal12ItalicCenter">
    <w:name w:val="Normal12ItalicCenter"/>
    <w:qFormat/>
    <w:rsid w:val="00E340EF"/>
    <w:pPr>
      <w:widowControl w:val="0"/>
      <w:jc w:val="center"/>
    </w:pPr>
    <w:rPr>
      <w:i/>
      <w:sz w:val="24"/>
    </w:rPr>
  </w:style>
  <w:style w:type="paragraph" w:customStyle="1" w:styleId="Normal12Keep">
    <w:name w:val="Normal12Keep"/>
    <w:pPr>
      <w:keepNext/>
      <w:widowControl w:val="0"/>
      <w:spacing w:after="240"/>
    </w:pPr>
    <w:rPr>
      <w:sz w:val="24"/>
    </w:rPr>
  </w:style>
  <w:style w:type="paragraph" w:customStyle="1" w:styleId="Normal12Tab">
    <w:name w:val="Normal12Tab"/>
    <w:rsid w:val="003E6413"/>
    <w:pPr>
      <w:widowControl w:val="0"/>
      <w:tabs>
        <w:tab w:val="left" w:pos="567"/>
      </w:tabs>
      <w:spacing w:after="240"/>
    </w:pPr>
    <w:rPr>
      <w:sz w:val="24"/>
    </w:rPr>
  </w:style>
  <w:style w:type="paragraph" w:customStyle="1" w:styleId="Normal12Underline">
    <w:name w:val="Normal12Underline"/>
    <w:qFormat/>
    <w:rsid w:val="00270FA6"/>
    <w:pPr>
      <w:widowControl w:val="0"/>
      <w:spacing w:after="240"/>
    </w:pPr>
    <w:rPr>
      <w:sz w:val="24"/>
      <w:u w:val="single"/>
    </w:rPr>
  </w:style>
  <w:style w:type="paragraph" w:customStyle="1" w:styleId="Normal12a12b">
    <w:name w:val="Normal12a12b"/>
    <w:basedOn w:val="Normal"/>
    <w:pPr>
      <w:widowControl w:val="0"/>
      <w:spacing w:before="240" w:after="240"/>
    </w:pPr>
  </w:style>
  <w:style w:type="paragraph" w:customStyle="1" w:styleId="Normal12b">
    <w:name w:val="Normal12b"/>
    <w:basedOn w:val="Normal"/>
    <w:qFormat/>
    <w:rsid w:val="008E3E2F"/>
    <w:pPr>
      <w:widowControl w:val="0"/>
      <w:spacing w:before="240"/>
    </w:pPr>
  </w:style>
  <w:style w:type="paragraph" w:customStyle="1" w:styleId="Normal12b6a6Justified">
    <w:name w:val="Normal12b6a6Justified"/>
    <w:qFormat/>
    <w:rsid w:val="003C240E"/>
    <w:pPr>
      <w:widowControl w:val="0"/>
      <w:spacing w:before="120" w:after="120"/>
      <w:jc w:val="both"/>
    </w:pPr>
    <w:rPr>
      <w:sz w:val="24"/>
    </w:rPr>
  </w:style>
  <w:style w:type="paragraph" w:customStyle="1" w:styleId="Normal24">
    <w:name w:val="Normal24"/>
    <w:basedOn w:val="Normal"/>
    <w:pPr>
      <w:widowControl w:val="0"/>
      <w:spacing w:after="480"/>
    </w:pPr>
  </w:style>
  <w:style w:type="paragraph" w:customStyle="1" w:styleId="Normal6">
    <w:name w:val="Normal6"/>
    <w:basedOn w:val="Normal"/>
    <w:qFormat/>
    <w:rsid w:val="005300D3"/>
    <w:pPr>
      <w:widowControl w:val="0"/>
      <w:spacing w:after="120"/>
    </w:pPr>
  </w:style>
  <w:style w:type="paragraph" w:customStyle="1" w:styleId="Normal6Center">
    <w:name w:val="Normal6 + Center"/>
    <w:qFormat/>
    <w:rsid w:val="005A4D26"/>
    <w:pPr>
      <w:spacing w:after="120"/>
    </w:pPr>
    <w:rPr>
      <w:b/>
      <w:i/>
      <w:sz w:val="24"/>
    </w:rPr>
  </w:style>
  <w:style w:type="paragraph" w:customStyle="1" w:styleId="Normal6Italic">
    <w:name w:val="Normal6Italic"/>
    <w:basedOn w:val="Normal"/>
    <w:qFormat/>
    <w:rsid w:val="005A4D26"/>
    <w:pPr>
      <w:widowControl w:val="0"/>
      <w:spacing w:after="120"/>
    </w:pPr>
    <w:rPr>
      <w:i/>
    </w:rPr>
  </w:style>
  <w:style w:type="character" w:customStyle="1" w:styleId="Normal6RomanBI">
    <w:name w:val="Normal6RomanBI"/>
    <w:uiPriority w:val="1"/>
    <w:qFormat/>
    <w:rsid w:val="00346524"/>
    <w:rPr>
      <w:rFonts w:ascii="Times New Roman" w:hAnsi="Times New Roman"/>
      <w:b/>
      <w:i/>
      <w:sz w:val="24"/>
    </w:rPr>
  </w:style>
  <w:style w:type="paragraph" w:customStyle="1" w:styleId="NormalBold">
    <w:name w:val="NormalBold"/>
    <w:basedOn w:val="Normal"/>
    <w:pPr>
      <w:widowControl w:val="0"/>
    </w:pPr>
    <w:rPr>
      <w:b/>
    </w:rPr>
  </w:style>
  <w:style w:type="paragraph" w:customStyle="1" w:styleId="NormalBoldItalicCentre">
    <w:name w:val="NormalBoldItalic_Centre"/>
    <w:basedOn w:val="Normal"/>
    <w:qFormat/>
    <w:rsid w:val="001F2707"/>
    <w:pPr>
      <w:widowControl w:val="0"/>
      <w:jc w:val="center"/>
    </w:pPr>
    <w:rPr>
      <w:b/>
      <w:i/>
    </w:rPr>
  </w:style>
  <w:style w:type="paragraph" w:customStyle="1" w:styleId="NormalCentered">
    <w:name w:val="NormalCentered"/>
    <w:basedOn w:val="Normal"/>
    <w:qFormat/>
    <w:rsid w:val="00C26735"/>
    <w:pPr>
      <w:widowControl w:val="0"/>
      <w:jc w:val="center"/>
    </w:pPr>
  </w:style>
  <w:style w:type="paragraph" w:customStyle="1" w:styleId="Olang">
    <w:name w:val="Olang"/>
    <w:rsid w:val="00FA3C62"/>
    <w:pPr>
      <w:spacing w:before="240" w:after="240"/>
      <w:jc w:val="right"/>
    </w:pPr>
    <w:rPr>
      <w:color w:val="000000"/>
      <w:sz w:val="24"/>
    </w:rPr>
  </w:style>
  <w:style w:type="paragraph" w:customStyle="1" w:styleId="PageHeading">
    <w:name w:val="PageHeading"/>
    <w:pPr>
      <w:keepNext/>
      <w:widowControl w:val="0"/>
      <w:spacing w:before="240" w:after="240"/>
      <w:jc w:val="center"/>
    </w:pPr>
    <w:rPr>
      <w:rFonts w:ascii="Arial" w:hAnsi="Arial"/>
      <w:b/>
      <w:sz w:val="24"/>
    </w:rPr>
  </w:style>
  <w:style w:type="paragraph" w:customStyle="1" w:styleId="PageHeadingNotTOC">
    <w:name w:val="PageHeadingNotTOC"/>
    <w:rsid w:val="007112B3"/>
    <w:pPr>
      <w:keepNext/>
      <w:widowControl w:val="0"/>
      <w:spacing w:before="240" w:after="240"/>
      <w:jc w:val="center"/>
    </w:pPr>
    <w:rPr>
      <w:rFonts w:ascii="Arial" w:hAnsi="Arial"/>
      <w:b/>
      <w:sz w:val="24"/>
    </w:rPr>
  </w:style>
  <w:style w:type="paragraph" w:customStyle="1" w:styleId="RefProc">
    <w:name w:val="RefProc"/>
    <w:basedOn w:val="Normal"/>
    <w:rsid w:val="00FF6897"/>
    <w:pPr>
      <w:widowControl w:val="0"/>
      <w:spacing w:before="240" w:after="240"/>
      <w:jc w:val="right"/>
    </w:pPr>
    <w:rPr>
      <w:rFonts w:ascii="Arial Bold" w:hAnsi="Arial Bold"/>
      <w:b/>
    </w:rPr>
  </w:style>
  <w:style w:type="paragraph" w:customStyle="1" w:styleId="StarsAndIs">
    <w:name w:val="StarsAndIs"/>
    <w:basedOn w:val="Normal"/>
    <w:qFormat/>
    <w:rsid w:val="003B51B0"/>
    <w:pPr>
      <w:widowControl w:val="0"/>
      <w:ind w:left="1418"/>
    </w:pPr>
    <w:rPr>
      <w:rFonts w:ascii="Arial" w:hAnsi="Arial"/>
      <w:b/>
      <w:sz w:val="48"/>
    </w:rPr>
  </w:style>
  <w:style w:type="character" w:customStyle="1" w:styleId="Sub">
    <w:name w:val="Sub"/>
    <w:uiPriority w:val="1"/>
    <w:qFormat/>
    <w:rsid w:val="00225521"/>
    <w:rPr>
      <w:rFonts w:ascii="Times New Roman" w:hAnsi="Times New Roman"/>
      <w:sz w:val="24"/>
      <w:vertAlign w:val="subscript"/>
    </w:rPr>
  </w:style>
  <w:style w:type="character" w:customStyle="1" w:styleId="SubBold">
    <w:name w:val="SubBold"/>
    <w:uiPriority w:val="1"/>
    <w:qFormat/>
    <w:rsid w:val="00EC53DD"/>
    <w:rPr>
      <w:b/>
      <w:vertAlign w:val="subscript"/>
    </w:rPr>
  </w:style>
  <w:style w:type="character" w:customStyle="1" w:styleId="SubBoldItalic">
    <w:name w:val="SubBoldItalic"/>
    <w:uiPriority w:val="1"/>
    <w:qFormat/>
    <w:rsid w:val="00EC53DD"/>
    <w:rPr>
      <w:b/>
      <w:i/>
      <w:vertAlign w:val="subscript"/>
    </w:rPr>
  </w:style>
  <w:style w:type="character" w:customStyle="1" w:styleId="SubItalic">
    <w:name w:val="SubItalic"/>
    <w:uiPriority w:val="1"/>
    <w:qFormat/>
    <w:rsid w:val="00EC53DD"/>
    <w:rPr>
      <w:b/>
      <w:i/>
      <w:vertAlign w:val="subscript"/>
    </w:rPr>
  </w:style>
  <w:style w:type="character" w:customStyle="1" w:styleId="Sup">
    <w:name w:val="Sup"/>
    <w:uiPriority w:val="1"/>
    <w:qFormat/>
    <w:rsid w:val="00225521"/>
    <w:rPr>
      <w:rFonts w:ascii="Times New Roman" w:hAnsi="Times New Roman"/>
      <w:sz w:val="24"/>
      <w:vertAlign w:val="superscript"/>
    </w:rPr>
  </w:style>
  <w:style w:type="character" w:customStyle="1" w:styleId="SupBoldItalic">
    <w:name w:val="SupBoldItalic"/>
    <w:uiPriority w:val="1"/>
    <w:qFormat/>
    <w:rsid w:val="001725E4"/>
    <w:rPr>
      <w:b/>
      <w:i/>
      <w:vertAlign w:val="superscript"/>
    </w:rPr>
  </w:style>
  <w:style w:type="paragraph" w:styleId="TOC1">
    <w:name w:val="toc 1"/>
    <w:next w:val="Normal"/>
    <w:autoRedefine/>
    <w:uiPriority w:val="39"/>
    <w:rsid w:val="002B019F"/>
    <w:pPr>
      <w:widowControl w:val="0"/>
      <w:spacing w:after="240"/>
    </w:pPr>
    <w:rPr>
      <w:sz w:val="24"/>
    </w:rPr>
  </w:style>
  <w:style w:type="paragraph" w:styleId="TOCHeading">
    <w:name w:val="TOC Heading"/>
    <w:basedOn w:val="Normal"/>
    <w:next w:val="Normal"/>
    <w:qFormat/>
    <w:rsid w:val="0071532B"/>
    <w:pPr>
      <w:keepNext/>
      <w:widowControl w:val="0"/>
      <w:spacing w:before="240" w:after="240"/>
      <w:jc w:val="center"/>
    </w:pPr>
    <w:rPr>
      <w:rFonts w:ascii="Arial" w:hAnsi="Arial"/>
      <w:b/>
    </w:rPr>
  </w:style>
  <w:style w:type="paragraph" w:customStyle="1" w:styleId="TOCPage">
    <w:name w:val="TOC Page"/>
    <w:basedOn w:val="Normal"/>
    <w:rsid w:val="008F6ECA"/>
    <w:pPr>
      <w:keepNext/>
      <w:widowControl w:val="0"/>
      <w:spacing w:after="240"/>
      <w:jc w:val="right"/>
    </w:pPr>
    <w:rPr>
      <w:rFonts w:ascii="Arial" w:hAnsi="Arial"/>
      <w:b/>
    </w:r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style>
  <w:style w:type="paragraph" w:customStyle="1" w:styleId="TableofEntries">
    <w:name w:val="Table of Entries"/>
    <w:basedOn w:val="Normal"/>
    <w:pPr>
      <w:tabs>
        <w:tab w:val="right" w:leader="dot" w:pos="9072"/>
      </w:tabs>
      <w:jc w:val="both"/>
    </w:pPr>
  </w:style>
  <w:style w:type="paragraph" w:customStyle="1" w:styleId="TypeDoc">
    <w:name w:val="TypeDoc"/>
    <w:pPr>
      <w:widowControl w:val="0"/>
      <w:spacing w:after="480"/>
      <w:ind w:left="1418"/>
    </w:pPr>
    <w:rPr>
      <w:rFonts w:ascii="Arial" w:hAnsi="Arial"/>
      <w:b/>
      <w:sz w:val="48"/>
    </w:rPr>
  </w:style>
  <w:style w:type="character" w:customStyle="1" w:styleId="Underline">
    <w:name w:val="Underline"/>
    <w:uiPriority w:val="1"/>
    <w:qFormat/>
    <w:rsid w:val="005C6055"/>
    <w:rPr>
      <w:rFonts w:ascii="Times New Roman" w:hAnsi="Times New Roman"/>
      <w:sz w:val="24"/>
      <w:u w:val="single"/>
    </w:rPr>
  </w:style>
  <w:style w:type="paragraph" w:customStyle="1" w:styleId="ZCommittee">
    <w:name w:val="ZCommittee"/>
    <w:basedOn w:val="Normal"/>
    <w:next w:val="Normal"/>
    <w:rsid w:val="00E3537C"/>
    <w:pPr>
      <w:widowControl w:val="0"/>
      <w:jc w:val="center"/>
    </w:pPr>
    <w:rPr>
      <w:rFonts w:ascii="Arial" w:hAnsi="Arial" w:cs="Arial"/>
      <w:i/>
      <w:sz w:val="22"/>
      <w:szCs w:val="22"/>
    </w:rPr>
  </w:style>
  <w:style w:type="paragraph" w:customStyle="1" w:styleId="ZDate">
    <w:name w:val="ZDate"/>
    <w:basedOn w:val="Normal"/>
    <w:pPr>
      <w:widowControl w:val="0"/>
      <w:spacing w:after="1200"/>
    </w:pPr>
  </w:style>
  <w:style w:type="paragraph" w:customStyle="1" w:styleId="ZDateAfter24">
    <w:name w:val="ZDateAfter24"/>
    <w:qFormat/>
    <w:rsid w:val="004D7F8B"/>
    <w:pPr>
      <w:widowControl w:val="0"/>
      <w:spacing w:after="48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creator>e-Parliament@europarl.europa.eu</dc:creator>
  <cp:lastModifiedBy>SOSTARIC Manca</cp:lastModifiedBy>
  <cp:revision>2</cp:revision>
  <dcterms:created xsi:type="dcterms:W3CDTF">2018-10-16T14:37:00Z</dcterms:created>
  <dcterms:modified xsi:type="dcterms:W3CDTF">2018-10-16T14:37:00Z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1164884</vt:lpwstr>
  </property>
  <property fmtid="{D5CDD505-2E9C-101B-9397-08002B2CF9AE}" pid="3" name="&lt;Model&gt;">
    <vt:lpwstr>PR_INI</vt:lpwstr>
  </property>
  <property fmtid="{D5CDD505-2E9C-101B-9397-08002B2CF9AE}" pid="4" name="&lt;Type&gt;">
    <vt:lpwstr>PR</vt:lpwstr>
  </property>
  <property fmtid="{D5CDD505-2E9C-101B-9397-08002B2CF9AE}" pid="5" name="DMXMLUID">
    <vt:lpwstr>20181009-101426-112157-514771</vt:lpwstr>
  </property>
  <property fmtid="{D5CDD505-2E9C-101B-9397-08002B2CF9AE}" pid="6" name="FooterPath">
    <vt:lpwstr>PR\1164884SL.docx</vt:lpwstr>
  </property>
  <property fmtid="{D5CDD505-2E9C-101B-9397-08002B2CF9AE}" pid="7" name="PE Number">
    <vt:lpwstr>628.570</vt:lpwstr>
  </property>
  <property fmtid="{D5CDD505-2E9C-101B-9397-08002B2CF9AE}" pid="8" name="UID">
    <vt:lpwstr>eu.europa.europarl-DIN1-2018-0000105987_01.00-en-01.02_text-xml</vt:lpwstr>
  </property>
  <property fmtid="{D5CDD505-2E9C-101B-9397-08002B2CF9AE}" pid="9" name="SDLStudio">
    <vt:lpwstr/>
  </property>
  <property fmtid="{D5CDD505-2E9C-101B-9397-08002B2CF9AE}" pid="10" name="&lt;Extension&gt;">
    <vt:lpwstr>SL</vt:lpwstr>
  </property>
  <property fmtid="{D5CDD505-2E9C-101B-9397-08002B2CF9AE}" pid="11" name="Bookout">
    <vt:lpwstr>OK - 2018/10/16 16:37</vt:lpwstr>
  </property>
  <property fmtid="{D5CDD505-2E9C-101B-9397-08002B2CF9AE}" pid="12" name="LastEdited with">
    <vt:lpwstr>9.5.0 Build [20181001]</vt:lpwstr>
  </property>
  <property fmtid="{D5CDD505-2E9C-101B-9397-08002B2CF9AE}" pid="13" name="SubscribeElise">
    <vt:lpwstr/>
  </property>
</Properties>
</file>