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772F77" w:rsidTr="00481807">
        <w:trPr>
          <w:trHeight w:hRule="exact" w:val="1418"/>
        </w:trPr>
        <w:tc>
          <w:tcPr>
            <w:tcW w:w="6804" w:type="dxa"/>
            <w:shd w:val="clear" w:color="auto" w:fill="auto"/>
            <w:vAlign w:val="center"/>
          </w:tcPr>
          <w:p w:rsidR="00DF0DC8" w:rsidRPr="00772F77" w:rsidRDefault="002B215C" w:rsidP="00481807">
            <w:pPr>
              <w:pStyle w:val="EPName"/>
            </w:pPr>
            <w:r w:rsidRPr="00772F77">
              <w:t>Europaparlamentet</w:t>
            </w:r>
          </w:p>
          <w:p w:rsidR="00DF0DC8" w:rsidRPr="00772F77" w:rsidRDefault="00462D0B" w:rsidP="00462D0B">
            <w:pPr>
              <w:pStyle w:val="EPTerm"/>
              <w:rPr>
                <w:rStyle w:val="HideTWBExt"/>
                <w:noProof w:val="0"/>
                <w:vanish w:val="0"/>
                <w:color w:val="auto"/>
              </w:rPr>
            </w:pPr>
            <w:r w:rsidRPr="00772F77">
              <w:t>2019–2024</w:t>
            </w:r>
          </w:p>
        </w:tc>
        <w:tc>
          <w:tcPr>
            <w:tcW w:w="2268" w:type="dxa"/>
            <w:shd w:val="clear" w:color="auto" w:fill="auto"/>
          </w:tcPr>
          <w:p w:rsidR="00DF0DC8" w:rsidRPr="00772F77" w:rsidRDefault="007B0C9D" w:rsidP="00481807">
            <w:pPr>
              <w:pStyle w:val="EPLogo"/>
            </w:pPr>
            <w:r w:rsidRPr="00772F77">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772F77" w:rsidRDefault="00F64B87" w:rsidP="00F64B87">
      <w:pPr>
        <w:pStyle w:val="LineTop"/>
      </w:pPr>
    </w:p>
    <w:p w:rsidR="00F64B87" w:rsidRPr="00772F77" w:rsidRDefault="00F64B87" w:rsidP="00F64B87">
      <w:pPr>
        <w:pStyle w:val="EPBody"/>
      </w:pPr>
      <w:r w:rsidRPr="00772F77">
        <w:rPr>
          <w:rStyle w:val="HideTWBExt"/>
          <w:noProof w:val="0"/>
        </w:rPr>
        <w:t>&lt;</w:t>
      </w:r>
      <w:r w:rsidRPr="00772F77">
        <w:rPr>
          <w:rStyle w:val="HideTWBExt"/>
          <w:i w:val="0"/>
          <w:noProof w:val="0"/>
        </w:rPr>
        <w:t>Commission&gt;</w:t>
      </w:r>
      <w:r w:rsidRPr="00772F77">
        <w:rPr>
          <w:rStyle w:val="HideTWBInt"/>
        </w:rPr>
        <w:t>{EMPL}</w:t>
      </w:r>
      <w:r w:rsidRPr="00772F77">
        <w:t>Utskottet för sysselsättning och sociala frågor</w:t>
      </w:r>
      <w:r w:rsidRPr="00772F77">
        <w:rPr>
          <w:rStyle w:val="HideTWBExt"/>
          <w:noProof w:val="0"/>
        </w:rPr>
        <w:t>&lt;/</w:t>
      </w:r>
      <w:r w:rsidRPr="00772F77">
        <w:rPr>
          <w:rStyle w:val="HideTWBExt"/>
          <w:i w:val="0"/>
          <w:noProof w:val="0"/>
        </w:rPr>
        <w:t>Commission</w:t>
      </w:r>
      <w:r w:rsidRPr="00772F77">
        <w:rPr>
          <w:rStyle w:val="HideTWBExt"/>
          <w:noProof w:val="0"/>
        </w:rPr>
        <w:t>&gt;</w:t>
      </w:r>
    </w:p>
    <w:p w:rsidR="001173AC" w:rsidRPr="00772F77" w:rsidRDefault="001173AC" w:rsidP="001173AC">
      <w:pPr>
        <w:pStyle w:val="LineBottom"/>
      </w:pPr>
    </w:p>
    <w:p w:rsidR="00EA74BF" w:rsidRPr="00772F77" w:rsidRDefault="00FB60DF" w:rsidP="001173AC">
      <w:pPr>
        <w:pStyle w:val="HeadingReferenceOJPV"/>
      </w:pPr>
      <w:r w:rsidRPr="00772F77">
        <w:t>EMPL_PV(2019)1112_1</w:t>
      </w:r>
    </w:p>
    <w:p w:rsidR="00EA74BF" w:rsidRPr="00772F77" w:rsidRDefault="002B215C" w:rsidP="001173AC">
      <w:pPr>
        <w:pStyle w:val="HeadingDocType24a"/>
      </w:pPr>
      <w:r w:rsidRPr="00772F77">
        <w:t>PROTOKOLL</w:t>
      </w:r>
    </w:p>
    <w:p w:rsidR="00EA74BF" w:rsidRPr="00772F77" w:rsidRDefault="002B215C" w:rsidP="001173AC">
      <w:pPr>
        <w:pStyle w:val="HeadingCenter12a"/>
      </w:pPr>
      <w:r w:rsidRPr="00772F77">
        <w:t>från sammanträdet den 12 november 2019 kl. 15.45–18.30</w:t>
      </w:r>
    </w:p>
    <w:p w:rsidR="00EA74BF" w:rsidRPr="00772F77" w:rsidRDefault="00462D0B" w:rsidP="001173AC">
      <w:pPr>
        <w:pStyle w:val="HeadingCenter12a"/>
      </w:pPr>
      <w:r w:rsidRPr="00772F77">
        <w:t>BRYSSEL</w:t>
      </w:r>
    </w:p>
    <w:p w:rsidR="00EA74BF" w:rsidRPr="00772F77" w:rsidRDefault="002B215C" w:rsidP="001173AC">
      <w:pPr>
        <w:pStyle w:val="MeetingIntro"/>
      </w:pPr>
      <w:r w:rsidRPr="00772F77">
        <w:t>Sammanträdet öppnades tisdagen den 12 november 201</w:t>
      </w:r>
      <w:r w:rsidR="00977D6C">
        <w:t>9 kl. 15.53 med utskottets vice </w:t>
      </w:r>
      <w:r w:rsidRPr="00772F77">
        <w:t>ordförande, Katrin Langensiepen, som ordförande.</w:t>
      </w:r>
    </w:p>
    <w:p w:rsidR="008D720A" w:rsidRPr="00772F77" w:rsidRDefault="008D720A" w:rsidP="00977D6C">
      <w:pPr>
        <w:spacing w:before="240"/>
        <w:ind w:left="567" w:hanging="567"/>
      </w:pPr>
      <w:r w:rsidRPr="00772F77">
        <w:rPr>
          <w:b/>
          <w:bCs/>
        </w:rPr>
        <w:t>1.</w:t>
      </w:r>
      <w:r w:rsidRPr="00772F77">
        <w:tab/>
      </w:r>
      <w:r w:rsidRPr="00772F77">
        <w:rPr>
          <w:b/>
          <w:bCs/>
        </w:rPr>
        <w:t>Godkännande av föredragningslistan</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8D720A" w:rsidRPr="00772F77" w:rsidTr="008D720A">
        <w:trPr>
          <w:cantSplit/>
          <w:jc w:val="right"/>
        </w:trPr>
        <w:tc>
          <w:tcPr>
            <w:tcW w:w="1440" w:type="dxa"/>
            <w:tcBorders>
              <w:top w:val="nil"/>
              <w:left w:val="nil"/>
              <w:bottom w:val="nil"/>
              <w:right w:val="nil"/>
            </w:tcBorders>
            <w:shd w:val="clear" w:color="auto" w:fill="FFFFFF"/>
            <w:hideMark/>
          </w:tcPr>
          <w:p w:rsidR="008D720A" w:rsidRPr="00772F77" w:rsidRDefault="008D720A">
            <w:pPr>
              <w:spacing w:before="120" w:after="240" w:line="256" w:lineRule="auto"/>
            </w:pPr>
            <w:r w:rsidRPr="00772F77">
              <w:rPr>
                <w:b/>
                <w:bCs/>
              </w:rPr>
              <w:t>Beslut:</w:t>
            </w:r>
          </w:p>
        </w:tc>
        <w:tc>
          <w:tcPr>
            <w:tcW w:w="7101" w:type="dxa"/>
            <w:tcBorders>
              <w:top w:val="nil"/>
              <w:left w:val="nil"/>
              <w:bottom w:val="nil"/>
              <w:right w:val="nil"/>
            </w:tcBorders>
            <w:shd w:val="clear" w:color="auto" w:fill="FFFFFF"/>
            <w:hideMark/>
          </w:tcPr>
          <w:p w:rsidR="008D720A" w:rsidRPr="00772F77" w:rsidRDefault="008D720A">
            <w:pPr>
              <w:spacing w:before="120" w:after="240" w:line="256" w:lineRule="auto"/>
            </w:pPr>
            <w:r w:rsidRPr="00772F77">
              <w:t>Förslaget till föredragningslista godkändes i den form som framgår av detta protokoll.</w:t>
            </w:r>
          </w:p>
        </w:tc>
      </w:tr>
    </w:tbl>
    <w:p w:rsidR="008D720A" w:rsidRPr="00772F77" w:rsidRDefault="008D720A" w:rsidP="00977D6C">
      <w:pPr>
        <w:spacing w:before="240" w:after="240"/>
        <w:ind w:left="567" w:hanging="567"/>
        <w:rPr>
          <w:b/>
          <w:bCs/>
        </w:rPr>
      </w:pPr>
      <w:r w:rsidRPr="00772F77">
        <w:rPr>
          <w:b/>
          <w:bCs/>
        </w:rPr>
        <w:t>2.</w:t>
      </w:r>
      <w:r w:rsidRPr="00772F77">
        <w:tab/>
      </w:r>
      <w:r w:rsidRPr="00772F77">
        <w:rPr>
          <w:b/>
          <w:bCs/>
        </w:rPr>
        <w:t>Meddelanden från ordföranden</w:t>
      </w:r>
    </w:p>
    <w:p w:rsidR="00310CCF" w:rsidRPr="00772F77" w:rsidRDefault="00310CCF" w:rsidP="00310CCF">
      <w:pPr>
        <w:spacing w:before="60"/>
        <w:ind w:left="357" w:firstLine="348"/>
        <w:rPr>
          <w:snapToGrid/>
        </w:rPr>
      </w:pPr>
      <w:r w:rsidRPr="00772F77">
        <w:rPr>
          <w:b/>
        </w:rPr>
        <w:t>Tolkning</w:t>
      </w:r>
    </w:p>
    <w:p w:rsidR="00310CCF" w:rsidRPr="00772F77" w:rsidRDefault="00310CCF" w:rsidP="00310CCF">
      <w:pPr>
        <w:spacing w:before="60"/>
        <w:ind w:left="357" w:firstLine="348"/>
        <w:rPr>
          <w:i/>
        </w:rPr>
      </w:pPr>
      <w:r w:rsidRPr="00772F77">
        <w:t>Alla språk i enlighet med utskottets språkprofil fanns tillgängliga utom maltesiska.</w:t>
      </w:r>
    </w:p>
    <w:p w:rsidR="008D720A" w:rsidRPr="00772F77" w:rsidRDefault="008D720A" w:rsidP="00977D6C">
      <w:pPr>
        <w:spacing w:before="240"/>
        <w:ind w:left="567" w:hanging="567"/>
      </w:pPr>
      <w:r w:rsidRPr="00772F77">
        <w:tab/>
      </w:r>
      <w:r w:rsidRPr="00772F77">
        <w:rPr>
          <w:b/>
          <w:bCs/>
        </w:rPr>
        <w:t>Tillsynskrav och särskilda bestämmelser när det gäller utstationering av förare i vägtransportsektorn</w:t>
      </w:r>
    </w:p>
    <w:p w:rsidR="008D720A" w:rsidRPr="00772F77" w:rsidRDefault="008D720A" w:rsidP="008D720A">
      <w:r w:rsidRPr="00772F77">
        <w:tab/>
        <w:t>EMPL/9/01719</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874"/>
        <w:gridCol w:w="4534"/>
        <w:gridCol w:w="2567"/>
      </w:tblGrid>
      <w:tr w:rsidR="008D720A" w:rsidRPr="00772F77" w:rsidTr="00611155">
        <w:trPr>
          <w:cantSplit/>
          <w:jc w:val="right"/>
        </w:trPr>
        <w:tc>
          <w:tcPr>
            <w:tcW w:w="8540" w:type="dxa"/>
            <w:gridSpan w:val="4"/>
            <w:tcBorders>
              <w:top w:val="nil"/>
              <w:left w:val="nil"/>
              <w:bottom w:val="nil"/>
              <w:right w:val="nil"/>
            </w:tcBorders>
            <w:shd w:val="clear" w:color="auto" w:fill="FFFFFF"/>
            <w:hideMark/>
          </w:tcPr>
          <w:p w:rsidR="008D720A" w:rsidRPr="00772F77" w:rsidRDefault="008D720A">
            <w:pPr>
              <w:spacing w:line="256" w:lineRule="auto"/>
            </w:pPr>
            <w:r w:rsidRPr="00772F77">
              <w:t>Föredragande:</w:t>
            </w:r>
          </w:p>
        </w:tc>
      </w:tr>
      <w:tr w:rsidR="008D720A" w:rsidRPr="00772F77" w:rsidTr="00611155">
        <w:trPr>
          <w:cantSplit/>
          <w:jc w:val="right"/>
        </w:trPr>
        <w:tc>
          <w:tcPr>
            <w:tcW w:w="566" w:type="dxa"/>
            <w:tcBorders>
              <w:top w:val="nil"/>
              <w:left w:val="nil"/>
              <w:bottom w:val="nil"/>
              <w:right w:val="nil"/>
            </w:tcBorders>
            <w:shd w:val="clear" w:color="auto" w:fill="FFFFFF"/>
          </w:tcPr>
          <w:p w:rsidR="008D720A" w:rsidRPr="00772F77" w:rsidRDefault="008D720A">
            <w:pPr>
              <w:spacing w:line="256" w:lineRule="auto"/>
            </w:pPr>
          </w:p>
        </w:tc>
        <w:tc>
          <w:tcPr>
            <w:tcW w:w="5408" w:type="dxa"/>
            <w:gridSpan w:val="2"/>
            <w:tcBorders>
              <w:top w:val="nil"/>
              <w:left w:val="nil"/>
              <w:bottom w:val="nil"/>
              <w:right w:val="nil"/>
            </w:tcBorders>
            <w:shd w:val="clear" w:color="auto" w:fill="FFFFFF"/>
            <w:hideMark/>
          </w:tcPr>
          <w:p w:rsidR="008D720A" w:rsidRPr="00772F77" w:rsidRDefault="008D720A">
            <w:pPr>
              <w:spacing w:line="256" w:lineRule="auto"/>
            </w:pPr>
            <w:r w:rsidRPr="00772F77">
              <w:t>Radka Maxová (Renew)</w:t>
            </w:r>
          </w:p>
        </w:tc>
        <w:tc>
          <w:tcPr>
            <w:tcW w:w="2566" w:type="dxa"/>
            <w:tcBorders>
              <w:top w:val="nil"/>
              <w:left w:val="nil"/>
              <w:bottom w:val="nil"/>
              <w:right w:val="nil"/>
            </w:tcBorders>
            <w:shd w:val="clear" w:color="auto" w:fill="FFFFFF"/>
          </w:tcPr>
          <w:p w:rsidR="008D720A" w:rsidRPr="00772F77" w:rsidRDefault="008D720A">
            <w:pPr>
              <w:spacing w:line="256" w:lineRule="auto"/>
            </w:pPr>
          </w:p>
        </w:tc>
      </w:tr>
      <w:tr w:rsidR="008D720A" w:rsidRPr="00772F77" w:rsidTr="00611155">
        <w:trPr>
          <w:cantSplit/>
          <w:jc w:val="right"/>
        </w:trPr>
        <w:tc>
          <w:tcPr>
            <w:tcW w:w="1440" w:type="dxa"/>
            <w:gridSpan w:val="2"/>
            <w:tcBorders>
              <w:top w:val="nil"/>
              <w:left w:val="nil"/>
              <w:bottom w:val="nil"/>
              <w:right w:val="nil"/>
            </w:tcBorders>
            <w:shd w:val="clear" w:color="auto" w:fill="FFFFFF"/>
            <w:hideMark/>
          </w:tcPr>
          <w:p w:rsidR="008D720A" w:rsidRPr="00772F77" w:rsidRDefault="008D720A" w:rsidP="008D720A">
            <w:pPr>
              <w:spacing w:before="120" w:line="257" w:lineRule="auto"/>
            </w:pPr>
            <w:r w:rsidRPr="00772F77">
              <w:rPr>
                <w:b/>
                <w:bCs/>
              </w:rPr>
              <w:t>Beslut:</w:t>
            </w:r>
          </w:p>
        </w:tc>
        <w:tc>
          <w:tcPr>
            <w:tcW w:w="7101" w:type="dxa"/>
            <w:gridSpan w:val="2"/>
            <w:tcBorders>
              <w:top w:val="nil"/>
              <w:left w:val="nil"/>
              <w:bottom w:val="nil"/>
              <w:right w:val="nil"/>
            </w:tcBorders>
            <w:shd w:val="clear" w:color="auto" w:fill="FFFFFF"/>
            <w:hideMark/>
          </w:tcPr>
          <w:p w:rsidR="008D720A" w:rsidRPr="00772F77" w:rsidRDefault="008D720A" w:rsidP="008D720A">
            <w:pPr>
              <w:spacing w:before="120" w:line="257" w:lineRule="auto"/>
            </w:pPr>
            <w:r w:rsidRPr="00772F77">
              <w:t>Avläggande av rapport till utskottet om förhandlingarna (artikel 74.3)</w:t>
            </w:r>
          </w:p>
        </w:tc>
      </w:tr>
      <w:tr w:rsidR="008D720A" w:rsidRPr="00772F77" w:rsidTr="00611155">
        <w:trPr>
          <w:cantSplit/>
          <w:jc w:val="right"/>
        </w:trPr>
        <w:tc>
          <w:tcPr>
            <w:tcW w:w="1440" w:type="dxa"/>
            <w:gridSpan w:val="2"/>
            <w:tcBorders>
              <w:top w:val="nil"/>
              <w:left w:val="nil"/>
              <w:bottom w:val="nil"/>
              <w:right w:val="nil"/>
            </w:tcBorders>
            <w:shd w:val="clear" w:color="auto" w:fill="FFFFFF"/>
          </w:tcPr>
          <w:p w:rsidR="008D720A" w:rsidRPr="00772F77" w:rsidRDefault="008D720A">
            <w:pPr>
              <w:spacing w:before="120" w:after="240" w:line="256" w:lineRule="auto"/>
              <w:rPr>
                <w:b/>
                <w:bCs/>
              </w:rPr>
            </w:pPr>
            <w:r w:rsidRPr="00772F77">
              <w:rPr>
                <w:b/>
              </w:rPr>
              <w:t>Följande yttrade sig:</w:t>
            </w:r>
          </w:p>
        </w:tc>
        <w:tc>
          <w:tcPr>
            <w:tcW w:w="7101" w:type="dxa"/>
            <w:gridSpan w:val="2"/>
            <w:tcBorders>
              <w:top w:val="nil"/>
              <w:left w:val="nil"/>
              <w:bottom w:val="nil"/>
              <w:right w:val="nil"/>
            </w:tcBorders>
            <w:shd w:val="clear" w:color="auto" w:fill="FFFFFF"/>
          </w:tcPr>
          <w:p w:rsidR="00611155" w:rsidRPr="00772F77" w:rsidRDefault="008D720A" w:rsidP="00D747FF">
            <w:pPr>
              <w:spacing w:before="120" w:after="240" w:line="256" w:lineRule="auto"/>
            </w:pPr>
            <w:r w:rsidRPr="00772F77">
              <w:t>Katrin Langensiepen, Radka Maxová, Nikolaj Villumsen, Agnes Jongerius, Leila Chaibi</w:t>
            </w:r>
          </w:p>
        </w:tc>
      </w:tr>
    </w:tbl>
    <w:p w:rsidR="00611155" w:rsidRPr="00772F77" w:rsidRDefault="00611155" w:rsidP="008D720A">
      <w:pPr>
        <w:spacing w:before="240"/>
      </w:pPr>
    </w:p>
    <w:p w:rsidR="008D720A" w:rsidRPr="00772F77" w:rsidRDefault="008D720A" w:rsidP="00977D6C">
      <w:pPr>
        <w:spacing w:before="240"/>
        <w:ind w:left="567"/>
        <w:rPr>
          <w:color w:val="000000"/>
        </w:rPr>
      </w:pPr>
      <w:r w:rsidRPr="00772F77">
        <w:rPr>
          <w:b/>
          <w:bCs/>
        </w:rPr>
        <w:t>Ändring av förordning (EG) nr 561/2006 vad gäller minimikrav om maximal daglig körtid och körtid per vecka, minimigränser för raster och minsta dygns- och veckovila och av förordning (EU) nr 165/2014 vad gäller positionsbestämning med hjälp av färdskrivare</w:t>
      </w:r>
    </w:p>
    <w:p w:rsidR="008D720A" w:rsidRPr="00772F77" w:rsidRDefault="008D720A" w:rsidP="008D720A">
      <w:r w:rsidRPr="00772F77">
        <w:tab/>
        <w:t>EMPL/9/01718</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874"/>
        <w:gridCol w:w="4534"/>
        <w:gridCol w:w="2567"/>
      </w:tblGrid>
      <w:tr w:rsidR="008D720A" w:rsidRPr="00772F77" w:rsidTr="00611155">
        <w:trPr>
          <w:cantSplit/>
          <w:jc w:val="right"/>
        </w:trPr>
        <w:tc>
          <w:tcPr>
            <w:tcW w:w="8540" w:type="dxa"/>
            <w:gridSpan w:val="4"/>
            <w:tcBorders>
              <w:top w:val="nil"/>
              <w:left w:val="nil"/>
              <w:bottom w:val="nil"/>
              <w:right w:val="nil"/>
            </w:tcBorders>
            <w:shd w:val="clear" w:color="auto" w:fill="FFFFFF"/>
            <w:hideMark/>
          </w:tcPr>
          <w:p w:rsidR="008D720A" w:rsidRPr="00772F77" w:rsidRDefault="008D720A">
            <w:pPr>
              <w:spacing w:line="256" w:lineRule="auto"/>
            </w:pPr>
            <w:r w:rsidRPr="00772F77">
              <w:t>Föredragande:</w:t>
            </w:r>
          </w:p>
        </w:tc>
      </w:tr>
      <w:tr w:rsidR="008D720A" w:rsidRPr="00772F77" w:rsidTr="00611155">
        <w:trPr>
          <w:cantSplit/>
          <w:jc w:val="right"/>
        </w:trPr>
        <w:tc>
          <w:tcPr>
            <w:tcW w:w="566" w:type="dxa"/>
            <w:tcBorders>
              <w:top w:val="nil"/>
              <w:left w:val="nil"/>
              <w:bottom w:val="nil"/>
              <w:right w:val="nil"/>
            </w:tcBorders>
            <w:shd w:val="clear" w:color="auto" w:fill="FFFFFF"/>
          </w:tcPr>
          <w:p w:rsidR="008D720A" w:rsidRPr="00772F77" w:rsidRDefault="008D720A">
            <w:pPr>
              <w:spacing w:line="256" w:lineRule="auto"/>
            </w:pPr>
          </w:p>
        </w:tc>
        <w:tc>
          <w:tcPr>
            <w:tcW w:w="5408" w:type="dxa"/>
            <w:gridSpan w:val="2"/>
            <w:tcBorders>
              <w:top w:val="nil"/>
              <w:left w:val="nil"/>
              <w:bottom w:val="nil"/>
              <w:right w:val="nil"/>
            </w:tcBorders>
            <w:shd w:val="clear" w:color="auto" w:fill="FFFFFF"/>
            <w:hideMark/>
          </w:tcPr>
          <w:p w:rsidR="008D720A" w:rsidRPr="00772F77" w:rsidRDefault="008D720A">
            <w:pPr>
              <w:spacing w:line="256" w:lineRule="auto"/>
            </w:pPr>
            <w:r w:rsidRPr="00772F77">
              <w:t>Dennis Radtke (PPE)</w:t>
            </w:r>
          </w:p>
        </w:tc>
        <w:tc>
          <w:tcPr>
            <w:tcW w:w="2566" w:type="dxa"/>
            <w:tcBorders>
              <w:top w:val="nil"/>
              <w:left w:val="nil"/>
              <w:bottom w:val="nil"/>
              <w:right w:val="nil"/>
            </w:tcBorders>
            <w:shd w:val="clear" w:color="auto" w:fill="FFFFFF"/>
          </w:tcPr>
          <w:p w:rsidR="008D720A" w:rsidRPr="00772F77" w:rsidRDefault="008D720A">
            <w:pPr>
              <w:spacing w:line="256" w:lineRule="auto"/>
            </w:pPr>
          </w:p>
        </w:tc>
      </w:tr>
      <w:tr w:rsidR="008D720A" w:rsidRPr="00772F77" w:rsidTr="00611155">
        <w:trPr>
          <w:cantSplit/>
          <w:jc w:val="right"/>
        </w:trPr>
        <w:tc>
          <w:tcPr>
            <w:tcW w:w="1440" w:type="dxa"/>
            <w:gridSpan w:val="2"/>
            <w:tcBorders>
              <w:top w:val="nil"/>
              <w:left w:val="nil"/>
              <w:bottom w:val="nil"/>
              <w:right w:val="nil"/>
            </w:tcBorders>
            <w:shd w:val="clear" w:color="auto" w:fill="FFFFFF"/>
            <w:hideMark/>
          </w:tcPr>
          <w:p w:rsidR="008D720A" w:rsidRPr="00772F77" w:rsidRDefault="008D720A" w:rsidP="00D747FF">
            <w:pPr>
              <w:spacing w:before="120" w:line="257" w:lineRule="auto"/>
            </w:pPr>
            <w:r w:rsidRPr="00772F77">
              <w:rPr>
                <w:b/>
                <w:bCs/>
              </w:rPr>
              <w:t>Beslut:</w:t>
            </w:r>
          </w:p>
        </w:tc>
        <w:tc>
          <w:tcPr>
            <w:tcW w:w="7101" w:type="dxa"/>
            <w:gridSpan w:val="2"/>
            <w:tcBorders>
              <w:top w:val="nil"/>
              <w:left w:val="nil"/>
              <w:bottom w:val="nil"/>
              <w:right w:val="nil"/>
            </w:tcBorders>
            <w:shd w:val="clear" w:color="auto" w:fill="FFFFFF"/>
            <w:hideMark/>
          </w:tcPr>
          <w:p w:rsidR="008D720A" w:rsidRPr="00772F77" w:rsidRDefault="008D720A" w:rsidP="00D747FF">
            <w:pPr>
              <w:spacing w:before="120" w:line="257" w:lineRule="auto"/>
            </w:pPr>
            <w:r w:rsidRPr="00772F77">
              <w:t>Avläggande av rapport till utskottet om förhandlingarna (artikel 74.3)</w:t>
            </w:r>
          </w:p>
        </w:tc>
      </w:tr>
      <w:tr w:rsidR="00D747FF" w:rsidRPr="00772F77" w:rsidTr="00611155">
        <w:trPr>
          <w:cantSplit/>
          <w:jc w:val="right"/>
        </w:trPr>
        <w:tc>
          <w:tcPr>
            <w:tcW w:w="1440" w:type="dxa"/>
            <w:gridSpan w:val="2"/>
            <w:tcBorders>
              <w:top w:val="nil"/>
              <w:left w:val="nil"/>
              <w:bottom w:val="nil"/>
              <w:right w:val="nil"/>
            </w:tcBorders>
            <w:shd w:val="clear" w:color="auto" w:fill="FFFFFF"/>
          </w:tcPr>
          <w:p w:rsidR="00D747FF" w:rsidRPr="00772F77" w:rsidRDefault="00D747FF">
            <w:pPr>
              <w:spacing w:before="120" w:after="240" w:line="256" w:lineRule="auto"/>
              <w:rPr>
                <w:b/>
                <w:bCs/>
              </w:rPr>
            </w:pPr>
            <w:r w:rsidRPr="00772F77">
              <w:rPr>
                <w:b/>
              </w:rPr>
              <w:t>Följande yttrade sig:</w:t>
            </w:r>
          </w:p>
        </w:tc>
        <w:tc>
          <w:tcPr>
            <w:tcW w:w="7101" w:type="dxa"/>
            <w:gridSpan w:val="2"/>
            <w:tcBorders>
              <w:top w:val="nil"/>
              <w:left w:val="nil"/>
              <w:bottom w:val="nil"/>
              <w:right w:val="nil"/>
            </w:tcBorders>
            <w:shd w:val="clear" w:color="auto" w:fill="FFFFFF"/>
          </w:tcPr>
          <w:p w:rsidR="00D747FF" w:rsidRPr="00772F77" w:rsidRDefault="00D747FF">
            <w:pPr>
              <w:spacing w:before="120" w:after="240" w:line="256" w:lineRule="auto"/>
            </w:pPr>
            <w:r w:rsidRPr="00772F77">
              <w:t>Katrin Langensiepen, Dennis Radtke, Agnes Jongerius, Marianne Vind, Anne Sander</w:t>
            </w:r>
          </w:p>
        </w:tc>
      </w:tr>
    </w:tbl>
    <w:p w:rsidR="008D720A" w:rsidRPr="00772F77" w:rsidRDefault="008D720A" w:rsidP="00977D6C">
      <w:pPr>
        <w:ind w:left="709" w:hanging="709"/>
        <w:rPr>
          <w:color w:val="000000"/>
        </w:rPr>
      </w:pPr>
      <w:r w:rsidRPr="00772F77">
        <w:rPr>
          <w:b/>
          <w:bCs/>
        </w:rPr>
        <w:t>3.</w:t>
      </w:r>
      <w:r w:rsidRPr="00772F77">
        <w:tab/>
      </w:r>
      <w:r w:rsidRPr="00772F77">
        <w:rPr>
          <w:b/>
          <w:bCs/>
        </w:rPr>
        <w:t>Justering av sammanträdesprotokoll</w:t>
      </w:r>
    </w:p>
    <w:p w:rsidR="008D720A" w:rsidRPr="00772F77" w:rsidRDefault="004E5720" w:rsidP="004E5720">
      <w:pPr>
        <w:tabs>
          <w:tab w:val="left" w:pos="1100"/>
          <w:tab w:val="right" w:pos="9200"/>
        </w:tabs>
        <w:autoSpaceDE w:val="0"/>
        <w:autoSpaceDN w:val="0"/>
        <w:adjustRightInd w:val="0"/>
        <w:ind w:left="1100" w:hanging="400"/>
      </w:pPr>
      <w:r w:rsidRPr="00772F77">
        <w:rPr>
          <w:rFonts w:ascii="Symbol" w:hAnsi="Symbol"/>
        </w:rPr>
        <w:t></w:t>
      </w:r>
      <w:r w:rsidRPr="00772F77">
        <w:rPr>
          <w:rFonts w:ascii="Symbol" w:hAnsi="Symbol"/>
        </w:rPr>
        <w:tab/>
      </w:r>
      <w:r w:rsidRPr="00772F77">
        <w:t>5 november 2019</w:t>
      </w:r>
      <w:r w:rsidRPr="00772F77">
        <w:tab/>
        <w:t>PV – PE643.070v01-00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8D720A" w:rsidRPr="00772F77" w:rsidTr="008D720A">
        <w:trPr>
          <w:cantSplit/>
          <w:jc w:val="right"/>
        </w:trPr>
        <w:tc>
          <w:tcPr>
            <w:tcW w:w="1440" w:type="dxa"/>
            <w:tcBorders>
              <w:top w:val="nil"/>
              <w:left w:val="nil"/>
              <w:bottom w:val="nil"/>
              <w:right w:val="nil"/>
            </w:tcBorders>
            <w:shd w:val="clear" w:color="auto" w:fill="FFFFFF"/>
            <w:hideMark/>
          </w:tcPr>
          <w:p w:rsidR="008D720A" w:rsidRPr="00772F77" w:rsidRDefault="008D720A">
            <w:pPr>
              <w:spacing w:before="120" w:after="240" w:line="256" w:lineRule="auto"/>
            </w:pPr>
            <w:r w:rsidRPr="00772F77">
              <w:rPr>
                <w:b/>
                <w:bCs/>
              </w:rPr>
              <w:t>Beslut:</w:t>
            </w:r>
          </w:p>
        </w:tc>
        <w:tc>
          <w:tcPr>
            <w:tcW w:w="7101" w:type="dxa"/>
            <w:tcBorders>
              <w:top w:val="nil"/>
              <w:left w:val="nil"/>
              <w:bottom w:val="nil"/>
              <w:right w:val="nil"/>
            </w:tcBorders>
            <w:shd w:val="clear" w:color="auto" w:fill="FFFFFF"/>
            <w:hideMark/>
          </w:tcPr>
          <w:p w:rsidR="008D720A" w:rsidRPr="00772F77" w:rsidRDefault="008D720A">
            <w:pPr>
              <w:spacing w:before="120" w:after="240" w:line="256" w:lineRule="auto"/>
            </w:pPr>
            <w:r w:rsidRPr="00772F77">
              <w:t>Protokollen justerades.</w:t>
            </w:r>
          </w:p>
        </w:tc>
      </w:tr>
    </w:tbl>
    <w:p w:rsidR="008D720A" w:rsidRPr="00772F77" w:rsidRDefault="008D720A" w:rsidP="00977D6C">
      <w:pPr>
        <w:ind w:left="709" w:hanging="709"/>
      </w:pPr>
      <w:r w:rsidRPr="00772F77">
        <w:rPr>
          <w:b/>
          <w:bCs/>
        </w:rPr>
        <w:t>4.</w:t>
      </w:r>
      <w:r w:rsidRPr="00772F77">
        <w:tab/>
      </w:r>
      <w:r w:rsidRPr="00772F77">
        <w:rPr>
          <w:b/>
          <w:bCs/>
        </w:rPr>
        <w:t>Europeiska socialfonden+ (ESF+)</w:t>
      </w:r>
    </w:p>
    <w:p w:rsidR="008D720A" w:rsidRPr="00772F77" w:rsidRDefault="008D720A" w:rsidP="008D720A">
      <w:r w:rsidRPr="00772F77">
        <w:tab/>
        <w:t>EMPL/9/01375</w:t>
      </w:r>
    </w:p>
    <w:p w:rsidR="008D720A" w:rsidRPr="00772F77" w:rsidRDefault="008D720A" w:rsidP="008D720A">
      <w:pPr>
        <w:spacing w:after="120"/>
      </w:pPr>
      <w:r w:rsidRPr="00772F77">
        <w:tab/>
        <w:t>***I</w:t>
      </w:r>
      <w:r w:rsidRPr="00772F77">
        <w:tab/>
        <w:t>2018/0206(COD)</w:t>
      </w:r>
      <w:r w:rsidRPr="00772F77">
        <w:tab/>
        <w:t>COM(2018)0382 – C8-0232/2018</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874"/>
        <w:gridCol w:w="4534"/>
        <w:gridCol w:w="2567"/>
      </w:tblGrid>
      <w:tr w:rsidR="008D720A" w:rsidRPr="00772F77" w:rsidTr="00611155">
        <w:trPr>
          <w:cantSplit/>
          <w:jc w:val="right"/>
        </w:trPr>
        <w:tc>
          <w:tcPr>
            <w:tcW w:w="8540" w:type="dxa"/>
            <w:gridSpan w:val="4"/>
            <w:tcBorders>
              <w:top w:val="nil"/>
              <w:left w:val="nil"/>
              <w:bottom w:val="nil"/>
              <w:right w:val="nil"/>
            </w:tcBorders>
            <w:shd w:val="clear" w:color="auto" w:fill="FFFFFF"/>
            <w:hideMark/>
          </w:tcPr>
          <w:p w:rsidR="008D720A" w:rsidRPr="00772F77" w:rsidRDefault="008D720A">
            <w:pPr>
              <w:spacing w:line="256" w:lineRule="auto"/>
            </w:pPr>
            <w:r w:rsidRPr="00772F77">
              <w:t>Föredragande:</w:t>
            </w:r>
          </w:p>
        </w:tc>
      </w:tr>
      <w:tr w:rsidR="008D720A" w:rsidRPr="00772F77" w:rsidTr="00611155">
        <w:trPr>
          <w:cantSplit/>
          <w:jc w:val="right"/>
        </w:trPr>
        <w:tc>
          <w:tcPr>
            <w:tcW w:w="566" w:type="dxa"/>
            <w:tcBorders>
              <w:top w:val="nil"/>
              <w:left w:val="nil"/>
              <w:bottom w:val="nil"/>
              <w:right w:val="nil"/>
            </w:tcBorders>
            <w:shd w:val="clear" w:color="auto" w:fill="FFFFFF"/>
          </w:tcPr>
          <w:p w:rsidR="008D720A" w:rsidRPr="00772F77" w:rsidRDefault="008D720A">
            <w:pPr>
              <w:spacing w:line="256" w:lineRule="auto"/>
            </w:pPr>
          </w:p>
        </w:tc>
        <w:tc>
          <w:tcPr>
            <w:tcW w:w="5408" w:type="dxa"/>
            <w:gridSpan w:val="2"/>
            <w:tcBorders>
              <w:top w:val="nil"/>
              <w:left w:val="nil"/>
              <w:bottom w:val="nil"/>
              <w:right w:val="nil"/>
            </w:tcBorders>
            <w:shd w:val="clear" w:color="auto" w:fill="FFFFFF"/>
            <w:hideMark/>
          </w:tcPr>
          <w:p w:rsidR="008D720A" w:rsidRPr="00772F77" w:rsidRDefault="008D720A">
            <w:pPr>
              <w:spacing w:line="256" w:lineRule="auto"/>
            </w:pPr>
            <w:r w:rsidRPr="00772F77">
              <w:t>David Casa (PPE)</w:t>
            </w:r>
          </w:p>
        </w:tc>
        <w:tc>
          <w:tcPr>
            <w:tcW w:w="2566" w:type="dxa"/>
            <w:tcBorders>
              <w:top w:val="nil"/>
              <w:left w:val="nil"/>
              <w:bottom w:val="nil"/>
              <w:right w:val="nil"/>
            </w:tcBorders>
            <w:shd w:val="clear" w:color="auto" w:fill="FFFFFF"/>
          </w:tcPr>
          <w:p w:rsidR="008D720A" w:rsidRPr="00772F77" w:rsidRDefault="008D720A">
            <w:pPr>
              <w:spacing w:line="256" w:lineRule="auto"/>
            </w:pPr>
          </w:p>
        </w:tc>
      </w:tr>
      <w:tr w:rsidR="008D720A" w:rsidRPr="00772F77" w:rsidTr="00611155">
        <w:trPr>
          <w:cantSplit/>
          <w:jc w:val="right"/>
        </w:trPr>
        <w:tc>
          <w:tcPr>
            <w:tcW w:w="8540" w:type="dxa"/>
            <w:gridSpan w:val="4"/>
            <w:tcBorders>
              <w:top w:val="nil"/>
              <w:left w:val="nil"/>
              <w:bottom w:val="nil"/>
              <w:right w:val="nil"/>
            </w:tcBorders>
            <w:shd w:val="clear" w:color="auto" w:fill="FFFFFF"/>
            <w:hideMark/>
          </w:tcPr>
          <w:p w:rsidR="008D720A" w:rsidRPr="00772F77" w:rsidRDefault="008D720A">
            <w:pPr>
              <w:spacing w:line="256" w:lineRule="auto"/>
            </w:pPr>
            <w:r w:rsidRPr="00772F77">
              <w:t>Ansvarigt utskott:</w:t>
            </w:r>
          </w:p>
        </w:tc>
      </w:tr>
      <w:tr w:rsidR="008D720A" w:rsidRPr="00772F77" w:rsidTr="00611155">
        <w:trPr>
          <w:cantSplit/>
          <w:jc w:val="right"/>
        </w:trPr>
        <w:tc>
          <w:tcPr>
            <w:tcW w:w="566" w:type="dxa"/>
            <w:tcBorders>
              <w:top w:val="nil"/>
              <w:left w:val="nil"/>
              <w:bottom w:val="nil"/>
              <w:right w:val="nil"/>
            </w:tcBorders>
            <w:shd w:val="clear" w:color="auto" w:fill="FFFFFF"/>
          </w:tcPr>
          <w:p w:rsidR="008D720A" w:rsidRPr="00772F77" w:rsidRDefault="008D720A">
            <w:pPr>
              <w:spacing w:line="256" w:lineRule="auto"/>
            </w:pPr>
          </w:p>
        </w:tc>
        <w:tc>
          <w:tcPr>
            <w:tcW w:w="7974" w:type="dxa"/>
            <w:gridSpan w:val="3"/>
            <w:tcBorders>
              <w:top w:val="nil"/>
              <w:left w:val="nil"/>
              <w:bottom w:val="nil"/>
              <w:right w:val="nil"/>
            </w:tcBorders>
            <w:shd w:val="clear" w:color="auto" w:fill="FFFFFF"/>
            <w:hideMark/>
          </w:tcPr>
          <w:p w:rsidR="008D720A" w:rsidRPr="00772F77" w:rsidRDefault="008D720A">
            <w:pPr>
              <w:spacing w:line="256" w:lineRule="auto"/>
            </w:pPr>
            <w:r w:rsidRPr="00772F77">
              <w:t>EMPL</w:t>
            </w:r>
          </w:p>
        </w:tc>
      </w:tr>
      <w:tr w:rsidR="008D720A" w:rsidRPr="00772F77" w:rsidTr="00611155">
        <w:trPr>
          <w:cantSplit/>
          <w:jc w:val="right"/>
        </w:trPr>
        <w:tc>
          <w:tcPr>
            <w:tcW w:w="1440" w:type="dxa"/>
            <w:gridSpan w:val="2"/>
            <w:tcBorders>
              <w:top w:val="nil"/>
              <w:left w:val="nil"/>
              <w:bottom w:val="nil"/>
              <w:right w:val="nil"/>
            </w:tcBorders>
            <w:shd w:val="clear" w:color="auto" w:fill="FFFFFF"/>
            <w:hideMark/>
          </w:tcPr>
          <w:p w:rsidR="008D720A" w:rsidRPr="00772F77" w:rsidRDefault="008D720A" w:rsidP="002F6DC1">
            <w:pPr>
              <w:spacing w:before="120" w:line="257" w:lineRule="auto"/>
            </w:pPr>
            <w:r w:rsidRPr="00772F77">
              <w:rPr>
                <w:b/>
                <w:bCs/>
              </w:rPr>
              <w:t>Beslut:</w:t>
            </w:r>
          </w:p>
        </w:tc>
        <w:tc>
          <w:tcPr>
            <w:tcW w:w="7101" w:type="dxa"/>
            <w:gridSpan w:val="2"/>
            <w:tcBorders>
              <w:top w:val="nil"/>
              <w:left w:val="nil"/>
              <w:bottom w:val="nil"/>
              <w:right w:val="nil"/>
            </w:tcBorders>
            <w:shd w:val="clear" w:color="auto" w:fill="FFFFFF"/>
            <w:hideMark/>
          </w:tcPr>
          <w:p w:rsidR="008D720A" w:rsidRPr="00772F77" w:rsidRDefault="008D720A" w:rsidP="002F6DC1">
            <w:pPr>
              <w:spacing w:before="120" w:line="257" w:lineRule="auto"/>
            </w:pPr>
            <w:r w:rsidRPr="00772F77">
              <w:t>Lägesrapport av kommissionen</w:t>
            </w:r>
          </w:p>
        </w:tc>
      </w:tr>
      <w:tr w:rsidR="002F6DC1" w:rsidRPr="00772F77" w:rsidTr="00611155">
        <w:trPr>
          <w:cantSplit/>
          <w:jc w:val="right"/>
        </w:trPr>
        <w:tc>
          <w:tcPr>
            <w:tcW w:w="1440" w:type="dxa"/>
            <w:gridSpan w:val="2"/>
            <w:tcBorders>
              <w:top w:val="nil"/>
              <w:left w:val="nil"/>
              <w:bottom w:val="nil"/>
              <w:right w:val="nil"/>
            </w:tcBorders>
            <w:shd w:val="clear" w:color="auto" w:fill="FFFFFF"/>
          </w:tcPr>
          <w:p w:rsidR="002F6DC1" w:rsidRPr="00772F77" w:rsidRDefault="002F6DC1" w:rsidP="002F6DC1">
            <w:pPr>
              <w:spacing w:before="120" w:after="240" w:line="256" w:lineRule="auto"/>
              <w:rPr>
                <w:b/>
                <w:bCs/>
              </w:rPr>
            </w:pPr>
            <w:r w:rsidRPr="00772F77">
              <w:rPr>
                <w:b/>
              </w:rPr>
              <w:t>Följande yttrade sig:</w:t>
            </w:r>
          </w:p>
        </w:tc>
        <w:tc>
          <w:tcPr>
            <w:tcW w:w="7101" w:type="dxa"/>
            <w:gridSpan w:val="2"/>
            <w:tcBorders>
              <w:top w:val="nil"/>
              <w:left w:val="nil"/>
              <w:bottom w:val="nil"/>
              <w:right w:val="nil"/>
            </w:tcBorders>
            <w:shd w:val="clear" w:color="auto" w:fill="FFFFFF"/>
          </w:tcPr>
          <w:p w:rsidR="002F6DC1" w:rsidRPr="00772F77" w:rsidRDefault="002F6DC1" w:rsidP="008A30D7">
            <w:pPr>
              <w:spacing w:before="120" w:after="240" w:line="256" w:lineRule="auto"/>
            </w:pPr>
            <w:r w:rsidRPr="00772F77">
              <w:t xml:space="preserve">Katrin Langensiepen, Andriana Sukova </w:t>
            </w:r>
            <w:r w:rsidR="00977D6C">
              <w:t>(biträdande generaldirektör, GD </w:t>
            </w:r>
            <w:r w:rsidRPr="00772F77">
              <w:t>EMPL), David Casa, Terry Reintke, Brando Benifei, Monica Semedo, Elżbieta Rafalska, Matthew Patten, Klára Dobrev, Dragoş Pîslaru, Anne Sander, Antonius Manders, Mounir Satouri</w:t>
            </w:r>
          </w:p>
        </w:tc>
      </w:tr>
    </w:tbl>
    <w:p w:rsidR="008D720A" w:rsidRPr="00772F77" w:rsidRDefault="008D720A" w:rsidP="00977D6C">
      <w:pPr>
        <w:ind w:left="709" w:hanging="709"/>
      </w:pPr>
      <w:r w:rsidRPr="00772F77">
        <w:rPr>
          <w:b/>
          <w:bCs/>
        </w:rPr>
        <w:t>6.</w:t>
      </w:r>
      <w:r w:rsidRPr="00772F77">
        <w:tab/>
      </w:r>
      <w:r w:rsidRPr="00772F77">
        <w:rPr>
          <w:b/>
          <w:bCs/>
        </w:rPr>
        <w:t>Kommande sammanträden</w:t>
      </w:r>
    </w:p>
    <w:p w:rsidR="00EA74BF" w:rsidRPr="00772F77" w:rsidRDefault="004E5720" w:rsidP="004E5720">
      <w:pPr>
        <w:tabs>
          <w:tab w:val="left" w:pos="1100"/>
        </w:tabs>
        <w:autoSpaceDE w:val="0"/>
        <w:autoSpaceDN w:val="0"/>
        <w:adjustRightInd w:val="0"/>
        <w:ind w:left="1100" w:hanging="400"/>
      </w:pPr>
      <w:r w:rsidRPr="00772F77">
        <w:rPr>
          <w:rFonts w:ascii="Symbol" w:hAnsi="Symbol"/>
        </w:rPr>
        <w:t></w:t>
      </w:r>
      <w:r w:rsidRPr="00772F77">
        <w:rPr>
          <w:rFonts w:ascii="Symbol" w:hAnsi="Symbol"/>
        </w:rPr>
        <w:tab/>
      </w:r>
      <w:r w:rsidRPr="00772F77">
        <w:t>4–5 december (exakt tid bekräftas senare)</w:t>
      </w:r>
    </w:p>
    <w:p w:rsidR="003A2819" w:rsidRPr="00772F77" w:rsidRDefault="00C01D9E" w:rsidP="003A2819">
      <w:pPr>
        <w:pStyle w:val="MeetingClosing"/>
        <w:spacing w:before="360"/>
        <w:rPr>
          <w:snapToGrid/>
        </w:rPr>
      </w:pPr>
      <w:r w:rsidRPr="00772F77">
        <w:t>Sammanträdet avslutades kl. 17.36.</w:t>
      </w:r>
    </w:p>
    <w:p w:rsidR="00D45997" w:rsidRPr="00772F77" w:rsidRDefault="00D45997" w:rsidP="00F4356E"/>
    <w:p w:rsidR="00CA70CB" w:rsidRPr="00772F77" w:rsidRDefault="00CA70CB">
      <w:pPr>
        <w:tabs>
          <w:tab w:val="left" w:pos="-1057"/>
          <w:tab w:val="left" w:pos="-720"/>
          <w:tab w:val="left" w:pos="0"/>
          <w:tab w:val="left" w:pos="720"/>
          <w:tab w:val="left" w:pos="2154"/>
          <w:tab w:val="left" w:pos="2880"/>
        </w:tabs>
        <w:sectPr w:rsidR="00CA70CB" w:rsidRPr="00772F77" w:rsidSect="00772F7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977D6C" w:rsidRPr="002B215C" w:rsidRDefault="00977D6C" w:rsidP="00977D6C">
      <w:pPr>
        <w:pStyle w:val="AttendancePVTitle"/>
        <w:spacing w:after="240"/>
      </w:pPr>
      <w:r w:rsidRPr="002B215C">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977D6C" w:rsidRPr="002B215C" w:rsidTr="005B7761">
        <w:trPr>
          <w:cantSplit/>
        </w:trPr>
        <w:tc>
          <w:tcPr>
            <w:tcW w:w="9072" w:type="dxa"/>
            <w:shd w:val="pct10" w:color="000000" w:fill="FFFFFF"/>
          </w:tcPr>
          <w:p w:rsidR="00977D6C" w:rsidRPr="002B215C" w:rsidRDefault="00977D6C" w:rsidP="005B7761">
            <w:pPr>
              <w:pStyle w:val="AttendancePVTable"/>
            </w:pPr>
            <w:r w:rsidRPr="002B215C">
              <w:t>Бюро/Mesa/Předsednictvo/Formandskabet/Vorstand/Juhatus/Προεδρείο/Bureau/Predsjedništvo/Ufficio di presidenza</w:t>
            </w:r>
            <w:bookmarkStart w:id="0" w:name="_GoBack"/>
            <w:bookmarkEnd w:id="0"/>
            <w:r w:rsidRPr="002B215C">
              <w:t>/Prezidijs/ Biuras/Elnökség/Prezydium/Birou/Predsedníctvo/Predsedstvo/Puheenjohtajisto/Presidiet (*)</w:t>
            </w:r>
          </w:p>
        </w:tc>
      </w:tr>
      <w:tr w:rsidR="00977D6C" w:rsidRPr="002B215C" w:rsidTr="00977D6C">
        <w:trPr>
          <w:cantSplit/>
          <w:trHeight w:val="203"/>
        </w:trPr>
        <w:tc>
          <w:tcPr>
            <w:tcW w:w="9072" w:type="dxa"/>
            <w:shd w:val="clear" w:color="000000" w:fill="FFFFFF"/>
          </w:tcPr>
          <w:p w:rsidR="00977D6C" w:rsidRPr="000D7B8C" w:rsidRDefault="00977D6C" w:rsidP="005B7761">
            <w:pPr>
              <w:pStyle w:val="AttendancePVTable"/>
            </w:pPr>
            <w:r>
              <w:t>Tomáš Zdechovský, Katrin Langensiepen</w:t>
            </w:r>
          </w:p>
        </w:tc>
      </w:tr>
      <w:tr w:rsidR="00977D6C" w:rsidRPr="002B215C" w:rsidTr="005B7761">
        <w:trPr>
          <w:cantSplit/>
        </w:trPr>
        <w:tc>
          <w:tcPr>
            <w:tcW w:w="9072" w:type="dxa"/>
            <w:shd w:val="pct10" w:color="000000" w:fill="FFFFFF"/>
          </w:tcPr>
          <w:p w:rsidR="00977D6C" w:rsidRPr="002B215C" w:rsidRDefault="00977D6C" w:rsidP="005B7761">
            <w:pPr>
              <w:pStyle w:val="AttendancePVTable"/>
            </w:pPr>
            <w:r w:rsidRPr="002B215C">
              <w:t>Членове/Diputados/Poslanci/Medlemmer/Mitglieder/Parlamendiliikmed/Βουλευτές/Members/Députés/Zastupnici/Deputati/Deputāti/ Nariai/Képviselõk/Membri/Leden/Posłowie/Deputados/Deputaţi/Jäsenet/Ledamöter</w:t>
            </w:r>
          </w:p>
        </w:tc>
      </w:tr>
      <w:tr w:rsidR="00977D6C" w:rsidRPr="002B215C" w:rsidTr="00977D6C">
        <w:trPr>
          <w:cantSplit/>
          <w:trHeight w:val="997"/>
        </w:trPr>
        <w:tc>
          <w:tcPr>
            <w:tcW w:w="9072" w:type="dxa"/>
            <w:shd w:val="clear" w:color="000000" w:fill="FFFFFF"/>
          </w:tcPr>
          <w:p w:rsidR="00977D6C" w:rsidRPr="00F56C80" w:rsidRDefault="00977D6C" w:rsidP="005B7761">
            <w:pPr>
              <w:pStyle w:val="AttendancePVTable"/>
            </w:pPr>
            <w:r>
              <w:t>Abir Al</w:t>
            </w:r>
            <w:r>
              <w:noBreakHyphen/>
              <w:t>Sahlani, Milan Brglez, Sylvie Brunet, David Casa, Leila Chaibi, Klára Dobrev, Estrella Durá Ferrandis, Cindy Franssen, Chiara Gemma, Helmut Geuking, Alicia Homs Ginel, Agnes Jongerius, Radan Kanev, Katrin Langensiepen, Elena Lizzi, Radka Maxová, Manuel Pizarro, Dragoş Pîslaru, Miroslav Radačovský, Dennis Radtke, Elżbieta Rafalska, Guido Reil, Daniela Rondinelli, Mounir Satouri, Nicolas Schmit, Monica Semedo, Beata Szydło, Eugen Tomac, Romana Tomc, Nikolaj Villumsen, Marianne Vind, Stefania Zambelli, Tomáš Zdechovský</w:t>
            </w:r>
          </w:p>
        </w:tc>
      </w:tr>
      <w:tr w:rsidR="00977D6C" w:rsidRPr="002B215C" w:rsidTr="005B7761">
        <w:trPr>
          <w:cantSplit/>
        </w:trPr>
        <w:tc>
          <w:tcPr>
            <w:tcW w:w="9072" w:type="dxa"/>
            <w:shd w:val="pct10" w:color="000000" w:fill="FFFFFF"/>
          </w:tcPr>
          <w:p w:rsidR="00977D6C" w:rsidRPr="002B215C" w:rsidRDefault="00977D6C" w:rsidP="005B7761">
            <w:pPr>
              <w:pStyle w:val="AttendancePVTable"/>
            </w:pPr>
            <w:r w:rsidRPr="002B215C">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977D6C" w:rsidRPr="002B215C" w:rsidTr="00977D6C">
        <w:trPr>
          <w:cantSplit/>
          <w:trHeight w:val="600"/>
        </w:trPr>
        <w:tc>
          <w:tcPr>
            <w:tcW w:w="9072" w:type="dxa"/>
            <w:shd w:val="clear" w:color="000000" w:fill="FFFFFF"/>
          </w:tcPr>
          <w:p w:rsidR="00977D6C" w:rsidRPr="00D55EDF" w:rsidRDefault="00977D6C" w:rsidP="005B7761">
            <w:pPr>
              <w:pStyle w:val="AttendancePVTable"/>
            </w:pPr>
            <w:r>
              <w:t>Brando Benifei, Johan Danielsson, José Gusmão, Antonius Manders, Samira Rafaela, Terry Reintke, Anne Sander, Véronique Trillet</w:t>
            </w:r>
            <w:r>
              <w:noBreakHyphen/>
              <w:t>Lenoir, Kim Van Sparrentak</w:t>
            </w:r>
          </w:p>
        </w:tc>
      </w:tr>
    </w:tbl>
    <w:p w:rsidR="00977D6C" w:rsidRPr="002B215C" w:rsidRDefault="00977D6C" w:rsidP="00977D6C">
      <w:pPr>
        <w:pStyle w:val="AttendancePV"/>
      </w:pPr>
    </w:p>
    <w:p w:rsidR="00977D6C" w:rsidRPr="002B215C" w:rsidRDefault="00977D6C" w:rsidP="00977D6C">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977D6C" w:rsidRPr="002B215C" w:rsidTr="005B7761">
        <w:trPr>
          <w:cantSplit/>
        </w:trPr>
        <w:tc>
          <w:tcPr>
            <w:tcW w:w="9072" w:type="dxa"/>
            <w:gridSpan w:val="2"/>
            <w:shd w:val="pct10" w:color="000000" w:fill="FFFFFF"/>
          </w:tcPr>
          <w:p w:rsidR="00977D6C" w:rsidRPr="002B215C" w:rsidRDefault="00977D6C" w:rsidP="005B7761">
            <w:pPr>
              <w:pStyle w:val="AttendancePVTable"/>
            </w:pPr>
            <w:r w:rsidRPr="002B215C">
              <w:t>209 (7)</w:t>
            </w:r>
          </w:p>
        </w:tc>
      </w:tr>
      <w:tr w:rsidR="00977D6C" w:rsidRPr="002B215C" w:rsidTr="00977D6C">
        <w:trPr>
          <w:cantSplit/>
          <w:trHeight w:val="152"/>
        </w:trPr>
        <w:tc>
          <w:tcPr>
            <w:tcW w:w="9072" w:type="dxa"/>
            <w:gridSpan w:val="2"/>
          </w:tcPr>
          <w:p w:rsidR="00977D6C" w:rsidRPr="002B215C" w:rsidRDefault="00977D6C" w:rsidP="005B7761">
            <w:pPr>
              <w:pStyle w:val="AttendancePVTable"/>
            </w:pPr>
            <w:r>
              <w:t xml:space="preserve"> </w:t>
            </w:r>
          </w:p>
        </w:tc>
      </w:tr>
      <w:tr w:rsidR="00977D6C" w:rsidRPr="002B215C" w:rsidTr="005B7761">
        <w:trPr>
          <w:cantSplit/>
        </w:trPr>
        <w:tc>
          <w:tcPr>
            <w:tcW w:w="9072" w:type="dxa"/>
            <w:gridSpan w:val="2"/>
            <w:shd w:val="pct10" w:color="000000" w:fill="FFFFFF"/>
          </w:tcPr>
          <w:p w:rsidR="00977D6C" w:rsidRPr="002B215C" w:rsidRDefault="00977D6C" w:rsidP="005B7761">
            <w:pPr>
              <w:pStyle w:val="AttendancePVTable"/>
            </w:pPr>
            <w:r w:rsidRPr="002B215C">
              <w:t>216 (3)</w:t>
            </w:r>
          </w:p>
        </w:tc>
      </w:tr>
      <w:tr w:rsidR="00977D6C" w:rsidRPr="002B215C" w:rsidTr="00977D6C">
        <w:trPr>
          <w:cantSplit/>
          <w:trHeight w:val="151"/>
        </w:trPr>
        <w:tc>
          <w:tcPr>
            <w:tcW w:w="9072" w:type="dxa"/>
            <w:gridSpan w:val="2"/>
          </w:tcPr>
          <w:p w:rsidR="00977D6C" w:rsidRPr="002B215C" w:rsidRDefault="00977D6C" w:rsidP="005B7761">
            <w:pPr>
              <w:pStyle w:val="AttendancePVTable"/>
            </w:pPr>
            <w:r>
              <w:t xml:space="preserve"> </w:t>
            </w:r>
          </w:p>
        </w:tc>
      </w:tr>
      <w:tr w:rsidR="00977D6C" w:rsidRPr="002B215C" w:rsidTr="005B7761">
        <w:trPr>
          <w:cantSplit/>
        </w:trPr>
        <w:tc>
          <w:tcPr>
            <w:tcW w:w="9072" w:type="dxa"/>
            <w:gridSpan w:val="2"/>
            <w:shd w:val="pct10" w:color="000000" w:fill="FFFFFF"/>
          </w:tcPr>
          <w:p w:rsidR="00977D6C" w:rsidRPr="002B215C" w:rsidRDefault="00977D6C" w:rsidP="005B7761">
            <w:pPr>
              <w:pStyle w:val="AttendancePVTable"/>
            </w:pPr>
            <w:r w:rsidRPr="002B215C">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977D6C" w:rsidRPr="002B215C" w:rsidTr="00977D6C">
        <w:trPr>
          <w:trHeight w:val="298"/>
        </w:trPr>
        <w:tc>
          <w:tcPr>
            <w:tcW w:w="7513" w:type="dxa"/>
          </w:tcPr>
          <w:p w:rsidR="00977D6C" w:rsidRPr="002B215C" w:rsidRDefault="00977D6C" w:rsidP="005B7761">
            <w:pPr>
              <w:pStyle w:val="AttendancePVTable"/>
            </w:pPr>
            <w:r>
              <w:t xml:space="preserve"> </w:t>
            </w:r>
          </w:p>
        </w:tc>
        <w:tc>
          <w:tcPr>
            <w:tcW w:w="1559" w:type="dxa"/>
          </w:tcPr>
          <w:p w:rsidR="00977D6C" w:rsidRPr="002B215C" w:rsidRDefault="00977D6C" w:rsidP="005B7761">
            <w:pPr>
              <w:pStyle w:val="AttendancePVTable"/>
            </w:pPr>
            <w:r>
              <w:t xml:space="preserve"> </w:t>
            </w:r>
          </w:p>
        </w:tc>
      </w:tr>
    </w:tbl>
    <w:p w:rsidR="00977D6C" w:rsidRPr="002B215C" w:rsidRDefault="00977D6C" w:rsidP="00977D6C">
      <w:pPr>
        <w:pStyle w:val="AttendancePV"/>
      </w:pPr>
    </w:p>
    <w:p w:rsidR="00977D6C" w:rsidRPr="002B215C" w:rsidRDefault="00977D6C" w:rsidP="00977D6C">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977D6C" w:rsidRPr="002B215C" w:rsidTr="005B7761">
        <w:trPr>
          <w:cantSplit/>
        </w:trPr>
        <w:tc>
          <w:tcPr>
            <w:tcW w:w="9072" w:type="dxa"/>
            <w:shd w:val="pct10" w:color="000000" w:fill="FFFFFF"/>
          </w:tcPr>
          <w:p w:rsidR="00977D6C" w:rsidRPr="002B215C" w:rsidRDefault="00977D6C" w:rsidP="005B7761">
            <w:pPr>
              <w:pStyle w:val="AttendancePVTable"/>
            </w:pPr>
            <w:r w:rsidRPr="002B215C">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977D6C" w:rsidRPr="002B215C" w:rsidTr="00977D6C">
        <w:trPr>
          <w:cantSplit/>
          <w:trHeight w:val="236"/>
        </w:trPr>
        <w:tc>
          <w:tcPr>
            <w:tcW w:w="9072" w:type="dxa"/>
          </w:tcPr>
          <w:p w:rsidR="00977D6C" w:rsidRPr="002B215C" w:rsidRDefault="00977D6C" w:rsidP="005B7761">
            <w:pPr>
              <w:pStyle w:val="AttendancePVTable"/>
            </w:pPr>
            <w:r>
              <w:t xml:space="preserve"> </w:t>
            </w:r>
          </w:p>
        </w:tc>
      </w:tr>
    </w:tbl>
    <w:p w:rsidR="00977D6C" w:rsidRPr="002B215C" w:rsidRDefault="00977D6C" w:rsidP="00977D6C">
      <w:pPr>
        <w:pStyle w:val="AttendancePV"/>
      </w:pPr>
    </w:p>
    <w:p w:rsidR="00977D6C" w:rsidRPr="002B215C" w:rsidRDefault="00977D6C" w:rsidP="00977D6C">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977D6C" w:rsidRPr="002B215C" w:rsidTr="005B7761">
        <w:tc>
          <w:tcPr>
            <w:tcW w:w="9072" w:type="dxa"/>
            <w:shd w:val="pct10" w:color="000000" w:fill="FFFFFF"/>
          </w:tcPr>
          <w:p w:rsidR="00977D6C" w:rsidRPr="002B215C" w:rsidRDefault="00977D6C" w:rsidP="005B7761">
            <w:pPr>
              <w:pStyle w:val="AttendancePVTable"/>
            </w:pPr>
            <w:r w:rsidRPr="002B215C">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2B215C">
              <w:noBreakHyphen/>
              <w:t>'Chairman'/Op uitnodiging van de voorzitter/Na zaproszenie Przewodniczącego/A convite do Presidente/La invitaţia preşedintelui/ Na pozvanie predsedu/Na povabilo predsednika/Puheenjohtajan kutsusta/På ordförandens inbjudan</w:t>
            </w:r>
          </w:p>
        </w:tc>
      </w:tr>
      <w:tr w:rsidR="00977D6C" w:rsidRPr="002B215C" w:rsidTr="00977D6C">
        <w:trPr>
          <w:trHeight w:val="223"/>
        </w:trPr>
        <w:tc>
          <w:tcPr>
            <w:tcW w:w="9072" w:type="dxa"/>
          </w:tcPr>
          <w:p w:rsidR="00977D6C" w:rsidRPr="002B215C" w:rsidRDefault="00977D6C" w:rsidP="005B7761">
            <w:pPr>
              <w:pStyle w:val="AttendancePVTable"/>
            </w:pPr>
            <w:r>
              <w:t xml:space="preserve"> </w:t>
            </w:r>
          </w:p>
        </w:tc>
      </w:tr>
    </w:tbl>
    <w:p w:rsidR="00977D6C" w:rsidRPr="002B215C" w:rsidRDefault="00977D6C" w:rsidP="00977D6C">
      <w:pPr>
        <w:pStyle w:val="AttendancePV"/>
      </w:pPr>
    </w:p>
    <w:p w:rsidR="00977D6C" w:rsidRPr="002B215C" w:rsidRDefault="00977D6C" w:rsidP="00977D6C">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977D6C" w:rsidRPr="002B215C" w:rsidTr="005B7761">
        <w:tc>
          <w:tcPr>
            <w:tcW w:w="9072" w:type="dxa"/>
            <w:gridSpan w:val="2"/>
            <w:shd w:val="pct10" w:color="000000" w:fill="FFFFFF"/>
          </w:tcPr>
          <w:p w:rsidR="00977D6C" w:rsidRPr="002B215C" w:rsidRDefault="00977D6C" w:rsidP="005B7761">
            <w:pPr>
              <w:pStyle w:val="AttendancePVTable"/>
            </w:pPr>
            <w:r w:rsidRPr="002B215C">
              <w:t>Съвет/Consejo/Rada/Rådet/Rat/Nõukogu/Συμβούλιο/Council/Conseil/Vijeće/Consiglio/Padome/Taryba/Tanács/Kunsill/Raad/ Conselho/Consiliu/Svet/Neuvosto/Rådet (*)</w:t>
            </w:r>
          </w:p>
        </w:tc>
      </w:tr>
      <w:tr w:rsidR="00977D6C" w:rsidRPr="002B215C" w:rsidTr="00977D6C">
        <w:trPr>
          <w:trHeight w:val="291"/>
        </w:trPr>
        <w:tc>
          <w:tcPr>
            <w:tcW w:w="9072" w:type="dxa"/>
            <w:gridSpan w:val="2"/>
          </w:tcPr>
          <w:p w:rsidR="00977D6C" w:rsidRPr="002B215C" w:rsidRDefault="00977D6C" w:rsidP="005B7761">
            <w:pPr>
              <w:pStyle w:val="AttendancePVTable"/>
            </w:pPr>
            <w:r>
              <w:t xml:space="preserve"> </w:t>
            </w:r>
          </w:p>
        </w:tc>
      </w:tr>
      <w:tr w:rsidR="00977D6C" w:rsidRPr="002B215C" w:rsidTr="005B7761">
        <w:tc>
          <w:tcPr>
            <w:tcW w:w="9072" w:type="dxa"/>
            <w:gridSpan w:val="2"/>
            <w:shd w:val="pct10" w:color="000000" w:fill="FFFFFF"/>
          </w:tcPr>
          <w:p w:rsidR="00977D6C" w:rsidRPr="002B215C" w:rsidRDefault="00977D6C" w:rsidP="005B7761">
            <w:pPr>
              <w:pStyle w:val="AttendancePVTable"/>
            </w:pPr>
            <w:r w:rsidRPr="002B215C">
              <w:t>Комисия/Comisión/Komise/Kommissionen/Kommission/Komisjon/Επιτροπή/Commission/Komisija/Commissione/Bizottság/ Kummissjoni/Commissie/Komisja/Comissão/Comisie/Komisia/Komissio/Kommissionen (*)</w:t>
            </w:r>
          </w:p>
        </w:tc>
      </w:tr>
      <w:tr w:rsidR="00977D6C" w:rsidRPr="00D55EDF" w:rsidTr="00977D6C">
        <w:trPr>
          <w:trHeight w:val="505"/>
        </w:trPr>
        <w:tc>
          <w:tcPr>
            <w:tcW w:w="9072" w:type="dxa"/>
            <w:gridSpan w:val="2"/>
          </w:tcPr>
          <w:p w:rsidR="00977D6C" w:rsidRPr="00D55EDF" w:rsidRDefault="00977D6C" w:rsidP="005B7761">
            <w:pPr>
              <w:pStyle w:val="AttendancePVTable"/>
            </w:pPr>
            <w:r>
              <w:t xml:space="preserve">Andriana Sukova </w:t>
            </w:r>
            <w:r w:rsidRPr="00E80FB9">
              <w:t xml:space="preserve">(Deputy General Director, DG EMPL), </w:t>
            </w:r>
            <w:r>
              <w:t>Teresa Régio, Loris Di Pietrantonio, Brigitte Fellahi Brogn</w:t>
            </w:r>
            <w:r w:rsidRPr="00D55EDF">
              <w:t>aux, Daniel W</w:t>
            </w:r>
            <w:r>
              <w:t>oehl, Loui</w:t>
            </w:r>
            <w:r w:rsidRPr="00D55EDF">
              <w:t>se Reid</w:t>
            </w:r>
            <w:r>
              <w:t>, Resa Koleva-Demonty, Ilaria Volpe</w:t>
            </w:r>
          </w:p>
        </w:tc>
      </w:tr>
      <w:tr w:rsidR="00977D6C" w:rsidRPr="002B215C" w:rsidTr="005B7761">
        <w:tc>
          <w:tcPr>
            <w:tcW w:w="9072" w:type="dxa"/>
            <w:gridSpan w:val="2"/>
            <w:shd w:val="pct10" w:color="000000" w:fill="FFFFFF"/>
          </w:tcPr>
          <w:p w:rsidR="00977D6C" w:rsidRPr="002B215C" w:rsidRDefault="00977D6C" w:rsidP="005B7761">
            <w:pPr>
              <w:pStyle w:val="AttendancePVTable"/>
            </w:pPr>
            <w:r w:rsidRPr="002B215C">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977D6C" w:rsidRPr="002B215C" w:rsidTr="00977D6C">
        <w:trPr>
          <w:cantSplit/>
          <w:trHeight w:val="430"/>
        </w:trPr>
        <w:tc>
          <w:tcPr>
            <w:tcW w:w="1701" w:type="dxa"/>
          </w:tcPr>
          <w:p w:rsidR="00977D6C" w:rsidRPr="002B215C" w:rsidRDefault="00977D6C" w:rsidP="005B7761">
            <w:pPr>
              <w:pStyle w:val="AttendancePVTable"/>
            </w:pPr>
            <w:r>
              <w:t xml:space="preserve"> </w:t>
            </w:r>
          </w:p>
        </w:tc>
        <w:tc>
          <w:tcPr>
            <w:tcW w:w="7371" w:type="dxa"/>
          </w:tcPr>
          <w:p w:rsidR="00977D6C" w:rsidRPr="002B215C" w:rsidRDefault="00977D6C" w:rsidP="005B7761">
            <w:pPr>
              <w:pStyle w:val="AttendancePVTable"/>
            </w:pPr>
            <w:r>
              <w:t xml:space="preserve"> </w:t>
            </w:r>
          </w:p>
        </w:tc>
      </w:tr>
    </w:tbl>
    <w:p w:rsidR="00977D6C" w:rsidRPr="002B215C" w:rsidRDefault="00977D6C" w:rsidP="00977D6C">
      <w:pPr>
        <w:pStyle w:val="AttendancePV"/>
      </w:pPr>
    </w:p>
    <w:p w:rsidR="00977D6C" w:rsidRPr="002B215C" w:rsidRDefault="00977D6C" w:rsidP="00977D6C">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977D6C" w:rsidRPr="002B215C" w:rsidTr="005B7761">
        <w:trPr>
          <w:cantSplit/>
        </w:trPr>
        <w:tc>
          <w:tcPr>
            <w:tcW w:w="9072" w:type="dxa"/>
            <w:shd w:val="pct10" w:color="000000" w:fill="FFFFFF"/>
          </w:tcPr>
          <w:p w:rsidR="00977D6C" w:rsidRPr="002B215C" w:rsidRDefault="00977D6C" w:rsidP="005B7761">
            <w:pPr>
              <w:pStyle w:val="AttendancePVTable"/>
            </w:pPr>
            <w:r w:rsidRPr="002B215C">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977D6C" w:rsidRPr="002B215C" w:rsidTr="00977D6C">
        <w:trPr>
          <w:cantSplit/>
          <w:trHeight w:val="510"/>
        </w:trPr>
        <w:tc>
          <w:tcPr>
            <w:tcW w:w="9072" w:type="dxa"/>
          </w:tcPr>
          <w:p w:rsidR="00977D6C" w:rsidRPr="002B215C" w:rsidRDefault="00977D6C" w:rsidP="005B7761">
            <w:pPr>
              <w:pStyle w:val="AttendancePVTable"/>
            </w:pPr>
            <w:r>
              <w:t xml:space="preserve"> </w:t>
            </w:r>
          </w:p>
        </w:tc>
      </w:tr>
    </w:tbl>
    <w:p w:rsidR="00977D6C" w:rsidRDefault="00977D6C" w:rsidP="00977D6C">
      <w:pPr>
        <w:pStyle w:val="AttendancePV"/>
      </w:pPr>
    </w:p>
    <w:p w:rsidR="00977D6C" w:rsidRPr="002B215C" w:rsidRDefault="00977D6C" w:rsidP="00977D6C">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7D6C" w:rsidRPr="002B215C" w:rsidTr="005B7761">
        <w:trPr>
          <w:cantSplit/>
        </w:trPr>
        <w:tc>
          <w:tcPr>
            <w:tcW w:w="9072" w:type="dxa"/>
            <w:gridSpan w:val="2"/>
            <w:shd w:val="pct10" w:color="000000" w:fill="FFFFFF"/>
          </w:tcPr>
          <w:p w:rsidR="00977D6C" w:rsidRPr="002B215C" w:rsidRDefault="00977D6C" w:rsidP="005B7761">
            <w:pPr>
              <w:pStyle w:val="AttendancePVTable"/>
            </w:pPr>
            <w:r w:rsidRPr="002B215C">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977D6C" w:rsidRPr="002B215C" w:rsidTr="005B7761">
        <w:trPr>
          <w:cantSplit/>
        </w:trPr>
        <w:tc>
          <w:tcPr>
            <w:tcW w:w="1701" w:type="dxa"/>
            <w:shd w:val="clear" w:color="auto" w:fill="FFFFFF"/>
          </w:tcPr>
          <w:p w:rsidR="00977D6C" w:rsidRPr="00977D6C" w:rsidRDefault="00977D6C" w:rsidP="005B7761">
            <w:pPr>
              <w:pStyle w:val="AttendancePVTable"/>
              <w:rPr>
                <w:lang w:val="en-GB"/>
              </w:rPr>
            </w:pPr>
            <w:r w:rsidRPr="00977D6C">
              <w:rPr>
                <w:lang w:val="en-GB"/>
              </w:rPr>
              <w:t>PPE</w:t>
            </w:r>
          </w:p>
          <w:p w:rsidR="00977D6C" w:rsidRPr="00977D6C" w:rsidRDefault="00977D6C" w:rsidP="005B7761">
            <w:pPr>
              <w:pStyle w:val="AttendancePVTable"/>
              <w:rPr>
                <w:lang w:val="en-GB"/>
              </w:rPr>
            </w:pPr>
            <w:r w:rsidRPr="00977D6C">
              <w:rPr>
                <w:lang w:val="en-GB"/>
              </w:rPr>
              <w:t>S&amp;D</w:t>
            </w:r>
          </w:p>
          <w:p w:rsidR="00977D6C" w:rsidRPr="00977D6C" w:rsidRDefault="00977D6C" w:rsidP="005B7761">
            <w:pPr>
              <w:pStyle w:val="AttendancePVTable"/>
              <w:rPr>
                <w:lang w:val="en-GB"/>
              </w:rPr>
            </w:pPr>
            <w:r w:rsidRPr="00977D6C">
              <w:rPr>
                <w:lang w:val="en-GB"/>
              </w:rPr>
              <w:t>Renew</w:t>
            </w:r>
          </w:p>
          <w:p w:rsidR="00977D6C" w:rsidRPr="00977D6C" w:rsidRDefault="00977D6C" w:rsidP="005B7761">
            <w:pPr>
              <w:pStyle w:val="AttendancePVTable"/>
              <w:rPr>
                <w:lang w:val="en-GB"/>
              </w:rPr>
            </w:pPr>
            <w:r w:rsidRPr="00977D6C">
              <w:rPr>
                <w:lang w:val="en-GB"/>
              </w:rPr>
              <w:t>Verts/ALE</w:t>
            </w:r>
          </w:p>
          <w:p w:rsidR="00977D6C" w:rsidRPr="00977D6C" w:rsidRDefault="00977D6C" w:rsidP="005B7761">
            <w:pPr>
              <w:pStyle w:val="AttendancePVTable"/>
              <w:rPr>
                <w:lang w:val="en-GB"/>
              </w:rPr>
            </w:pPr>
            <w:r w:rsidRPr="00977D6C">
              <w:rPr>
                <w:lang w:val="en-GB"/>
              </w:rPr>
              <w:t>ID</w:t>
            </w:r>
          </w:p>
          <w:p w:rsidR="00977D6C" w:rsidRPr="00977D6C" w:rsidRDefault="00977D6C" w:rsidP="005B7761">
            <w:pPr>
              <w:pStyle w:val="AttendancePVTable"/>
              <w:rPr>
                <w:lang w:val="en-GB"/>
              </w:rPr>
            </w:pPr>
            <w:r w:rsidRPr="00977D6C">
              <w:rPr>
                <w:lang w:val="en-GB"/>
              </w:rPr>
              <w:t>ECR</w:t>
            </w:r>
          </w:p>
          <w:p w:rsidR="00977D6C" w:rsidRPr="002B215C" w:rsidRDefault="00977D6C" w:rsidP="005B7761">
            <w:pPr>
              <w:pStyle w:val="AttendancePVTable"/>
            </w:pPr>
            <w:r w:rsidRPr="002B215C">
              <w:t>GUE/NGL</w:t>
            </w:r>
          </w:p>
          <w:p w:rsidR="00977D6C" w:rsidRPr="002B215C" w:rsidRDefault="00977D6C" w:rsidP="005B7761">
            <w:pPr>
              <w:pStyle w:val="AttendancePVTable"/>
            </w:pPr>
            <w:r w:rsidRPr="002B215C">
              <w:t>NI</w:t>
            </w:r>
          </w:p>
        </w:tc>
        <w:tc>
          <w:tcPr>
            <w:tcW w:w="7371" w:type="dxa"/>
            <w:shd w:val="clear" w:color="auto" w:fill="FFFFFF"/>
          </w:tcPr>
          <w:p w:rsidR="00977D6C" w:rsidRPr="002B215C" w:rsidRDefault="00977D6C" w:rsidP="005B7761">
            <w:pPr>
              <w:pStyle w:val="AttendancePVTable"/>
            </w:pPr>
            <w:r>
              <w:t>Elina Natcheva-Skarby</w:t>
            </w:r>
          </w:p>
          <w:p w:rsidR="00977D6C" w:rsidRPr="00977D6C" w:rsidRDefault="00977D6C" w:rsidP="005B7761">
            <w:pPr>
              <w:pStyle w:val="AttendancePVTable"/>
            </w:pPr>
            <w:r w:rsidRPr="00977D6C">
              <w:t>Matteo Adduci, Adèle Bessoule, Juliette Brillet, Livia Jourdain, Jan Kunz</w:t>
            </w:r>
          </w:p>
          <w:p w:rsidR="00977D6C" w:rsidRPr="00977D6C" w:rsidRDefault="00977D6C" w:rsidP="005B7761">
            <w:pPr>
              <w:pStyle w:val="AttendancePVTable"/>
            </w:pPr>
            <w:r w:rsidRPr="00977D6C">
              <w:t>Anu Ahopelto</w:t>
            </w:r>
          </w:p>
          <w:p w:rsidR="00977D6C" w:rsidRPr="00977D6C" w:rsidRDefault="00977D6C" w:rsidP="005B7761">
            <w:pPr>
              <w:pStyle w:val="AttendancePVTable"/>
            </w:pPr>
            <w:r w:rsidRPr="00977D6C">
              <w:t>Beaate Beller, Magalie Jurine</w:t>
            </w:r>
          </w:p>
          <w:p w:rsidR="00977D6C" w:rsidRPr="00977D6C" w:rsidRDefault="00977D6C" w:rsidP="005B7761">
            <w:pPr>
              <w:pStyle w:val="AttendancePVTable"/>
            </w:pPr>
            <w:r w:rsidRPr="00977D6C">
              <w:t>Dirk Crols, Fabio Pasinelli</w:t>
            </w:r>
          </w:p>
          <w:p w:rsidR="00977D6C" w:rsidRPr="002B215C" w:rsidRDefault="00977D6C" w:rsidP="005B7761">
            <w:pPr>
              <w:pStyle w:val="AttendancePVTable"/>
            </w:pPr>
            <w:r>
              <w:t>Katarzyna Ochman-Kaminska</w:t>
            </w:r>
          </w:p>
          <w:p w:rsidR="00977D6C" w:rsidRPr="002B215C" w:rsidRDefault="00977D6C" w:rsidP="005B7761">
            <w:pPr>
              <w:pStyle w:val="AttendancePVTable"/>
            </w:pPr>
            <w:r>
              <w:t>Karola Boger</w:t>
            </w:r>
          </w:p>
          <w:p w:rsidR="00977D6C" w:rsidRPr="002B215C" w:rsidRDefault="00977D6C" w:rsidP="005B7761">
            <w:pPr>
              <w:pStyle w:val="AttendancePVTable"/>
            </w:pPr>
            <w:r>
              <w:t xml:space="preserve"> </w:t>
            </w:r>
          </w:p>
        </w:tc>
      </w:tr>
    </w:tbl>
    <w:p w:rsidR="00977D6C" w:rsidRPr="002B215C" w:rsidRDefault="00977D6C" w:rsidP="00977D6C">
      <w:pPr>
        <w:pStyle w:val="AttendancePV"/>
      </w:pPr>
    </w:p>
    <w:p w:rsidR="00977D6C" w:rsidRPr="002B215C" w:rsidRDefault="00977D6C" w:rsidP="00977D6C">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7D6C" w:rsidRPr="002B215C" w:rsidTr="005B7761">
        <w:trPr>
          <w:cantSplit/>
        </w:trPr>
        <w:tc>
          <w:tcPr>
            <w:tcW w:w="9072" w:type="dxa"/>
            <w:gridSpan w:val="2"/>
            <w:shd w:val="pct10" w:color="000000" w:fill="FFFFFF"/>
          </w:tcPr>
          <w:p w:rsidR="00977D6C" w:rsidRPr="002B215C" w:rsidRDefault="00977D6C" w:rsidP="005B7761">
            <w:pPr>
              <w:pStyle w:val="AttendancePVTable"/>
            </w:pPr>
            <w:r w:rsidRPr="002B215C">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977D6C" w:rsidRPr="002B215C" w:rsidTr="00977D6C">
        <w:trPr>
          <w:cantSplit/>
          <w:trHeight w:val="258"/>
        </w:trPr>
        <w:tc>
          <w:tcPr>
            <w:tcW w:w="9072" w:type="dxa"/>
            <w:gridSpan w:val="2"/>
            <w:shd w:val="clear" w:color="auto" w:fill="FFFFFF"/>
          </w:tcPr>
          <w:p w:rsidR="00977D6C" w:rsidRPr="002B215C" w:rsidRDefault="00977D6C" w:rsidP="005B7761">
            <w:pPr>
              <w:pStyle w:val="AttendancePVTable"/>
            </w:pPr>
            <w:r>
              <w:t xml:space="preserve"> </w:t>
            </w:r>
          </w:p>
        </w:tc>
      </w:tr>
      <w:tr w:rsidR="00977D6C" w:rsidRPr="002B215C" w:rsidTr="005B7761">
        <w:trPr>
          <w:cantSplit/>
        </w:trPr>
        <w:tc>
          <w:tcPr>
            <w:tcW w:w="9072" w:type="dxa"/>
            <w:gridSpan w:val="2"/>
            <w:shd w:val="pct10" w:color="000000" w:fill="FFFFFF"/>
          </w:tcPr>
          <w:p w:rsidR="00977D6C" w:rsidRPr="002B215C" w:rsidRDefault="00977D6C" w:rsidP="005B7761">
            <w:pPr>
              <w:pStyle w:val="AttendancePVTable"/>
            </w:pPr>
            <w:r w:rsidRPr="002B215C">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977D6C" w:rsidRPr="002B215C" w:rsidTr="005B7761">
        <w:trPr>
          <w:cantSplit/>
          <w:trHeight w:val="510"/>
        </w:trPr>
        <w:tc>
          <w:tcPr>
            <w:tcW w:w="9072" w:type="dxa"/>
            <w:gridSpan w:val="2"/>
            <w:shd w:val="clear" w:color="auto" w:fill="FFFFFF"/>
          </w:tcPr>
          <w:p w:rsidR="00977D6C" w:rsidRPr="002B215C" w:rsidRDefault="00977D6C" w:rsidP="005B7761">
            <w:pPr>
              <w:pStyle w:val="AttendancePVTable"/>
            </w:pPr>
            <w:r>
              <w:t xml:space="preserve"> </w:t>
            </w:r>
          </w:p>
        </w:tc>
      </w:tr>
      <w:tr w:rsidR="00977D6C" w:rsidRPr="002B215C" w:rsidTr="005B7761">
        <w:trPr>
          <w:cantSplit/>
        </w:trPr>
        <w:tc>
          <w:tcPr>
            <w:tcW w:w="9072" w:type="dxa"/>
            <w:gridSpan w:val="2"/>
            <w:shd w:val="pct10" w:color="000000" w:fill="FFFFFF"/>
          </w:tcPr>
          <w:p w:rsidR="00977D6C" w:rsidRPr="002B215C" w:rsidRDefault="00977D6C" w:rsidP="005B7761">
            <w:pPr>
              <w:pStyle w:val="AttendancePVTable"/>
            </w:pPr>
            <w:r w:rsidRPr="002B215C">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2B215C">
              <w:noBreakHyphen/>
              <w:t>generaal/Dyrekcja Generalna/Direcção-Geral/Direcţii Generale/Generálne riaditeľstvo/Generalni direktorat/Pääosasto/Generaldirektorat</w:t>
            </w:r>
          </w:p>
        </w:tc>
      </w:tr>
      <w:tr w:rsidR="00977D6C" w:rsidRPr="00977D6C" w:rsidTr="005B7761">
        <w:trPr>
          <w:cantSplit/>
          <w:trHeight w:val="720"/>
        </w:trPr>
        <w:tc>
          <w:tcPr>
            <w:tcW w:w="1701" w:type="dxa"/>
            <w:shd w:val="clear" w:color="auto" w:fill="FFFFFF"/>
          </w:tcPr>
          <w:p w:rsidR="00977D6C" w:rsidRPr="00C10AF6" w:rsidRDefault="00977D6C" w:rsidP="005B7761">
            <w:pPr>
              <w:pStyle w:val="AttendancePVTable"/>
              <w:rPr>
                <w:lang w:val="pt-PT"/>
              </w:rPr>
            </w:pPr>
            <w:r w:rsidRPr="00C10AF6">
              <w:rPr>
                <w:lang w:val="pt-PT"/>
              </w:rPr>
              <w:t>DG PRES</w:t>
            </w:r>
          </w:p>
          <w:p w:rsidR="00977D6C" w:rsidRPr="00C10AF6" w:rsidRDefault="00977D6C" w:rsidP="005B7761">
            <w:pPr>
              <w:pStyle w:val="AttendancePVTable"/>
              <w:rPr>
                <w:lang w:val="pt-PT"/>
              </w:rPr>
            </w:pPr>
            <w:r w:rsidRPr="00C10AF6">
              <w:rPr>
                <w:lang w:val="pt-PT"/>
              </w:rPr>
              <w:t>DG IPOL</w:t>
            </w:r>
          </w:p>
          <w:p w:rsidR="00977D6C" w:rsidRPr="00C10AF6" w:rsidRDefault="00977D6C" w:rsidP="005B7761">
            <w:pPr>
              <w:pStyle w:val="AttendancePVTable"/>
              <w:rPr>
                <w:lang w:val="pt-PT"/>
              </w:rPr>
            </w:pPr>
            <w:r w:rsidRPr="00C10AF6">
              <w:rPr>
                <w:lang w:val="pt-PT"/>
              </w:rPr>
              <w:t>DG EXPO</w:t>
            </w:r>
          </w:p>
          <w:p w:rsidR="00977D6C" w:rsidRPr="00977D6C" w:rsidRDefault="00977D6C" w:rsidP="005B7761">
            <w:pPr>
              <w:pStyle w:val="AttendancePVTable"/>
              <w:rPr>
                <w:lang w:val="en-GB"/>
              </w:rPr>
            </w:pPr>
            <w:r w:rsidRPr="00977D6C">
              <w:rPr>
                <w:lang w:val="en-GB"/>
              </w:rPr>
              <w:t>DG EPRS</w:t>
            </w:r>
          </w:p>
          <w:p w:rsidR="00977D6C" w:rsidRPr="00977D6C" w:rsidRDefault="00977D6C" w:rsidP="005B7761">
            <w:pPr>
              <w:pStyle w:val="AttendancePVTable"/>
              <w:rPr>
                <w:lang w:val="en-GB"/>
              </w:rPr>
            </w:pPr>
            <w:r w:rsidRPr="00977D6C">
              <w:rPr>
                <w:lang w:val="en-GB"/>
              </w:rPr>
              <w:t>DG COMM</w:t>
            </w:r>
          </w:p>
          <w:p w:rsidR="00977D6C" w:rsidRPr="00977D6C" w:rsidRDefault="00977D6C" w:rsidP="005B7761">
            <w:pPr>
              <w:pStyle w:val="AttendancePVTable"/>
              <w:rPr>
                <w:lang w:val="en-GB"/>
              </w:rPr>
            </w:pPr>
            <w:r w:rsidRPr="00977D6C">
              <w:rPr>
                <w:lang w:val="en-GB"/>
              </w:rPr>
              <w:t>DG PERS</w:t>
            </w:r>
          </w:p>
          <w:p w:rsidR="00977D6C" w:rsidRPr="00C10AF6" w:rsidRDefault="00977D6C" w:rsidP="005B7761">
            <w:pPr>
              <w:pStyle w:val="AttendancePVTable"/>
            </w:pPr>
            <w:r w:rsidRPr="00C10AF6">
              <w:t>DG INLO</w:t>
            </w:r>
          </w:p>
          <w:p w:rsidR="00977D6C" w:rsidRPr="00C10AF6" w:rsidRDefault="00977D6C" w:rsidP="005B7761">
            <w:pPr>
              <w:pStyle w:val="AttendancePVTable"/>
            </w:pPr>
            <w:r w:rsidRPr="00C10AF6">
              <w:t>DG TRAD</w:t>
            </w:r>
          </w:p>
          <w:p w:rsidR="00977D6C" w:rsidRPr="00C10AF6" w:rsidRDefault="00977D6C" w:rsidP="005B7761">
            <w:pPr>
              <w:pStyle w:val="AttendancePVTable"/>
            </w:pPr>
            <w:r w:rsidRPr="00C10AF6">
              <w:t>DG LINC</w:t>
            </w:r>
          </w:p>
          <w:p w:rsidR="00977D6C" w:rsidRPr="00977D6C" w:rsidRDefault="00977D6C" w:rsidP="005B7761">
            <w:pPr>
              <w:pStyle w:val="AttendancePVTable"/>
              <w:rPr>
                <w:lang w:val="en-GB"/>
              </w:rPr>
            </w:pPr>
            <w:r w:rsidRPr="00977D6C">
              <w:rPr>
                <w:lang w:val="en-GB"/>
              </w:rPr>
              <w:t>DG FINS</w:t>
            </w:r>
          </w:p>
          <w:p w:rsidR="00977D6C" w:rsidRPr="00977D6C" w:rsidRDefault="00977D6C" w:rsidP="005B7761">
            <w:pPr>
              <w:pStyle w:val="AttendancePVTable"/>
              <w:rPr>
                <w:lang w:val="en-GB"/>
              </w:rPr>
            </w:pPr>
            <w:r w:rsidRPr="00977D6C">
              <w:rPr>
                <w:lang w:val="en-GB"/>
              </w:rPr>
              <w:t>DG ITEC</w:t>
            </w:r>
          </w:p>
          <w:p w:rsidR="00977D6C" w:rsidRPr="00977D6C" w:rsidRDefault="00977D6C" w:rsidP="005B7761">
            <w:pPr>
              <w:pStyle w:val="AttendancePVTable"/>
              <w:rPr>
                <w:lang w:val="en-GB"/>
              </w:rPr>
            </w:pPr>
            <w:r w:rsidRPr="00977D6C">
              <w:rPr>
                <w:lang w:val="en-GB"/>
              </w:rPr>
              <w:t>DG SAFE</w:t>
            </w:r>
          </w:p>
        </w:tc>
        <w:tc>
          <w:tcPr>
            <w:tcW w:w="7371" w:type="dxa"/>
            <w:shd w:val="clear" w:color="auto" w:fill="FFFFFF"/>
          </w:tcPr>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Pr>
                <w:lang w:val="en-GB"/>
              </w:rPr>
              <w:t xml:space="preserve"> </w:t>
            </w:r>
          </w:p>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sidRPr="00977D6C">
              <w:rPr>
                <w:lang w:val="en-GB"/>
              </w:rPr>
              <w:t xml:space="preserve"> </w:t>
            </w:r>
          </w:p>
          <w:p w:rsidR="00977D6C" w:rsidRPr="00977D6C" w:rsidRDefault="00977D6C" w:rsidP="005B7761">
            <w:pPr>
              <w:pStyle w:val="AttendancePVTable"/>
              <w:rPr>
                <w:lang w:val="en-GB"/>
              </w:rPr>
            </w:pPr>
            <w:r w:rsidRPr="00977D6C">
              <w:rPr>
                <w:lang w:val="en-GB"/>
              </w:rPr>
              <w:t xml:space="preserve"> </w:t>
            </w:r>
          </w:p>
        </w:tc>
      </w:tr>
    </w:tbl>
    <w:p w:rsidR="00977D6C" w:rsidRDefault="00977D6C" w:rsidP="00977D6C">
      <w:pPr>
        <w:pStyle w:val="AttendancePV"/>
        <w:rPr>
          <w:lang w:val="en-GB"/>
        </w:rPr>
      </w:pPr>
    </w:p>
    <w:p w:rsidR="00977D6C" w:rsidRPr="00977D6C" w:rsidRDefault="00977D6C" w:rsidP="00977D6C">
      <w:pPr>
        <w:pStyle w:val="AttendancePV"/>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977D6C" w:rsidRPr="00977D6C" w:rsidTr="005B7761">
        <w:trPr>
          <w:cantSplit/>
        </w:trPr>
        <w:tc>
          <w:tcPr>
            <w:tcW w:w="9072" w:type="dxa"/>
            <w:shd w:val="pct10" w:color="000000" w:fill="FFFFFF"/>
          </w:tcPr>
          <w:p w:rsidR="00977D6C" w:rsidRPr="00977D6C" w:rsidRDefault="00977D6C" w:rsidP="005B7761">
            <w:pPr>
              <w:pStyle w:val="AttendancePVTable"/>
              <w:rPr>
                <w:lang w:val="en-GB"/>
              </w:rPr>
            </w:pPr>
            <w:r w:rsidRPr="002B215C">
              <w:t>Правна</w:t>
            </w:r>
            <w:r w:rsidRPr="00977D6C">
              <w:rPr>
                <w:lang w:val="en-GB"/>
              </w:rPr>
              <w:t xml:space="preserve"> </w:t>
            </w:r>
            <w:r w:rsidRPr="002B215C">
              <w:t>служба</w:t>
            </w:r>
            <w:r w:rsidRPr="00977D6C">
              <w:rPr>
                <w:lang w:val="en-GB"/>
              </w:rPr>
              <w:t>/Servicio Jurídico/Právní služba/Juridisk Tjeneste/Juristischer Dienst/Õigusteenistus/</w:t>
            </w:r>
            <w:r w:rsidRPr="002B215C">
              <w:t>Νομική</w:t>
            </w:r>
            <w:r w:rsidRPr="00977D6C">
              <w:rPr>
                <w:lang w:val="en-GB"/>
              </w:rPr>
              <w:t xml:space="preserve"> </w:t>
            </w:r>
            <w:r w:rsidRPr="002B215C">
              <w:t>Υπηρεσία</w:t>
            </w:r>
            <w:r w:rsidRPr="00977D6C">
              <w:rPr>
                <w:lang w:val="en-GB"/>
              </w:rPr>
              <w:t>/Legal Service/ Service juridique/Pravna služba/Servizio giuridico/Juridiskais dienests/Teisės tarnyba/Jogi szolgálat/Servizz legali/Juridische Dienst/ Wydział prawny/Serviço Jurídico/Serviciu Juridic/Právny servis/Oikeudellinen yksikkö/Rättstjänsten</w:t>
            </w:r>
          </w:p>
        </w:tc>
      </w:tr>
      <w:tr w:rsidR="00977D6C" w:rsidRPr="00977D6C" w:rsidTr="00977D6C">
        <w:trPr>
          <w:cantSplit/>
          <w:trHeight w:val="291"/>
        </w:trPr>
        <w:tc>
          <w:tcPr>
            <w:tcW w:w="9072" w:type="dxa"/>
            <w:shd w:val="clear" w:color="auto" w:fill="FFFFFF"/>
          </w:tcPr>
          <w:p w:rsidR="00977D6C" w:rsidRPr="00977D6C" w:rsidRDefault="00977D6C" w:rsidP="005B7761">
            <w:pPr>
              <w:pStyle w:val="AttendancePVTable"/>
              <w:rPr>
                <w:lang w:val="en-GB"/>
              </w:rPr>
            </w:pPr>
            <w:r w:rsidRPr="00977D6C">
              <w:rPr>
                <w:lang w:val="en-GB"/>
              </w:rPr>
              <w:t xml:space="preserve"> </w:t>
            </w:r>
          </w:p>
        </w:tc>
      </w:tr>
      <w:tr w:rsidR="00977D6C" w:rsidRPr="00977D6C" w:rsidTr="005B7761">
        <w:trPr>
          <w:cantSplit/>
        </w:trPr>
        <w:tc>
          <w:tcPr>
            <w:tcW w:w="9072" w:type="dxa"/>
            <w:shd w:val="pct10" w:color="000000" w:fill="FFFFFF"/>
          </w:tcPr>
          <w:p w:rsidR="00977D6C" w:rsidRPr="00977D6C" w:rsidRDefault="00977D6C" w:rsidP="005B7761">
            <w:pPr>
              <w:pStyle w:val="AttendancePVTable"/>
              <w:rPr>
                <w:lang w:val="en-GB"/>
              </w:rPr>
            </w:pPr>
            <w:r w:rsidRPr="002B215C">
              <w:t>Секретариат</w:t>
            </w:r>
            <w:r w:rsidRPr="00977D6C">
              <w:rPr>
                <w:lang w:val="en-GB"/>
              </w:rPr>
              <w:t xml:space="preserve"> </w:t>
            </w:r>
            <w:r w:rsidRPr="002B215C">
              <w:t>на</w:t>
            </w:r>
            <w:r w:rsidRPr="00977D6C">
              <w:rPr>
                <w:lang w:val="en-GB"/>
              </w:rPr>
              <w:t xml:space="preserve"> </w:t>
            </w:r>
            <w:r w:rsidRPr="002B215C">
              <w:t>комисията</w:t>
            </w:r>
            <w:r w:rsidRPr="00977D6C">
              <w:rPr>
                <w:lang w:val="en-GB"/>
              </w:rPr>
              <w:t>/Secretaría de la comisión/Sekretariát výboru/Udvalgssekretariatet/Ausschusssekretariat/Komisjoni sekretariaat/</w:t>
            </w:r>
            <w:r w:rsidRPr="002B215C">
              <w:t>Γραμματεία</w:t>
            </w:r>
            <w:r w:rsidRPr="00977D6C">
              <w:rPr>
                <w:lang w:val="en-GB"/>
              </w:rPr>
              <w:t xml:space="preserve"> </w:t>
            </w:r>
            <w:r w:rsidRPr="002B215C">
              <w:t>της</w:t>
            </w:r>
            <w:r w:rsidRPr="00977D6C">
              <w:rPr>
                <w:lang w:val="en-GB"/>
              </w:rPr>
              <w:t xml:space="preserve"> </w:t>
            </w:r>
            <w:r w:rsidRPr="002B215C">
              <w:t>επιτροπής</w:t>
            </w:r>
            <w:r w:rsidRPr="00977D6C">
              <w:rPr>
                <w:lang w:val="en-GB"/>
              </w:rPr>
              <w:t>/Committee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977D6C" w:rsidRPr="00977D6C" w:rsidTr="005B7761">
        <w:trPr>
          <w:cantSplit/>
          <w:trHeight w:val="510"/>
        </w:trPr>
        <w:tc>
          <w:tcPr>
            <w:tcW w:w="9072" w:type="dxa"/>
            <w:shd w:val="clear" w:color="auto" w:fill="FFFFFF"/>
          </w:tcPr>
          <w:p w:rsidR="00977D6C" w:rsidRPr="00977D6C" w:rsidRDefault="00977D6C" w:rsidP="005B7761">
            <w:pPr>
              <w:pStyle w:val="AttendancePVTable"/>
              <w:rPr>
                <w:lang w:val="en-GB"/>
              </w:rPr>
            </w:pPr>
            <w:r w:rsidRPr="00977D6C">
              <w:rPr>
                <w:lang w:val="en-GB"/>
              </w:rPr>
              <w:t>Andreas Huber, Mark Polling, Mina Petrucci, Svetla Radeva, Laurence Smajda, Milena Krieg</w:t>
            </w:r>
          </w:p>
        </w:tc>
      </w:tr>
      <w:tr w:rsidR="00977D6C" w:rsidRPr="002B215C" w:rsidTr="005B7761">
        <w:trPr>
          <w:cantSplit/>
        </w:trPr>
        <w:tc>
          <w:tcPr>
            <w:tcW w:w="9072" w:type="dxa"/>
            <w:shd w:val="pct10" w:color="000000" w:fill="FFFFFF"/>
          </w:tcPr>
          <w:p w:rsidR="00977D6C" w:rsidRPr="002B215C" w:rsidRDefault="00977D6C" w:rsidP="005B7761">
            <w:pPr>
              <w:pStyle w:val="AttendancePVTable"/>
            </w:pPr>
            <w:r w:rsidRPr="002B215C">
              <w:t>Сътрудник/Asistente/Asistent/Assistent/Assistenz/Βοηθός/Assistant/Assistente/Palīgs/Padėjėjas/Asszisztens/Asystent/Pomočnik/ Avustaja/Assistenter</w:t>
            </w:r>
          </w:p>
        </w:tc>
      </w:tr>
      <w:tr w:rsidR="00977D6C" w:rsidRPr="002B215C" w:rsidTr="005B7761">
        <w:trPr>
          <w:cantSplit/>
          <w:trHeight w:val="510"/>
        </w:trPr>
        <w:tc>
          <w:tcPr>
            <w:tcW w:w="9072" w:type="dxa"/>
            <w:shd w:val="clear" w:color="auto" w:fill="FFFFFF"/>
          </w:tcPr>
          <w:p w:rsidR="00977D6C" w:rsidRPr="002B215C" w:rsidRDefault="00977D6C" w:rsidP="005B7761">
            <w:pPr>
              <w:pStyle w:val="AttendancePVTable"/>
            </w:pPr>
            <w:r>
              <w:t>Liliya Eneva</w:t>
            </w:r>
          </w:p>
        </w:tc>
      </w:tr>
    </w:tbl>
    <w:p w:rsidR="00977D6C" w:rsidRPr="002B215C" w:rsidRDefault="00977D6C" w:rsidP="00977D6C">
      <w:pPr>
        <w:pStyle w:val="AttendancePV"/>
      </w:pPr>
    </w:p>
    <w:p w:rsidR="00977D6C" w:rsidRPr="002B215C" w:rsidRDefault="00977D6C" w:rsidP="00977D6C">
      <w:pPr>
        <w:pStyle w:val="AttendancePV"/>
      </w:pPr>
    </w:p>
    <w:p w:rsidR="00977D6C" w:rsidRPr="002B215C" w:rsidRDefault="00977D6C" w:rsidP="00977D6C">
      <w:pPr>
        <w:pStyle w:val="AttendancePVFootnote"/>
      </w:pPr>
      <w:r w:rsidRPr="002B215C">
        <w:t xml:space="preserve">* </w:t>
      </w:r>
      <w:r w:rsidRPr="002B215C">
        <w:tab/>
        <w:t>(P)</w:t>
      </w:r>
      <w:r w:rsidRPr="002B215C">
        <w:tab/>
        <w:t>=</w:t>
      </w:r>
      <w:r w:rsidRPr="002B215C">
        <w:tab/>
        <w:t>Председател/Presidente/Předseda/Formand/Vorsitzender/Esimees/Πρόεδρος/Chair/Président/Predsjednik/Priekšsēdētājs/ Pirmininkas/Elnök/'Chairman'/Voorzitter/Przewodniczący/Preşedinte/Predseda/Predsednik/Puheenjohtaja/Ordförande</w:t>
      </w:r>
    </w:p>
    <w:p w:rsidR="00977D6C" w:rsidRPr="002B215C" w:rsidRDefault="00977D6C" w:rsidP="00977D6C">
      <w:pPr>
        <w:pStyle w:val="AttendancePVFootnote"/>
      </w:pPr>
      <w:r w:rsidRPr="002B215C">
        <w:tab/>
        <w:t>(VP) =</w:t>
      </w:r>
      <w:r w:rsidRPr="002B215C">
        <w:tab/>
        <w:t>Заместник-председател/Vicepresidente/Místopředseda/Næstformand/Stellvertretender Vorsitzender/Aseesimees/Αντιπρόεδρος/ Vice</w:t>
      </w:r>
      <w:r w:rsidRPr="002B215C">
        <w:noBreakHyphen/>
        <w:t>Chair/Potpredsjednik/Vice</w:t>
      </w:r>
      <w:r w:rsidRPr="002B215C">
        <w:noBreakHyphen/>
        <w:t>Président/Potpredsjednik/Priekšsēdētāja vietnieks/Pirmininko pavaduotojas/Alelnök/ Viċi 'Chairman'/Ondervoorzitter/Wiceprzewodniczący/Vice-Presidente/Vicepreşedinte/Podpredseda/Podpredsednik/ Varapuheenjohtaja/Vice ordförande</w:t>
      </w:r>
    </w:p>
    <w:p w:rsidR="00977D6C" w:rsidRPr="002B215C" w:rsidRDefault="00977D6C" w:rsidP="00977D6C">
      <w:pPr>
        <w:pStyle w:val="AttendancePVFootnote"/>
      </w:pPr>
      <w:r w:rsidRPr="002B215C">
        <w:tab/>
        <w:t>(M)</w:t>
      </w:r>
      <w:r w:rsidRPr="002B215C">
        <w:tab/>
        <w:t>=</w:t>
      </w:r>
      <w:r w:rsidRPr="002B215C">
        <w:tab/>
        <w:t>Член/Miembro/Člen/Medlem./Mitglied/Parlamendiliige/Βουλευτής/Member/Membre/Član/Membro/Deputāts/Narys/Képviselő/ Membru/Lid/Członek/Membro/Membru/Člen/Poslanec/Jäsen/Ledamot</w:t>
      </w:r>
    </w:p>
    <w:p w:rsidR="0022027F" w:rsidRPr="00772F77" w:rsidRDefault="00977D6C" w:rsidP="00977D6C">
      <w:pPr>
        <w:pStyle w:val="AttendancePVFootnote"/>
      </w:pPr>
      <w:r w:rsidRPr="002B215C">
        <w:tab/>
        <w:t>(F)</w:t>
      </w:r>
      <w:r w:rsidRPr="002B215C">
        <w:tab/>
        <w:t>=</w:t>
      </w:r>
      <w:r w:rsidRPr="002B215C">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22027F" w:rsidRPr="00772F77" w:rsidSect="00462D0B">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5C" w:rsidRPr="00772F77" w:rsidRDefault="002B215C">
      <w:r w:rsidRPr="00772F77">
        <w:separator/>
      </w:r>
    </w:p>
    <w:p w:rsidR="002B215C" w:rsidRPr="00772F77" w:rsidRDefault="002B215C"/>
  </w:endnote>
  <w:endnote w:type="continuationSeparator" w:id="0">
    <w:p w:rsidR="002B215C" w:rsidRPr="00772F77" w:rsidRDefault="002B215C">
      <w:r w:rsidRPr="00772F77">
        <w:continuationSeparator/>
      </w:r>
    </w:p>
    <w:p w:rsidR="002B215C" w:rsidRPr="00772F77" w:rsidRDefault="002B2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7" w:rsidRPr="00772F77" w:rsidRDefault="00772F77" w:rsidP="00772F77">
    <w:pPr>
      <w:pStyle w:val="EPFooter"/>
    </w:pPr>
    <w:r w:rsidRPr="00772F77">
      <w:t>PE</w:t>
    </w:r>
    <w:r w:rsidRPr="00772F77">
      <w:rPr>
        <w:rStyle w:val="HideTWBExt"/>
        <w:noProof w:val="0"/>
      </w:rPr>
      <w:t>&lt;NoPE&gt;</w:t>
    </w:r>
    <w:r w:rsidRPr="00772F77">
      <w:t>643.184</w:t>
    </w:r>
    <w:r w:rsidRPr="00772F77">
      <w:rPr>
        <w:rStyle w:val="HideTWBExt"/>
        <w:noProof w:val="0"/>
      </w:rPr>
      <w:t>&lt;/NoPE&gt;&lt;Version&gt;</w:t>
    </w:r>
    <w:r w:rsidRPr="00772F77">
      <w:t>v01-00</w:t>
    </w:r>
    <w:r w:rsidRPr="00772F77">
      <w:rPr>
        <w:rStyle w:val="HideTWBExt"/>
        <w:noProof w:val="0"/>
      </w:rPr>
      <w:t>&lt;/Version&gt;</w:t>
    </w:r>
    <w:r w:rsidRPr="00772F77">
      <w:tab/>
    </w:r>
    <w:r w:rsidRPr="00772F77">
      <w:fldChar w:fldCharType="begin"/>
    </w:r>
    <w:r w:rsidRPr="00772F77">
      <w:instrText xml:space="preserve"> PAGE  \* MERGEFORMAT </w:instrText>
    </w:r>
    <w:r w:rsidRPr="00772F77">
      <w:fldChar w:fldCharType="separate"/>
    </w:r>
    <w:r w:rsidR="00977D6C">
      <w:rPr>
        <w:noProof/>
      </w:rPr>
      <w:t>4</w:t>
    </w:r>
    <w:r w:rsidRPr="00772F77">
      <w:fldChar w:fldCharType="end"/>
    </w:r>
    <w:r w:rsidRPr="00772F77">
      <w:t>/</w:t>
    </w:r>
    <w:fldSimple w:instr=" NUMPAGES  \* MERGEFORMAT ">
      <w:r w:rsidR="00977D6C">
        <w:rPr>
          <w:noProof/>
        </w:rPr>
        <w:t>5</w:t>
      </w:r>
    </w:fldSimple>
    <w:r w:rsidRPr="00772F77">
      <w:tab/>
    </w:r>
    <w:r w:rsidRPr="00772F77">
      <w:rPr>
        <w:rStyle w:val="HideTWBExt"/>
        <w:noProof w:val="0"/>
      </w:rPr>
      <w:t>&lt;PathFdR&gt;</w:t>
    </w:r>
    <w:r w:rsidRPr="00772F77">
      <w:t>PV\1192532SV.docx</w:t>
    </w:r>
    <w:r w:rsidRPr="00772F77">
      <w:rPr>
        <w:rStyle w:val="HideTWBExt"/>
        <w:noProof w:val="0"/>
      </w:rPr>
      <w:t>&lt;/PathFdR&gt;</w:t>
    </w:r>
  </w:p>
  <w:p w:rsidR="00A13D65" w:rsidRPr="00772F77" w:rsidRDefault="00772F77" w:rsidP="00772F77">
    <w:pPr>
      <w:pStyle w:val="EPFooter2"/>
    </w:pPr>
    <w:r w:rsidRPr="00772F77">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7" w:rsidRPr="00772F77" w:rsidRDefault="00772F77" w:rsidP="00772F77">
    <w:pPr>
      <w:pStyle w:val="EPFooter"/>
    </w:pPr>
    <w:r w:rsidRPr="00772F77">
      <w:rPr>
        <w:rStyle w:val="HideTWBExt"/>
        <w:noProof w:val="0"/>
      </w:rPr>
      <w:t>&lt;PathFdR&gt;</w:t>
    </w:r>
    <w:r w:rsidRPr="00772F77">
      <w:t>PV\1192532SV.docx</w:t>
    </w:r>
    <w:r w:rsidRPr="00772F77">
      <w:rPr>
        <w:rStyle w:val="HideTWBExt"/>
        <w:noProof w:val="0"/>
      </w:rPr>
      <w:t>&lt;/PathFdR&gt;</w:t>
    </w:r>
    <w:r w:rsidRPr="00772F77">
      <w:tab/>
    </w:r>
    <w:r w:rsidRPr="00772F77">
      <w:fldChar w:fldCharType="begin"/>
    </w:r>
    <w:r w:rsidRPr="00772F77">
      <w:instrText xml:space="preserve"> PAGE  \* MERGEFORMAT </w:instrText>
    </w:r>
    <w:r w:rsidRPr="00772F77">
      <w:fldChar w:fldCharType="separate"/>
    </w:r>
    <w:r w:rsidR="00977D6C">
      <w:rPr>
        <w:noProof/>
      </w:rPr>
      <w:t>3</w:t>
    </w:r>
    <w:r w:rsidRPr="00772F77">
      <w:fldChar w:fldCharType="end"/>
    </w:r>
    <w:r w:rsidRPr="00772F77">
      <w:t>/</w:t>
    </w:r>
    <w:fldSimple w:instr=" NUMPAGES  \* MERGEFORMAT ">
      <w:r w:rsidR="00977D6C">
        <w:rPr>
          <w:noProof/>
        </w:rPr>
        <w:t>5</w:t>
      </w:r>
    </w:fldSimple>
    <w:r w:rsidRPr="00772F77">
      <w:tab/>
      <w:t>PE</w:t>
    </w:r>
    <w:r w:rsidRPr="00772F77">
      <w:rPr>
        <w:rStyle w:val="HideTWBExt"/>
        <w:noProof w:val="0"/>
      </w:rPr>
      <w:t>&lt;NoPE&gt;</w:t>
    </w:r>
    <w:r w:rsidRPr="00772F77">
      <w:t>643.184</w:t>
    </w:r>
    <w:r w:rsidRPr="00772F77">
      <w:rPr>
        <w:rStyle w:val="HideTWBExt"/>
        <w:noProof w:val="0"/>
      </w:rPr>
      <w:t>&lt;/NoPE&gt;&lt;Version&gt;</w:t>
    </w:r>
    <w:r w:rsidRPr="00772F77">
      <w:t>v01-00</w:t>
    </w:r>
    <w:r w:rsidRPr="00772F77">
      <w:rPr>
        <w:rStyle w:val="HideTWBExt"/>
        <w:noProof w:val="0"/>
      </w:rPr>
      <w:t>&lt;/Version&gt;</w:t>
    </w:r>
  </w:p>
  <w:p w:rsidR="00A13D65" w:rsidRPr="00772F77" w:rsidRDefault="00772F77" w:rsidP="00772F77">
    <w:pPr>
      <w:pStyle w:val="EPFooter2"/>
    </w:pPr>
    <w:r w:rsidRPr="00772F77">
      <w:tab/>
    </w:r>
    <w:r w:rsidRPr="00772F77">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7" w:rsidRPr="00772F77" w:rsidRDefault="00772F77" w:rsidP="00772F77">
    <w:pPr>
      <w:pStyle w:val="EPFooter"/>
    </w:pPr>
    <w:r w:rsidRPr="00772F77">
      <w:rPr>
        <w:rStyle w:val="HideTWBExt"/>
        <w:noProof w:val="0"/>
      </w:rPr>
      <w:t>&lt;PathFdR&gt;</w:t>
    </w:r>
    <w:r w:rsidRPr="00772F77">
      <w:t>PV\1192532SV.docx</w:t>
    </w:r>
    <w:r w:rsidRPr="00772F77">
      <w:rPr>
        <w:rStyle w:val="HideTWBExt"/>
        <w:noProof w:val="0"/>
      </w:rPr>
      <w:t>&lt;/PathFdR&gt;</w:t>
    </w:r>
    <w:r w:rsidRPr="00772F77">
      <w:tab/>
    </w:r>
    <w:r w:rsidRPr="00772F77">
      <w:tab/>
      <w:t>PE</w:t>
    </w:r>
    <w:r w:rsidRPr="00772F77">
      <w:rPr>
        <w:rStyle w:val="HideTWBExt"/>
        <w:noProof w:val="0"/>
      </w:rPr>
      <w:t>&lt;NoPE&gt;</w:t>
    </w:r>
    <w:r w:rsidRPr="00772F77">
      <w:t>643.184</w:t>
    </w:r>
    <w:r w:rsidRPr="00772F77">
      <w:rPr>
        <w:rStyle w:val="HideTWBExt"/>
        <w:noProof w:val="0"/>
      </w:rPr>
      <w:t>&lt;/NoPE&gt;&lt;Version&gt;</w:t>
    </w:r>
    <w:r w:rsidRPr="00772F77">
      <w:t>v01-00</w:t>
    </w:r>
    <w:r w:rsidRPr="00772F77">
      <w:rPr>
        <w:rStyle w:val="HideTWBExt"/>
        <w:noProof w:val="0"/>
      </w:rPr>
      <w:t>&lt;/Version&gt;</w:t>
    </w:r>
  </w:p>
  <w:p w:rsidR="00A13D65" w:rsidRPr="00772F77" w:rsidRDefault="00772F77" w:rsidP="00772F77">
    <w:pPr>
      <w:pStyle w:val="EPFooter2"/>
    </w:pPr>
    <w:r w:rsidRPr="00772F77">
      <w:t>SV</w:t>
    </w:r>
    <w:r w:rsidRPr="00772F77">
      <w:tab/>
    </w:r>
    <w:r w:rsidRPr="00772F77">
      <w:rPr>
        <w:b w:val="0"/>
        <w:i/>
        <w:color w:val="C0C0C0"/>
        <w:sz w:val="22"/>
      </w:rPr>
      <w:t>Förenade i mångfalden</w:t>
    </w:r>
    <w:r w:rsidRPr="00772F77">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5C" w:rsidRPr="00772F77" w:rsidRDefault="002B215C">
      <w:r w:rsidRPr="00772F77">
        <w:separator/>
      </w:r>
    </w:p>
    <w:p w:rsidR="002B215C" w:rsidRPr="00772F77" w:rsidRDefault="002B215C"/>
  </w:footnote>
  <w:footnote w:type="continuationSeparator" w:id="0">
    <w:p w:rsidR="002B215C" w:rsidRPr="00772F77" w:rsidRDefault="002B215C">
      <w:r w:rsidRPr="00772F77">
        <w:continuationSeparator/>
      </w:r>
    </w:p>
    <w:p w:rsidR="002B215C" w:rsidRPr="00772F77" w:rsidRDefault="002B21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6C" w:rsidRDefault="00977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6C" w:rsidRDefault="00977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6C" w:rsidRDefault="00977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1D03662"/>
    <w:multiLevelType w:val="multilevel"/>
    <w:tmpl w:val="03D2C147"/>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2B75E06"/>
    <w:multiLevelType w:val="multilevel"/>
    <w:tmpl w:val="7DEE2CE2"/>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CAF08E5"/>
    <w:multiLevelType w:val="multilevel"/>
    <w:tmpl w:val="2C4840C7"/>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3F34155D"/>
    <w:multiLevelType w:val="multilevel"/>
    <w:tmpl w:val="787872D8"/>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BA9299E"/>
    <w:multiLevelType w:val="multilevel"/>
    <w:tmpl w:val="7305ED45"/>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1"/>
  </w:num>
  <w:num w:numId="4">
    <w:abstractNumId w:val="9"/>
  </w:num>
  <w:num w:numId="5">
    <w:abstractNumId w:val="1"/>
  </w:num>
  <w:num w:numId="6">
    <w:abstractNumId w:val="6"/>
  </w:num>
  <w:num w:numId="7">
    <w:abstractNumId w:val="2"/>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2"/>
  </w:num>
  <w:num w:numId="16">
    <w:abstractNumId w:val="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
  </w:num>
  <w:num w:numId="25">
    <w:abstractNumId w:val="2"/>
  </w:num>
  <w:num w:numId="26">
    <w:abstractNumId w:val="5"/>
  </w:num>
  <w:num w:numId="27">
    <w:abstractNumId w:val="4"/>
  </w:num>
  <w:num w:numId="28">
    <w:abstractNumId w:val="14"/>
  </w:num>
  <w:num w:numId="29">
    <w:abstractNumId w:val="0"/>
  </w:num>
  <w:num w:numId="30">
    <w:abstractNumId w:val="3"/>
  </w:num>
  <w:num w:numId="31">
    <w:abstractNumId w:val="10"/>
  </w:num>
  <w:num w:numId="32">
    <w:abstractNumId w:val="13"/>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CO"/>
    <w:docVar w:name="LastEditedSection" w:val=" 1"/>
    <w:docVar w:name="MEETMNU" w:val=" 1"/>
    <w:docVar w:name="NVAR" w:val="0"/>
    <w:docVar w:name="STOREDT1" w:val="12/11/2019"/>
    <w:docVar w:name="strDocTypeID" w:val="PVx"/>
    <w:docVar w:name="strSubDir" w:val="1192"/>
    <w:docVar w:name="TXTLANGUE" w:val="EN"/>
    <w:docVar w:name="TXTLANGUEMIN" w:val="en"/>
    <w:docVar w:name="TXTNRPE" w:val="643.184"/>
    <w:docVar w:name="TXTPEorAP" w:val="PE"/>
    <w:docVar w:name="TXTROUTE" w:val="PV\1192532EN.docx"/>
    <w:docVar w:name="TXTVERSION" w:val="01-00"/>
  </w:docVars>
  <w:rsids>
    <w:rsidRoot w:val="002B215C"/>
    <w:rsid w:val="00007788"/>
    <w:rsid w:val="00021AD6"/>
    <w:rsid w:val="000265BD"/>
    <w:rsid w:val="00033D40"/>
    <w:rsid w:val="00044997"/>
    <w:rsid w:val="000533F1"/>
    <w:rsid w:val="000637F3"/>
    <w:rsid w:val="0006514D"/>
    <w:rsid w:val="00092111"/>
    <w:rsid w:val="0009235A"/>
    <w:rsid w:val="000952B6"/>
    <w:rsid w:val="000A769E"/>
    <w:rsid w:val="000B1C1A"/>
    <w:rsid w:val="000B3097"/>
    <w:rsid w:val="000B727D"/>
    <w:rsid w:val="000C46ED"/>
    <w:rsid w:val="000D4F53"/>
    <w:rsid w:val="000D5FD7"/>
    <w:rsid w:val="000D7B8C"/>
    <w:rsid w:val="000E082D"/>
    <w:rsid w:val="000F0B40"/>
    <w:rsid w:val="000F6376"/>
    <w:rsid w:val="0011399B"/>
    <w:rsid w:val="00114A86"/>
    <w:rsid w:val="001173AC"/>
    <w:rsid w:val="00141763"/>
    <w:rsid w:val="00164E56"/>
    <w:rsid w:val="00176DCC"/>
    <w:rsid w:val="001813D5"/>
    <w:rsid w:val="001857BA"/>
    <w:rsid w:val="00190F58"/>
    <w:rsid w:val="00194506"/>
    <w:rsid w:val="0019636C"/>
    <w:rsid w:val="001A6773"/>
    <w:rsid w:val="001C4040"/>
    <w:rsid w:val="001D14AA"/>
    <w:rsid w:val="001E20EC"/>
    <w:rsid w:val="001E4EBD"/>
    <w:rsid w:val="0020777E"/>
    <w:rsid w:val="0022027F"/>
    <w:rsid w:val="00225BAF"/>
    <w:rsid w:val="0022750E"/>
    <w:rsid w:val="00236A0D"/>
    <w:rsid w:val="00243DFB"/>
    <w:rsid w:val="00250F5D"/>
    <w:rsid w:val="00251D85"/>
    <w:rsid w:val="0026136B"/>
    <w:rsid w:val="002659A2"/>
    <w:rsid w:val="00265D28"/>
    <w:rsid w:val="00273DB4"/>
    <w:rsid w:val="002753C7"/>
    <w:rsid w:val="002870DD"/>
    <w:rsid w:val="002A27BB"/>
    <w:rsid w:val="002B2003"/>
    <w:rsid w:val="002B215C"/>
    <w:rsid w:val="002D74B5"/>
    <w:rsid w:val="002D7816"/>
    <w:rsid w:val="002E083E"/>
    <w:rsid w:val="002E2B09"/>
    <w:rsid w:val="002E37A9"/>
    <w:rsid w:val="002F6DC1"/>
    <w:rsid w:val="00310CCF"/>
    <w:rsid w:val="00316C24"/>
    <w:rsid w:val="00323589"/>
    <w:rsid w:val="003345F5"/>
    <w:rsid w:val="0033767A"/>
    <w:rsid w:val="00343EBA"/>
    <w:rsid w:val="003547F9"/>
    <w:rsid w:val="0036013B"/>
    <w:rsid w:val="00367FF0"/>
    <w:rsid w:val="00370637"/>
    <w:rsid w:val="00374A20"/>
    <w:rsid w:val="003A0A68"/>
    <w:rsid w:val="003A2819"/>
    <w:rsid w:val="003A4EA4"/>
    <w:rsid w:val="003B4372"/>
    <w:rsid w:val="003C12C7"/>
    <w:rsid w:val="003C7A12"/>
    <w:rsid w:val="003D1CBB"/>
    <w:rsid w:val="003E0A41"/>
    <w:rsid w:val="003E0BDE"/>
    <w:rsid w:val="003E0D2D"/>
    <w:rsid w:val="003E582C"/>
    <w:rsid w:val="003F18DC"/>
    <w:rsid w:val="00405A95"/>
    <w:rsid w:val="004062E2"/>
    <w:rsid w:val="00431F9D"/>
    <w:rsid w:val="0045430B"/>
    <w:rsid w:val="00462D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20"/>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C3CF4"/>
    <w:rsid w:val="005D2D78"/>
    <w:rsid w:val="005D4FEF"/>
    <w:rsid w:val="005D5A08"/>
    <w:rsid w:val="005E11B3"/>
    <w:rsid w:val="005E2DEF"/>
    <w:rsid w:val="005E6C44"/>
    <w:rsid w:val="005F6C89"/>
    <w:rsid w:val="00611155"/>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0FF3"/>
    <w:rsid w:val="006E2C80"/>
    <w:rsid w:val="00702491"/>
    <w:rsid w:val="00704D52"/>
    <w:rsid w:val="0070508E"/>
    <w:rsid w:val="00713B78"/>
    <w:rsid w:val="00714F25"/>
    <w:rsid w:val="007153A2"/>
    <w:rsid w:val="00754C89"/>
    <w:rsid w:val="00755125"/>
    <w:rsid w:val="00765523"/>
    <w:rsid w:val="00765E1E"/>
    <w:rsid w:val="0076749D"/>
    <w:rsid w:val="00772F77"/>
    <w:rsid w:val="00785E9B"/>
    <w:rsid w:val="00792939"/>
    <w:rsid w:val="00793FC2"/>
    <w:rsid w:val="007A3289"/>
    <w:rsid w:val="007B0C9D"/>
    <w:rsid w:val="007C674A"/>
    <w:rsid w:val="007D1D46"/>
    <w:rsid w:val="007D336D"/>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30D7"/>
    <w:rsid w:val="008A5B14"/>
    <w:rsid w:val="008A7874"/>
    <w:rsid w:val="008B0D40"/>
    <w:rsid w:val="008C12BD"/>
    <w:rsid w:val="008C3BBA"/>
    <w:rsid w:val="008D720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77D6C"/>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01D9E"/>
    <w:rsid w:val="00C13E92"/>
    <w:rsid w:val="00C346F1"/>
    <w:rsid w:val="00C36FC4"/>
    <w:rsid w:val="00C46B37"/>
    <w:rsid w:val="00C55233"/>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C79DE"/>
    <w:rsid w:val="00CD01A6"/>
    <w:rsid w:val="00CD0CF5"/>
    <w:rsid w:val="00CE29F4"/>
    <w:rsid w:val="00CE5AEB"/>
    <w:rsid w:val="00CF2D24"/>
    <w:rsid w:val="00CF45C4"/>
    <w:rsid w:val="00CF78F5"/>
    <w:rsid w:val="00D11A34"/>
    <w:rsid w:val="00D3033D"/>
    <w:rsid w:val="00D329C8"/>
    <w:rsid w:val="00D342CE"/>
    <w:rsid w:val="00D374CC"/>
    <w:rsid w:val="00D45997"/>
    <w:rsid w:val="00D55EDF"/>
    <w:rsid w:val="00D6668F"/>
    <w:rsid w:val="00D747F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0FB9"/>
    <w:rsid w:val="00E8424C"/>
    <w:rsid w:val="00E85748"/>
    <w:rsid w:val="00E92D38"/>
    <w:rsid w:val="00EA0B23"/>
    <w:rsid w:val="00EA74BF"/>
    <w:rsid w:val="00EA7E10"/>
    <w:rsid w:val="00EB4FBD"/>
    <w:rsid w:val="00EC7932"/>
    <w:rsid w:val="00ED5E0A"/>
    <w:rsid w:val="00EE0704"/>
    <w:rsid w:val="00EE1928"/>
    <w:rsid w:val="00EE3F96"/>
    <w:rsid w:val="00EF2B19"/>
    <w:rsid w:val="00F0068D"/>
    <w:rsid w:val="00F05E49"/>
    <w:rsid w:val="00F24FAF"/>
    <w:rsid w:val="00F262FB"/>
    <w:rsid w:val="00F267B4"/>
    <w:rsid w:val="00F27D16"/>
    <w:rsid w:val="00F31226"/>
    <w:rsid w:val="00F36557"/>
    <w:rsid w:val="00F4356E"/>
    <w:rsid w:val="00F51C97"/>
    <w:rsid w:val="00F5491E"/>
    <w:rsid w:val="00F55B51"/>
    <w:rsid w:val="00F56C80"/>
    <w:rsid w:val="00F60A98"/>
    <w:rsid w:val="00F64B87"/>
    <w:rsid w:val="00F84353"/>
    <w:rsid w:val="00F87059"/>
    <w:rsid w:val="00F909BF"/>
    <w:rsid w:val="00F97A4F"/>
    <w:rsid w:val="00FA0152"/>
    <w:rsid w:val="00FA6AF5"/>
    <w:rsid w:val="00FB09D1"/>
    <w:rsid w:val="00FB3DF0"/>
    <w:rsid w:val="00FB60DF"/>
    <w:rsid w:val="00FB63BE"/>
    <w:rsid w:val="00FC1B11"/>
    <w:rsid w:val="00FC4C34"/>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3B16C"/>
  <w15:chartTrackingRefBased/>
  <w15:docId w15:val="{F596455E-38B0-43CF-9687-8FB96668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4E5720"/>
    <w:pPr>
      <w:tabs>
        <w:tab w:val="center" w:pos="4513"/>
        <w:tab w:val="right" w:pos="9026"/>
      </w:tabs>
    </w:pPr>
  </w:style>
  <w:style w:type="character" w:customStyle="1" w:styleId="FooterChar">
    <w:name w:val="Footer Char"/>
    <w:basedOn w:val="DefaultParagraphFont"/>
    <w:link w:val="Footer"/>
    <w:rsid w:val="004E5720"/>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3962">
      <w:bodyDiv w:val="1"/>
      <w:marLeft w:val="0"/>
      <w:marRight w:val="0"/>
      <w:marTop w:val="0"/>
      <w:marBottom w:val="0"/>
      <w:divBdr>
        <w:top w:val="none" w:sz="0" w:space="0" w:color="auto"/>
        <w:left w:val="none" w:sz="0" w:space="0" w:color="auto"/>
        <w:bottom w:val="none" w:sz="0" w:space="0" w:color="auto"/>
        <w:right w:val="none" w:sz="0" w:space="0" w:color="auto"/>
      </w:divBdr>
    </w:div>
    <w:div w:id="958880558">
      <w:bodyDiv w:val="1"/>
      <w:marLeft w:val="0"/>
      <w:marRight w:val="0"/>
      <w:marTop w:val="0"/>
      <w:marBottom w:val="0"/>
      <w:divBdr>
        <w:top w:val="none" w:sz="0" w:space="0" w:color="auto"/>
        <w:left w:val="none" w:sz="0" w:space="0" w:color="auto"/>
        <w:bottom w:val="none" w:sz="0" w:space="0" w:color="auto"/>
        <w:right w:val="none" w:sz="0" w:space="0" w:color="auto"/>
      </w:divBdr>
    </w:div>
    <w:div w:id="1093429031">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rieg\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ED83-DB55-45BF-A3F0-A6CDE487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1</TotalTime>
  <Pages>5</Pages>
  <Words>1468</Words>
  <Characters>10269</Characters>
  <Application>Microsoft Office Word</Application>
  <DocSecurity>0</DocSecurity>
  <Lines>446</Lines>
  <Paragraphs>308</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11429</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KRIEG Milena</dc:creator>
  <cp:keywords/>
  <cp:lastModifiedBy>NIEMINEN-LINDQUIST Jaana</cp:lastModifiedBy>
  <cp:revision>2</cp:revision>
  <cp:lastPrinted>2009-06-18T13:43:00Z</cp:lastPrinted>
  <dcterms:created xsi:type="dcterms:W3CDTF">2019-11-28T14:42:00Z</dcterms:created>
  <dcterms:modified xsi:type="dcterms:W3CDTF">2019-11-28T14:42:00Z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1192532</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PV\1192532SV.docx</vt:lpwstr>
  </property>
  <property fmtid="{D5CDD505-2E9C-101B-9397-08002B2CF9AE}" pid="10" name="PE number">
    <vt:lpwstr>643.184</vt:lpwstr>
  </property>
  <property fmtid="{D5CDD505-2E9C-101B-9397-08002B2CF9AE}" pid="11" name="SubscribeElise">
    <vt:lpwstr/>
  </property>
  <property fmtid="{D5CDD505-2E9C-101B-9397-08002B2CF9AE}" pid="12" name="SendToEpades">
    <vt:lpwstr>OK - 2019/11/14 15:05</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- 2019/11/28 15:41</vt:lpwstr>
  </property>
</Properties>
</file>