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C2BB2" w:rsidRPr="008837FC" w:rsidTr="001A7B45">
        <w:trPr>
          <w:trHeight w:hRule="exact" w:val="1418"/>
        </w:trPr>
        <w:tc>
          <w:tcPr>
            <w:tcW w:w="6804" w:type="dxa"/>
            <w:shd w:val="clear" w:color="auto" w:fill="auto"/>
            <w:vAlign w:val="center"/>
          </w:tcPr>
          <w:p w:rsidR="005C092D" w:rsidRPr="008837FC" w:rsidRDefault="009A34F8" w:rsidP="001A7B45">
            <w:pPr>
              <w:pStyle w:val="EPName"/>
            </w:pPr>
            <w:bookmarkStart w:id="0" w:name="_GoBack"/>
            <w:r w:rsidRPr="008837FC">
              <w:t>Europski parlament</w:t>
            </w:r>
          </w:p>
          <w:p w:rsidR="005C092D" w:rsidRPr="008837FC" w:rsidRDefault="009A34F8" w:rsidP="00AE114F">
            <w:pPr>
              <w:pStyle w:val="EPTerm"/>
            </w:pPr>
            <w:r w:rsidRPr="008837FC">
              <w:t>2019.- 2024.</w:t>
            </w:r>
          </w:p>
        </w:tc>
        <w:tc>
          <w:tcPr>
            <w:tcW w:w="2268" w:type="dxa"/>
            <w:shd w:val="clear" w:color="auto" w:fill="auto"/>
          </w:tcPr>
          <w:p w:rsidR="005C092D" w:rsidRPr="008837FC" w:rsidRDefault="009A34F8" w:rsidP="001A7B45">
            <w:pPr>
              <w:pStyle w:val="EPLogo"/>
            </w:pPr>
            <w:r w:rsidRPr="008837FC">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45229"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C31206" w:rsidRPr="008837FC" w:rsidRDefault="00C31206" w:rsidP="00C31206">
      <w:pPr>
        <w:pStyle w:val="LineTop"/>
      </w:pPr>
    </w:p>
    <w:p w:rsidR="00C31206" w:rsidRPr="008837FC" w:rsidRDefault="009A34F8" w:rsidP="00C31206">
      <w:pPr>
        <w:pStyle w:val="EPBody"/>
      </w:pPr>
      <w:r w:rsidRPr="008837FC">
        <w:rPr>
          <w:rStyle w:val="HideTWBExt"/>
          <w:i w:val="0"/>
          <w:noProof w:val="0"/>
          <w:color w:val="auto"/>
          <w:szCs w:val="20"/>
        </w:rPr>
        <w:t>&lt;Commission&gt;</w:t>
      </w:r>
      <w:r w:rsidRPr="008837FC">
        <w:rPr>
          <w:rStyle w:val="HideTWBInt"/>
          <w:i w:val="0"/>
          <w:noProof w:val="0"/>
          <w:color w:val="auto"/>
          <w:szCs w:val="20"/>
        </w:rPr>
        <w:t>{ENVI}</w:t>
      </w:r>
      <w:r w:rsidRPr="008837FC">
        <w:t>Odbor za okoliš, javno zdravlje i sigurnost hrane</w:t>
      </w:r>
      <w:r w:rsidRPr="008837FC">
        <w:rPr>
          <w:rStyle w:val="HideTWBExt"/>
          <w:i w:val="0"/>
          <w:noProof w:val="0"/>
          <w:color w:val="auto"/>
          <w:szCs w:val="20"/>
        </w:rPr>
        <w:t>&lt;/Commission&gt;</w:t>
      </w:r>
    </w:p>
    <w:p w:rsidR="00C31206" w:rsidRPr="008837FC" w:rsidRDefault="00C31206" w:rsidP="00C31206">
      <w:pPr>
        <w:pStyle w:val="LineBottom"/>
      </w:pPr>
    </w:p>
    <w:p w:rsidR="00AE114F" w:rsidRPr="008837FC" w:rsidRDefault="009A34F8" w:rsidP="00AE114F">
      <w:pPr>
        <w:pStyle w:val="CoverReference"/>
      </w:pPr>
      <w:r w:rsidRPr="008837FC">
        <w:rPr>
          <w:rStyle w:val="HideTWBExt"/>
          <w:b w:val="0"/>
          <w:noProof w:val="0"/>
          <w:color w:val="auto"/>
        </w:rPr>
        <w:t>&lt;RefProc&gt;</w:t>
      </w:r>
      <w:r w:rsidR="008837FC" w:rsidRPr="008837FC">
        <w:t>2020</w:t>
      </w:r>
      <w:r w:rsidRPr="008837FC">
        <w:t>/0106</w:t>
      </w:r>
      <w:r w:rsidRPr="008837FC">
        <w:rPr>
          <w:rStyle w:val="HideTWBExt"/>
          <w:b w:val="0"/>
          <w:noProof w:val="0"/>
          <w:color w:val="auto"/>
        </w:rPr>
        <w:t>&lt;/RefProc&gt;&lt;RefTypeProc&gt;</w:t>
      </w:r>
      <w:r w:rsidRPr="008837FC">
        <w:t>(COD)</w:t>
      </w:r>
      <w:r w:rsidRPr="008837FC">
        <w:rPr>
          <w:rStyle w:val="HideTWBExt"/>
          <w:b w:val="0"/>
          <w:noProof w:val="0"/>
          <w:color w:val="auto"/>
        </w:rPr>
        <w:t>&lt;/RefTypeProc&gt;</w:t>
      </w:r>
    </w:p>
    <w:p w:rsidR="00AE114F" w:rsidRPr="008837FC" w:rsidRDefault="009A34F8" w:rsidP="00AE114F">
      <w:pPr>
        <w:pStyle w:val="CoverDate"/>
      </w:pPr>
      <w:r w:rsidRPr="008837FC">
        <w:rPr>
          <w:rStyle w:val="HideTWBExt"/>
          <w:noProof w:val="0"/>
          <w:color w:val="auto"/>
        </w:rPr>
        <w:t>&lt;Date&gt;</w:t>
      </w:r>
      <w:r w:rsidRPr="008837FC">
        <w:rPr>
          <w:rStyle w:val="HideTWBInt"/>
          <w:noProof w:val="0"/>
          <w:color w:val="auto"/>
        </w:rPr>
        <w:t>{20/07/2020}</w:t>
      </w:r>
      <w:r w:rsidRPr="008837FC">
        <w:t>20.7.2020</w:t>
      </w:r>
      <w:r w:rsidRPr="008837FC">
        <w:rPr>
          <w:rStyle w:val="HideTWBExt"/>
          <w:noProof w:val="0"/>
          <w:color w:val="auto"/>
        </w:rPr>
        <w:t>&lt;/Date&gt;</w:t>
      </w:r>
    </w:p>
    <w:p w:rsidR="00AE114F" w:rsidRPr="008837FC" w:rsidRDefault="009A34F8" w:rsidP="00AE114F">
      <w:pPr>
        <w:pStyle w:val="CoverDocType"/>
      </w:pPr>
      <w:r w:rsidRPr="008837FC">
        <w:rPr>
          <w:rStyle w:val="HideTWBExt"/>
          <w:b w:val="0"/>
          <w:noProof w:val="0"/>
          <w:color w:val="auto"/>
        </w:rPr>
        <w:t>&lt;TypeAM&gt;</w:t>
      </w:r>
      <w:r w:rsidRPr="008837FC">
        <w:t>AMANDMANI</w:t>
      </w:r>
      <w:r w:rsidRPr="008837FC">
        <w:rPr>
          <w:rStyle w:val="HideTWBExt"/>
          <w:b w:val="0"/>
          <w:noProof w:val="0"/>
          <w:color w:val="auto"/>
        </w:rPr>
        <w:t>&lt;/TypeAM&gt;</w:t>
      </w:r>
    </w:p>
    <w:p w:rsidR="00AE114F" w:rsidRPr="008837FC" w:rsidRDefault="009A34F8" w:rsidP="00AE114F">
      <w:pPr>
        <w:pStyle w:val="CoverDocType24a"/>
      </w:pPr>
      <w:r w:rsidRPr="008837FC">
        <w:rPr>
          <w:rStyle w:val="HideTWBExt"/>
          <w:b w:val="0"/>
          <w:noProof w:val="0"/>
          <w:color w:val="auto"/>
        </w:rPr>
        <w:t>&lt;RangeAM&gt;</w:t>
      </w:r>
      <w:r w:rsidR="008837FC" w:rsidRPr="008837FC">
        <w:t>1</w:t>
      </w:r>
      <w:r w:rsidRPr="008837FC">
        <w:t> – 75</w:t>
      </w:r>
      <w:r w:rsidRPr="008837FC">
        <w:rPr>
          <w:rStyle w:val="HideTWBExt"/>
          <w:b w:val="0"/>
          <w:noProof w:val="0"/>
          <w:color w:val="auto"/>
        </w:rPr>
        <w:t>&lt;/RangeAM&gt;</w:t>
      </w:r>
    </w:p>
    <w:p w:rsidR="000D7579" w:rsidRPr="008837FC" w:rsidRDefault="009A34F8" w:rsidP="000D7579">
      <w:pPr>
        <w:pStyle w:val="CoverBold"/>
      </w:pPr>
      <w:r w:rsidRPr="008837FC">
        <w:rPr>
          <w:rStyle w:val="HideTWBExt"/>
          <w:b w:val="0"/>
          <w:noProof w:val="0"/>
          <w:color w:val="auto"/>
        </w:rPr>
        <w:t>&lt;TitreType&gt;</w:t>
      </w:r>
      <w:r w:rsidRPr="008837FC">
        <w:t>Nacrt mišljenja</w:t>
      </w:r>
      <w:r w:rsidRPr="008837FC">
        <w:rPr>
          <w:rStyle w:val="HideTWBExt"/>
          <w:b w:val="0"/>
          <w:noProof w:val="0"/>
          <w:color w:val="auto"/>
        </w:rPr>
        <w:t>&lt;/TitreType&gt;</w:t>
      </w:r>
    </w:p>
    <w:p w:rsidR="00AE114F" w:rsidRPr="008837FC" w:rsidRDefault="009A34F8" w:rsidP="00062FFD">
      <w:pPr>
        <w:pStyle w:val="CoverBold"/>
      </w:pPr>
      <w:r w:rsidRPr="008837FC">
        <w:rPr>
          <w:rStyle w:val="HideTWBExt"/>
          <w:b w:val="0"/>
          <w:noProof w:val="0"/>
          <w:color w:val="auto"/>
        </w:rPr>
        <w:t>&lt;Rapporteur&gt;</w:t>
      </w:r>
      <w:r w:rsidRPr="008837FC">
        <w:t>Pascal Canfin</w:t>
      </w:r>
      <w:r w:rsidRPr="008837FC">
        <w:rPr>
          <w:rStyle w:val="HideTWBExt"/>
          <w:b w:val="0"/>
          <w:noProof w:val="0"/>
          <w:color w:val="auto"/>
        </w:rPr>
        <w:t>&lt;/Rapporteur&gt;</w:t>
      </w:r>
    </w:p>
    <w:p w:rsidR="000D7579" w:rsidRPr="008837FC" w:rsidRDefault="009A34F8" w:rsidP="00AE114F">
      <w:pPr>
        <w:pStyle w:val="CoverNormal24a"/>
      </w:pPr>
      <w:r w:rsidRPr="008837FC">
        <w:rPr>
          <w:rStyle w:val="HideTWBExt"/>
          <w:noProof w:val="0"/>
          <w:color w:val="auto"/>
        </w:rPr>
        <w:t>&lt;DocRefPE&gt;</w:t>
      </w:r>
      <w:r w:rsidRPr="008837FC">
        <w:t>(PE655.624v01-00)</w:t>
      </w:r>
      <w:r w:rsidRPr="008837FC">
        <w:rPr>
          <w:rStyle w:val="HideTWBExt"/>
          <w:noProof w:val="0"/>
          <w:color w:val="auto"/>
        </w:rPr>
        <w:t>&lt;/DocRefPE&gt;</w:t>
      </w:r>
    </w:p>
    <w:p w:rsidR="00AE114F" w:rsidRPr="008837FC" w:rsidRDefault="009A34F8" w:rsidP="00AE114F">
      <w:pPr>
        <w:pStyle w:val="CoverNormal24a"/>
      </w:pPr>
      <w:r w:rsidRPr="008837FC">
        <w:rPr>
          <w:rStyle w:val="HideTWBExt"/>
          <w:noProof w:val="0"/>
          <w:color w:val="auto"/>
        </w:rPr>
        <w:t>&lt;Titre&gt;</w:t>
      </w:r>
      <w:r w:rsidRPr="008837FC">
        <w:t>o izmjeni Uredbe (EU) 2015/1017 u pogledu uspostave instrumenta za potporu solventnosti</w:t>
      </w:r>
      <w:r w:rsidRPr="008837FC">
        <w:rPr>
          <w:rStyle w:val="HideTWBExt"/>
          <w:noProof w:val="0"/>
          <w:color w:val="auto"/>
        </w:rPr>
        <w:t>&lt;/Titre&gt;</w:t>
      </w:r>
    </w:p>
    <w:p w:rsidR="00AE114F" w:rsidRPr="008837FC" w:rsidRDefault="009A34F8" w:rsidP="00AE114F">
      <w:pPr>
        <w:pStyle w:val="CoverNormal"/>
      </w:pPr>
      <w:r w:rsidRPr="008837FC">
        <w:rPr>
          <w:rStyle w:val="HideTWBExt"/>
          <w:noProof w:val="0"/>
          <w:color w:val="auto"/>
        </w:rPr>
        <w:t>&lt;DocAmend&gt;</w:t>
      </w:r>
      <w:r w:rsidRPr="008837FC">
        <w:t>Prijedlog uredbe</w:t>
      </w:r>
      <w:r w:rsidRPr="008837FC">
        <w:rPr>
          <w:rStyle w:val="HideTWBExt"/>
          <w:noProof w:val="0"/>
          <w:color w:val="auto"/>
        </w:rPr>
        <w:t>&lt;/DocAmend&gt;</w:t>
      </w:r>
    </w:p>
    <w:p w:rsidR="00AE114F" w:rsidRPr="008837FC" w:rsidRDefault="009A34F8" w:rsidP="00AE114F">
      <w:pPr>
        <w:pStyle w:val="CoverNormal24a"/>
      </w:pPr>
      <w:r w:rsidRPr="008837FC">
        <w:rPr>
          <w:rStyle w:val="HideTWBExt"/>
          <w:noProof w:val="0"/>
          <w:color w:val="auto"/>
        </w:rPr>
        <w:t>&lt;DocRef&gt;</w:t>
      </w:r>
      <w:r w:rsidRPr="008837FC">
        <w:t>(COM(2020)0404 – C9-0156/2020 – 2020/0106(COD))</w:t>
      </w:r>
      <w:r w:rsidRPr="008837FC">
        <w:rPr>
          <w:rStyle w:val="HideTWBExt"/>
          <w:noProof w:val="0"/>
          <w:color w:val="auto"/>
        </w:rPr>
        <w:t>&lt;/DocRef&gt;</w:t>
      </w:r>
    </w:p>
    <w:p w:rsidR="00B85286" w:rsidRPr="008837FC" w:rsidRDefault="009A34F8" w:rsidP="00146CF4">
      <w:pPr>
        <w:widowControl/>
        <w:tabs>
          <w:tab w:val="center" w:pos="4677"/>
        </w:tabs>
      </w:pPr>
      <w:r w:rsidRPr="008837FC">
        <w:br w:type="page"/>
      </w:r>
      <w:r w:rsidRPr="008837FC">
        <w:lastRenderedPageBreak/>
        <w:t>AM_Com_LegOpinion</w:t>
      </w:r>
    </w:p>
    <w:p w:rsidR="00AE114F" w:rsidRPr="008837FC" w:rsidRDefault="009A34F8" w:rsidP="00AE114F">
      <w:pPr>
        <w:pStyle w:val="AmNumberTabs"/>
      </w:pPr>
      <w:r w:rsidRPr="008837FC">
        <w:br w:type="page"/>
      </w:r>
      <w:r w:rsidRPr="008837FC">
        <w:rPr>
          <w:rStyle w:val="HideTWBExt"/>
          <w:b w:val="0"/>
          <w:noProof w:val="0"/>
          <w:color w:val="auto"/>
        </w:rPr>
        <w:lastRenderedPageBreak/>
        <w:t>&lt;RepeatBlock-Amend&gt;&lt;Amend&gt;</w:t>
      </w:r>
      <w:r w:rsidRPr="008837FC">
        <w:t>Amandman</w:t>
      </w:r>
      <w:r w:rsidRPr="008837FC">
        <w:tab/>
      </w:r>
      <w:r w:rsidRPr="008837FC">
        <w:tab/>
      </w:r>
      <w:r w:rsidRPr="008837FC">
        <w:rPr>
          <w:rStyle w:val="HideTWBExt"/>
          <w:b w:val="0"/>
          <w:noProof w:val="0"/>
          <w:color w:val="auto"/>
        </w:rPr>
        <w:t>&lt;NumAm&gt;</w:t>
      </w:r>
      <w:r w:rsidR="008837FC" w:rsidRPr="008837FC">
        <w:t>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w:t>
            </w:r>
            <w:r w:rsidRPr="008837FC">
              <w:tab/>
              <w:t xml:space="preserve">Procjene Komisije dobivene iz podataka na razini poduzeća upućuju na to da bi potrebe za oporavkom vlasničkog kapitala koje rezultiraju pandemijom bolesti </w:t>
            </w:r>
            <w:r w:rsidRPr="008837FC">
              <w:rPr>
                <w:b/>
                <w:i/>
              </w:rPr>
              <w:t>COVID</w:t>
            </w:r>
            <w:r w:rsidRPr="008837FC">
              <w:t xml:space="preserve">-19 mogle 2020. iznositi otprilike 720 milijardi EUR. Taj bi broj mogao biti veći ako bi mjere sveopćeg zatvaranja ostale na snazi dulje nego što se trenutačno pretpostavlja ili ako bi se morale ponovno uvesti zbog ponovnog pojavljivanja kontaminacija. Ako se taj manjak kapitala ne riješi, to može dovesti do duljeg razdoblja manjih ulaganja i veće nezaposlenosti. Učinak manjka kapitala bit će neujednačen u svim sektorima i državama članicama, što će dovesti do razlika na </w:t>
            </w:r>
            <w:r w:rsidRPr="008837FC">
              <w:rPr>
                <w:b/>
                <w:i/>
              </w:rPr>
              <w:t>jedinstvenom</w:t>
            </w:r>
            <w:r w:rsidRPr="008837FC">
              <w:t xml:space="preserve"> tržištu. Tome pridonosi i činjenica da se kapaciteti država članica za dodjelu državnih potpora znatno razlikuju.</w:t>
            </w:r>
          </w:p>
        </w:tc>
        <w:tc>
          <w:tcPr>
            <w:tcW w:w="4876" w:type="dxa"/>
          </w:tcPr>
          <w:p w:rsidR="00AE114F" w:rsidRPr="008837FC" w:rsidRDefault="009A34F8" w:rsidP="001A7B45">
            <w:pPr>
              <w:pStyle w:val="Normal6a"/>
            </w:pPr>
            <w:r w:rsidRPr="008837FC">
              <w:t>(1)</w:t>
            </w:r>
            <w:r w:rsidRPr="008837FC">
              <w:tab/>
              <w:t xml:space="preserve">Procjene Komisije dobivene iz podataka na razini poduzeća upućuju na to da bi potrebe za oporavkom vlasničkog kapitala koje rezultiraju pandemijom bolesti </w:t>
            </w:r>
            <w:r w:rsidRPr="008837FC">
              <w:rPr>
                <w:b/>
                <w:i/>
              </w:rPr>
              <w:t xml:space="preserve">COVID </w:t>
            </w:r>
            <w:r w:rsidRPr="008837FC">
              <w:t xml:space="preserve">-19 mogle 2020. iznositi otprilike 720 milijardi EUR. Taj bi broj mogao biti veći ako bi mjere sveopćeg zatvaranja ostale na snazi dulje nego što se trenutačno pretpostavlja ili ako bi se morale ponovno uvesti zbog ponovnog pojavljivanja kontaminacija. Ako se taj manjak kapitala ne riješi, to može dovesti do duljeg razdoblja manjih ulaganja i veće nezaposlenosti. Učinak manjka kapitala bit će neujednačen u svim sektorima i državama članicama, što će dovesti do razlika na </w:t>
            </w:r>
            <w:r w:rsidRPr="008837FC">
              <w:rPr>
                <w:b/>
                <w:i/>
              </w:rPr>
              <w:t>unutarnjem</w:t>
            </w:r>
            <w:r w:rsidRPr="008837FC">
              <w:t xml:space="preserve"> tržištu. Tome pridonosi i činjenica da se kapaciteti država članica za dodjelu državnih potpora znatno razlikuju.</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Milan Brglez, Delara Burkhardt, Sara Cerdas, Javi López, César Luena, Manuel Pizarro, Rovana Plumb, Christel Schaldemose, Monika Beňová</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1.a (nova)</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8B2E7F">
            <w:pPr>
              <w:pStyle w:val="Normal6a"/>
            </w:pPr>
            <w:r w:rsidRPr="008837FC">
              <w:rPr>
                <w:b/>
                <w:i/>
              </w:rPr>
              <w:t>(1a)</w:t>
            </w:r>
            <w:r w:rsidRPr="008837FC">
              <w:rPr>
                <w:b/>
                <w:i/>
              </w:rPr>
              <w:tab/>
              <w:t xml:space="preserve">Disruptivan gospodarski i društveni učinak krize prouzročene pandemijom bolesti COVID-19 slabi javni i privatni kapacitet ulaganja pri čemu se ograničavaju financijski resursi koji su od ključnog značaja za tranziciju na klimatski neutralnu, resursno učinkovitu </w:t>
            </w:r>
            <w:r w:rsidRPr="008837FC">
              <w:rPr>
                <w:b/>
                <w:i/>
              </w:rPr>
              <w:lastRenderedPageBreak/>
              <w:t>Uniju. U tom pogledu, u okviru programa Next Generation EU, instrumentom za potporu solventnosti trebalo bi doprinijeti toj praznini te državama članicama omogućiti poduzimanje nužnih ulaganja za poticanje dugotrajnih prioriteta Unije u pogledu održivosti.</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1.b (nova)</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8B2E7F">
            <w:pPr>
              <w:pStyle w:val="Normal6a"/>
            </w:pPr>
            <w:r w:rsidRPr="008837FC">
              <w:rPr>
                <w:b/>
                <w:i/>
              </w:rPr>
              <w:t>(1b)</w:t>
            </w:r>
            <w:r w:rsidRPr="008837FC">
              <w:rPr>
                <w:b/>
                <w:i/>
              </w:rPr>
              <w:tab/>
              <w:t>Ako se ne riješe negativne gospodarske posljedice bolesti COVID-19, mogu se ugroziti napori na ostvarenju klimatskih, energetskih i okolišnih ciljeva u Uniji. Instrumentom za potporu solventnosti trebalo bi doprinijeti jamčenju trajnog napretka u ostvarenju tih ciljeva.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3.</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(3)</w:t>
            </w:r>
            <w:r w:rsidRPr="008837FC">
              <w:tab/>
              <w:t xml:space="preserve">Kako bi se suzbile ozbiljne gospodarske posljedice pandemije bolesti COVID-19 u Uniji, društvima koja su se suočila s teškoćama zbog gospodarske krize uzrokovane pandemijom i koja ne mogu dobiti dostatnu potporu putem </w:t>
            </w:r>
            <w:r w:rsidRPr="008837FC">
              <w:lastRenderedPageBreak/>
              <w:t>tržišnog financiranja ili mjerama koje su poduzele države članice trebalo bi hitno osigurati potporu solventnosti u okviru instrumenta za potporu solventnosti koji bi se trebao dodati kao treći dio u sklopu EFSU-a.</w:t>
            </w:r>
          </w:p>
        </w:tc>
        <w:tc>
          <w:tcPr>
            <w:tcW w:w="4876" w:type="dxa"/>
          </w:tcPr>
          <w:p w:rsidR="00AE114F" w:rsidRPr="008837FC" w:rsidRDefault="009A34F8" w:rsidP="001A7B45">
            <w:pPr>
              <w:pStyle w:val="Normal6a"/>
            </w:pPr>
            <w:r w:rsidRPr="008837FC">
              <w:lastRenderedPageBreak/>
              <w:t>(3)</w:t>
            </w:r>
            <w:r w:rsidRPr="008837FC">
              <w:tab/>
              <w:t xml:space="preserve">Kako bi se suzbile ozbiljne gospodarske posljedice pandemije bolesti COVID-19 u Uniji, društvima, </w:t>
            </w:r>
            <w:r w:rsidRPr="008837FC">
              <w:rPr>
                <w:b/>
                <w:i/>
              </w:rPr>
              <w:t xml:space="preserve">osobito </w:t>
            </w:r>
            <w:r w:rsidRPr="008837FC">
              <w:rPr>
                <w:b/>
                <w:i/>
                <w:szCs w:val="24"/>
                <w:shd w:val="clear" w:color="auto" w:fill="FFFFFF"/>
              </w:rPr>
              <w:t>malim i srednjim poduzećima</w:t>
            </w:r>
            <w:r w:rsidRPr="008837FC">
              <w:rPr>
                <w:rFonts w:ascii="Arial Unicode MS" w:hAnsi="Arial Unicode MS"/>
                <w:b/>
                <w:i/>
                <w:sz w:val="21"/>
                <w:szCs w:val="21"/>
                <w:shd w:val="clear" w:color="auto" w:fill="FFFFFF"/>
              </w:rPr>
              <w:t xml:space="preserve"> (</w:t>
            </w:r>
            <w:r w:rsidRPr="008837FC">
              <w:rPr>
                <w:b/>
                <w:i/>
              </w:rPr>
              <w:t>MSP-ovi)</w:t>
            </w:r>
            <w:r w:rsidRPr="008837FC">
              <w:t xml:space="preserve"> koja su se suočila s teškoćama zbog gospodarske krize uzrokovane pandemijom </w:t>
            </w:r>
            <w:r w:rsidRPr="008837FC">
              <w:lastRenderedPageBreak/>
              <w:t>i koja ne mogu dobiti dostatnu potporu putem tržišnog financiranja ili mjerama koje su poduzele države članice trebalo bi hitno osigurati potporu solventnosti u okviru instrumenta za potporu solventnosti koji bi se trebao dodati kao treći dio u sklopu EFSU-a.</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Monika Beňová, Milan Brglez, Delara Burkhardt, Sara Cerdas, Javi López, César Luena, Manuel Pizarro, Rovana Plumb, Christel Schaldemose</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3.</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(3) </w:t>
            </w:r>
            <w:r w:rsidRPr="008837FC">
              <w:tab/>
              <w:t>Kako bi se suzbile ozbiljne gospodarske posljedice pandemije bolesti COVID-19 u Uniji, društvima koja su se suočila s teškoćama zbog gospodarske krize uzrokovane pandemijom i koja ne mogu dobiti dostatnu potporu putem tržišnog financiranja ili mjerama koje su poduzele države članice trebalo bi hitno osigurati potporu solventnosti u okviru instrumenta za potporu solventnosti koji bi se trebao dodati kao treći dio u sklopu EFSU-a.</w:t>
            </w:r>
          </w:p>
        </w:tc>
        <w:tc>
          <w:tcPr>
            <w:tcW w:w="4876" w:type="dxa"/>
          </w:tcPr>
          <w:p w:rsidR="00AE114F" w:rsidRPr="008837FC" w:rsidRDefault="009A34F8" w:rsidP="001A7B45">
            <w:pPr>
              <w:pStyle w:val="Normal6a"/>
            </w:pPr>
            <w:r w:rsidRPr="008837FC">
              <w:t>(3)</w:t>
            </w:r>
            <w:r w:rsidRPr="008837FC">
              <w:tab/>
              <w:t xml:space="preserve">Kako bi se suzbile ozbiljne gospodarske </w:t>
            </w:r>
            <w:r w:rsidRPr="008837FC">
              <w:rPr>
                <w:b/>
                <w:i/>
              </w:rPr>
              <w:t>i društvene</w:t>
            </w:r>
            <w:r w:rsidRPr="008837FC">
              <w:t xml:space="preserve"> posljedice pandemije bolesti COVID-19 u Uniji, društvima koja su se suočila s teškoćama zbog gospodarske krize uzrokovane pandemijom i koja ne mogu dobiti dostatnu potporu putem tržišnog financiranja ili mjerama koje su poduzele države članice trebalo bi hitno osigurati potporu solventnosti u okviru instrumenta za potporu solventnosti koji bi se trebao dodati kao treći dio u sklopu EFSU-a.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4.</w:t>
      </w:r>
      <w:r w:rsidRPr="008837FC">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72015E">
        <w:trPr>
          <w:trHeight w:hRule="exact" w:val="240"/>
          <w:jc w:val="center"/>
        </w:trPr>
        <w:tc>
          <w:tcPr>
            <w:tcW w:w="9752" w:type="dxa"/>
            <w:gridSpan w:val="2"/>
          </w:tcPr>
          <w:p w:rsidR="00AE114F" w:rsidRPr="008837FC" w:rsidRDefault="00AE114F" w:rsidP="001A7B45"/>
        </w:tc>
      </w:tr>
      <w:tr w:rsidR="008837FC" w:rsidRPr="008837FC" w:rsidTr="0072015E">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72015E">
        <w:trPr>
          <w:jc w:val="center"/>
        </w:trPr>
        <w:tc>
          <w:tcPr>
            <w:tcW w:w="4876" w:type="dxa"/>
          </w:tcPr>
          <w:p w:rsidR="00AE114F" w:rsidRPr="008837FC" w:rsidRDefault="009A34F8" w:rsidP="001A7B45">
            <w:pPr>
              <w:pStyle w:val="Normal6a"/>
            </w:pPr>
            <w:r w:rsidRPr="008837FC">
              <w:t>(4)</w:t>
            </w:r>
            <w:r w:rsidRPr="008837FC">
              <w:tab/>
              <w:t xml:space="preserve">Društva koja primaju potporu u okviru instrumenta za potporu solventnosti </w:t>
            </w:r>
            <w:r w:rsidRPr="008837FC">
              <w:lastRenderedPageBreak/>
              <w:t>trebala bi biti osnovana u Uniji i poslovati u njoj, što znači da bi trebala imati registrirano sjedište u državi članici i biti aktivna u Uniji u smislu da se njihove znatne aktivnosti u smislu osoblja, proizvodnje, istraživanja i razvoja te ostale poslovne aktivnosti odvijaju u Uniji. Trebala bi provoditi aktivnosti kojima se podupiru ciljevi obuhvaćeni ovom Uredbom. Trebala bi imati održiv poslovni model i ne bi trebala biti u teškoćama prema pravilima Okvira za državne potpore</w:t>
            </w:r>
            <w:r w:rsidRPr="008837FC">
              <w:rPr>
                <w:rStyle w:val="SupBoldItalic"/>
              </w:rPr>
              <w:t>7</w:t>
            </w:r>
            <w:r w:rsidRPr="008837FC">
              <w:t xml:space="preserve"> već krajem 2019. Potpora bi trebala biti usmjerena prema prihvatljivim društvima koja posluju u onim državama članicama i sektorima koji su najpogođeniji krizom uzrokovanom pandemijom bolesti COVID-19 i/ili u kojima je dostupnost potpore solventnosti države ograničenija.</w:t>
            </w:r>
          </w:p>
        </w:tc>
        <w:tc>
          <w:tcPr>
            <w:tcW w:w="4876" w:type="dxa"/>
          </w:tcPr>
          <w:p w:rsidR="00AE114F" w:rsidRPr="008837FC" w:rsidRDefault="009A34F8" w:rsidP="0072015E">
            <w:pPr>
              <w:pStyle w:val="Normal6a"/>
            </w:pPr>
            <w:r w:rsidRPr="008837FC">
              <w:lastRenderedPageBreak/>
              <w:t>(4)</w:t>
            </w:r>
            <w:r w:rsidRPr="008837FC">
              <w:tab/>
              <w:t xml:space="preserve">Društva koja primaju potporu u okviru instrumenta za potporu solventnosti, </w:t>
            </w:r>
            <w:r w:rsidRPr="008837FC">
              <w:rPr>
                <w:b/>
                <w:i/>
              </w:rPr>
              <w:lastRenderedPageBreak/>
              <w:t>od kojih bi većina trebala biti MSP-ovi,</w:t>
            </w:r>
            <w:r w:rsidRPr="008837FC">
              <w:t xml:space="preserve"> trebala bi biti osnovana u Uniji i poslovati u njoj, što znači da bi trebala imati registrirano sjedište u državi članici i biti aktivna u Uniji u smislu da se njihove znatne aktivnosti u smislu osoblja, proizvodnje, istraživanja i razvoja te ostale poslovne aktivnosti odvijaju u Uniji. </w:t>
            </w:r>
            <w:r w:rsidRPr="008837FC">
              <w:rPr>
                <w:b/>
                <w:i/>
              </w:rPr>
              <w:t>Ne bi trebala biti dio skupine s poduzećima kćerima bez stvarne gospodarske djelatnosti u zemlji uvrštenoj na popis EU-a nekooperativnih jurisdikcija u porezne svrhe</w:t>
            </w:r>
            <w:r w:rsidRPr="008837FC">
              <w:rPr>
                <w:rStyle w:val="SupBoldItalic"/>
              </w:rPr>
              <w:t>6a</w:t>
            </w:r>
            <w:r w:rsidRPr="008837FC">
              <w:rPr>
                <w:b/>
                <w:i/>
              </w:rPr>
              <w:t xml:space="preserve"> te bi trebala zadržati znatne aktivnosti u Uniji tijekom cjelokupnog razdoblja trajanja potpore. Također bi, prema potrebi, trebala obustaviti isplatu dividendi, bonusa najvišim čelnicima i otkup dionica u razdoblju od dvije godine nakon ostvarivanja koristi u okviru programa. Trebala bi</w:t>
            </w:r>
            <w:r w:rsidRPr="008837FC">
              <w:t xml:space="preserve"> provoditi aktivnosti kojima se podupiru ciljevi obuhvaćeni ovom Uredbom. Trebala bi imati održiv poslovni model i ne bi trebala biti u teškoćama prema pravilima Okvira za državne potpore</w:t>
            </w:r>
            <w:r w:rsidRPr="008837FC">
              <w:rPr>
                <w:rStyle w:val="SupBoldItalic"/>
              </w:rPr>
              <w:t>7</w:t>
            </w:r>
            <w:r w:rsidRPr="008837FC">
              <w:t xml:space="preserve"> već krajem 2019., </w:t>
            </w:r>
            <w:r w:rsidRPr="008837FC">
              <w:rPr>
                <w:b/>
                <w:i/>
              </w:rPr>
              <w:t>te ne bi trebala biti uključena u pranje novca, financiranje terorizma, izbjegavanje poreza, poreznu prijevaru ili utaju poreza ili sudjelovati u tim aktivnostima.</w:t>
            </w:r>
            <w:r w:rsidRPr="008837FC">
              <w:t xml:space="preserve"> Potpora bi trebala biti usmjerena prema prihvatljivim društvima koja posluju u onim državama članicama i sektorima koji su najpogođeniji krizom uzrokovanom pandemijom bolesti COVID-19, </w:t>
            </w:r>
            <w:r w:rsidRPr="008837FC">
              <w:rPr>
                <w:b/>
                <w:i/>
              </w:rPr>
              <w:t>kao i rastućom stopom nezaposlenosti</w:t>
            </w:r>
            <w:r w:rsidRPr="008837FC">
              <w:t xml:space="preserve"> i/ili u kojima je dostupnost potpore solventnosti države ograničenija.</w:t>
            </w:r>
          </w:p>
        </w:tc>
      </w:tr>
      <w:tr w:rsidR="008837FC" w:rsidRPr="008837FC" w:rsidTr="0072015E">
        <w:trPr>
          <w:jc w:val="center"/>
        </w:trPr>
        <w:tc>
          <w:tcPr>
            <w:tcW w:w="4876" w:type="dxa"/>
          </w:tcPr>
          <w:p w:rsidR="00AE114F" w:rsidRPr="008837FC" w:rsidRDefault="009A34F8" w:rsidP="001A7B45">
            <w:pPr>
              <w:pStyle w:val="Normal6a"/>
            </w:pPr>
            <w:r w:rsidRPr="008837FC">
              <w:lastRenderedPageBreak/>
              <w:t>_________________</w:t>
            </w:r>
          </w:p>
        </w:tc>
        <w:tc>
          <w:tcPr>
            <w:tcW w:w="4876" w:type="dxa"/>
          </w:tcPr>
          <w:p w:rsidR="00AE114F" w:rsidRPr="008837FC" w:rsidRDefault="009A34F8" w:rsidP="001A7B45">
            <w:pPr>
              <w:pStyle w:val="Normal6a"/>
            </w:pPr>
            <w:r w:rsidRPr="008837FC">
              <w:t>_________________</w:t>
            </w:r>
          </w:p>
        </w:tc>
      </w:tr>
      <w:tr w:rsidR="008837FC" w:rsidRPr="008837FC" w:rsidTr="0072015E">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rStyle w:val="SupBoldItalic"/>
              </w:rPr>
              <w:t>6A</w:t>
            </w:r>
            <w:r w:rsidRPr="008837FC">
              <w:t xml:space="preserve"> </w:t>
            </w:r>
            <w:r w:rsidRPr="008837FC">
              <w:rPr>
                <w:b/>
                <w:i/>
              </w:rPr>
              <w:t>Zaključci Vijeća o revidiranom EU-ovu popisu nekooperativnih jurisdikcija u porezne svrhe (SL C 64, 27.2.2020., str. 8.).</w:t>
            </w:r>
          </w:p>
        </w:tc>
      </w:tr>
      <w:tr w:rsidR="008837FC" w:rsidRPr="008837FC" w:rsidTr="0072015E">
        <w:trPr>
          <w:jc w:val="center"/>
        </w:trPr>
        <w:tc>
          <w:tcPr>
            <w:tcW w:w="4876" w:type="dxa"/>
          </w:tcPr>
          <w:p w:rsidR="00AE114F" w:rsidRPr="008837FC" w:rsidRDefault="009A34F8" w:rsidP="001A7B45">
            <w:pPr>
              <w:pStyle w:val="Normal6a"/>
            </w:pPr>
            <w:r w:rsidRPr="008837FC">
              <w:rPr>
                <w:vertAlign w:val="superscript"/>
              </w:rPr>
              <w:t>7</w:t>
            </w:r>
            <w:r w:rsidRPr="008837FC">
              <w:t xml:space="preserve"> Kako je definirano u članku 2. točki 18. Uredbe Komisije (EU) br. 651/2014 od 17. lipnja 2014. o ocjenjivanju određenih </w:t>
            </w:r>
            <w:r w:rsidRPr="008837FC">
              <w:lastRenderedPageBreak/>
              <w:t>kategorija potpora spojivima s unutarnjim tržištem u primjeni članaka 107. i 108. Ugovora (SL L 187, 26.6.2014., str. 1.).</w:t>
            </w:r>
          </w:p>
        </w:tc>
        <w:tc>
          <w:tcPr>
            <w:tcW w:w="4876" w:type="dxa"/>
          </w:tcPr>
          <w:p w:rsidR="00AE114F" w:rsidRPr="008837FC" w:rsidRDefault="009A34F8" w:rsidP="001A7B45">
            <w:pPr>
              <w:pStyle w:val="Normal6a"/>
            </w:pPr>
            <w:r w:rsidRPr="008837FC">
              <w:rPr>
                <w:vertAlign w:val="superscript"/>
              </w:rPr>
              <w:lastRenderedPageBreak/>
              <w:t>7</w:t>
            </w:r>
            <w:r w:rsidRPr="008837FC">
              <w:t xml:space="preserve"> Kako je definirano u članku 2. točki 18. Uredbe Komisije (EU) br. 651/2014 od 17. lipnja 2014. o ocjenjivanju određenih </w:t>
            </w:r>
            <w:r w:rsidRPr="008837FC">
              <w:lastRenderedPageBreak/>
              <w:t xml:space="preserve">kategorija potpora spojivima s unutarnjim tržištem u primjeni članaka 107. i 108. Ugovora (SL L 187, 26.6.2014., str. 1.). </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4.</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(4)</w:t>
            </w:r>
            <w:r w:rsidRPr="008837FC">
              <w:tab/>
              <w:t>Društva koja primaju potporu u okviru instrumenta za potporu solventnosti trebala bi biti osnovana u Uniji i poslovati u njoj, što znači da bi trebala imati registrirano sjedište u državi članici i biti aktivna u Uniji u smislu da se njihove znatne aktivnosti u smislu osoblja, proizvodnje, istraživanja i razvoja te ostale poslovne aktivnosti odvijaju u Uniji. Trebala bi provoditi aktivnosti kojima se podupiru ciljevi obuhvaćeni ovom Uredbom. Trebala bi imati održiv poslovni model</w:t>
            </w:r>
            <w:r w:rsidRPr="008837FC">
              <w:rPr>
                <w:b/>
                <w:i/>
              </w:rPr>
              <w:t xml:space="preserve"> i ne bi trebala biti u teškoćama prema pravilima Okvira za državne potpore</w:t>
            </w:r>
            <w:r w:rsidRPr="008837FC">
              <w:rPr>
                <w:rStyle w:val="SupBoldItalic"/>
              </w:rPr>
              <w:t>7</w:t>
            </w:r>
            <w:r w:rsidRPr="008837FC">
              <w:t xml:space="preserve"> </w:t>
            </w:r>
            <w:r w:rsidRPr="008837FC">
              <w:rPr>
                <w:b/>
                <w:i/>
              </w:rPr>
              <w:t>već krajem 2019.</w:t>
            </w:r>
            <w:r w:rsidRPr="008837FC">
              <w:t xml:space="preserve"> Potpora bi trebala biti usmjerena prema prihvatljivim društvima koja posluju u onim državama članicama i sektorima koji su najpogođeniji krizom uzrokovanom pandemijom bolesti </w:t>
            </w:r>
            <w:r w:rsidRPr="008837FC">
              <w:rPr>
                <w:b/>
                <w:i/>
              </w:rPr>
              <w:t>COVID</w:t>
            </w:r>
            <w:r w:rsidRPr="008837FC">
              <w:t>-19 i/ili u kojima je dostupnost potpore solventnosti države ograničenija.</w:t>
            </w:r>
          </w:p>
        </w:tc>
        <w:tc>
          <w:tcPr>
            <w:tcW w:w="4876" w:type="dxa"/>
          </w:tcPr>
          <w:p w:rsidR="00AE114F" w:rsidRPr="008837FC" w:rsidRDefault="009A34F8" w:rsidP="001A7B45">
            <w:pPr>
              <w:pStyle w:val="Normal6a"/>
            </w:pPr>
            <w:r w:rsidRPr="008837FC">
              <w:t>(4)</w:t>
            </w:r>
            <w:r w:rsidRPr="008837FC">
              <w:tab/>
              <w:t>Društva koja primaju potporu u okviru instrumenta za potporu solventnosti trebala bi biti osnovana u Uniji i poslovati u njoj, što znači da bi trebala imati registrirano sjedište u državi članici i biti aktivna u Uniji u smislu da se njihove znatne aktivnosti u smislu osoblja, proizvodnje, istraživanja i razvoja te ostale poslovne aktivnosti odvijaju u Uniji. Trebala bi provoditi aktivnosti kojima se podupiru ciljevi obuhvaćeni ovom Uredbom. Trebala bi imati održiv poslovni model. Potpora bi trebala biti usmjerena prema prihvatljivim društvima koja posluju u onim državama članicama i sektorima koji su najpogođeniji krizom uzrokovanom pandemijom bolesti</w:t>
            </w:r>
            <w:r w:rsidRPr="008837FC">
              <w:rPr>
                <w:b/>
                <w:i/>
              </w:rPr>
              <w:t xml:space="preserve"> COVID</w:t>
            </w:r>
            <w:r w:rsidRPr="008837FC">
              <w:t>-19 i/ili u kojima je dostupnost potpore solventnosti države ograničenija.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7</w:t>
            </w:r>
            <w:r w:rsidRPr="008837FC">
              <w:t xml:space="preserve"> </w:t>
            </w:r>
            <w:r w:rsidRPr="008837FC">
              <w:rPr>
                <w:b/>
                <w:i/>
              </w:rPr>
              <w:t>Kako je definirano u članku 2. točki 18. Uredbe Komisije (EU) br. 651/2014 od 17. lipnja 2014. o ocjenjivanju određenih kategorija potpora spojivima s unutarnjim tržištem u primjeni članaka 107. i 108. Ugovora (SL L 187, 26.6.2014., str. 1.).</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lastRenderedPageBreak/>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8.</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(8)</w:t>
            </w:r>
            <w:r w:rsidRPr="008837FC">
              <w:tab/>
              <w:t>Načini pružanja potpore trebali bi biti fleksibilni s obzirom na potrebu za različitim rješenjima u različitim državama članicama. Oni bi, među ostalim, trebali uključivati financiranje Grupe EIB-a ili jamstvo ili ulaganje u postojeće fondove kojima se neovisno upravlja ili u subjekte posebne namjene koji pak ulažu u prihvatljiva društva. Nadalje, potpora bi se mogla usmjeriti s pomoću novouspostavljenih fondova kojima se neovisno upravlja te s pomoću novoosnovanih timova ili subjekata posebne namjene koji su posebno uspostavljeni na europskoj, regionalnoj ili nacionalnoj razini u cilju ostvarivanja koristi od jamstva EU-a kako bi se ulagalo u prihvatljiva društva. Kako bi se pružila potpora prihvatljivim društvima, jamstvo EU-a moglo bi se upotrijebiti i za jamstvo ili financiranje intervencije nacionalne razvojne banke ili institucije u skladu s pravilima o državnim potporama zajedno s privatnim ulagačima. Trebalo bi izbjegavati neopravdano narušavanje tržišnog natjecanja na unutarnjem tržištu.</w:t>
            </w:r>
          </w:p>
        </w:tc>
        <w:tc>
          <w:tcPr>
            <w:tcW w:w="4876" w:type="dxa"/>
          </w:tcPr>
          <w:p w:rsidR="00AE114F" w:rsidRPr="008837FC" w:rsidRDefault="009A34F8" w:rsidP="008B2E7F">
            <w:pPr>
              <w:pStyle w:val="Normal6a"/>
            </w:pPr>
            <w:r w:rsidRPr="008837FC">
              <w:t>(8)</w:t>
            </w:r>
            <w:r w:rsidRPr="008837FC">
              <w:tab/>
              <w:t xml:space="preserve">Načini pružanja potpore trebali bi biti fleksibilni s obzirom na potrebu za različitim rješenjima u različitim državama članicama. Oni bi, među ostalim, trebali uključivati financiranje Grupe EIB-a ili jamstvo ili ulaganje u postojeće fondove kojima se neovisno upravlja ili u subjekte posebne namjene koji pak ulažu u prihvatljiva društva. Nadalje, potpora bi se mogla usmjeriti s pomoću novouspostavljenih fondova kojima se neovisno upravlja te s pomoću novoosnovanih timova ili subjekata posebne namjene koji su posebno uspostavljeni na europskoj, regionalnoj ili nacionalnoj razini u cilju ostvarivanja koristi od jamstva EU-a kako bi se ulagalo u prihvatljiva društva. Kako bi se pružila potpora prihvatljivim društvima, jamstvo EU-a moglo bi se upotrijebiti i za jamstvo ili financiranje intervencije nacionalne razvojne banke ili institucije u skladu s pravilima o državnim potporama zajedno s privatnim ulagačima. Trebalo bi izbjegavati neopravdano narušavanje tržišnog natjecanja na unutarnjem tržištu. </w:t>
            </w:r>
            <w:r w:rsidRPr="008837FC">
              <w:rPr>
                <w:b/>
                <w:i/>
              </w:rPr>
              <w:t>U roku od jedne godine od početka primjene instrumenta za potporu solventnosti Komisija bi trebala ocijeniti djelotvornost i primjerenost tog instrumenta u postizanju njegovih glavnih ciljeva, među ostalim i njegov učinak na postizanje klimatskih ciljeva Unije.</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lastRenderedPageBreak/>
        <w:t>&lt;Amend&gt;</w:t>
      </w:r>
      <w:r w:rsidRPr="008837FC">
        <w:t>Amandman</w:t>
      </w:r>
      <w:r w:rsidRPr="008837FC">
        <w:tab/>
      </w:r>
      <w:r w:rsidRPr="008837FC">
        <w:tab/>
      </w:r>
      <w:r w:rsidRPr="008837FC">
        <w:rPr>
          <w:rStyle w:val="HideTWBExt"/>
          <w:b w:val="0"/>
          <w:noProof w:val="0"/>
          <w:color w:val="auto"/>
        </w:rPr>
        <w:t>&lt;NumAm&gt;</w:t>
      </w:r>
      <w:r w:rsidRPr="008837FC">
        <w:t>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Monika Beňová, Milan Brglez, Delara Burkhardt, Sara Cerdas, Javi López, César Luena, Manuel Pizarro, Rovana Plumb, Christel Schaldemose</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(10)</w:t>
            </w:r>
            <w:r w:rsidRPr="008837FC">
              <w:tab/>
              <w:t xml:space="preserve">Operacije financiranja i ulaganja trebale bi biti usklađene s trenutačnim prioritetima politike Unije kao što su europski zeleni plan i strategija za oblikovanje digitalne budućnosti Europe. </w:t>
            </w:r>
            <w:r w:rsidRPr="008837FC">
              <w:rPr>
                <w:b/>
                <w:i/>
              </w:rPr>
              <w:t>Trebalo bi usmjeriti</w:t>
            </w:r>
            <w:r w:rsidRPr="008837FC">
              <w:t xml:space="preserve"> potporu </w:t>
            </w:r>
            <w:r w:rsidRPr="008837FC">
              <w:rPr>
                <w:b/>
                <w:i/>
              </w:rPr>
              <w:t>i</w:t>
            </w:r>
            <w:r w:rsidRPr="008837FC">
              <w:t xml:space="preserve"> prema prekograničnim aktivnostima.</w:t>
            </w:r>
          </w:p>
        </w:tc>
        <w:tc>
          <w:tcPr>
            <w:tcW w:w="4876" w:type="dxa"/>
          </w:tcPr>
          <w:p w:rsidR="00AE114F" w:rsidRPr="008837FC" w:rsidRDefault="009A34F8" w:rsidP="006D65FE">
            <w:pPr>
              <w:pStyle w:val="Normal6a"/>
            </w:pPr>
            <w:r w:rsidRPr="008837FC">
              <w:t>(10)</w:t>
            </w:r>
            <w:r w:rsidRPr="008837FC">
              <w:tab/>
              <w:t xml:space="preserve">Operacije financiranja i ulaganja trebale bi biti usklađene s trenutačnim prioritetima politike Unije kao što su europski zeleni plan i </w:t>
            </w:r>
            <w:r w:rsidRPr="008837FC">
              <w:rPr>
                <w:b/>
                <w:i/>
              </w:rPr>
              <w:t>obveza ostvarenja klimatske neutralnosti najkasnije do 2050. koja je u njemu sadržana</w:t>
            </w:r>
            <w:r w:rsidRPr="008837FC">
              <w:t xml:space="preserve">, strategija za oblikovanje digitalne budućnosti Europe </w:t>
            </w:r>
            <w:r w:rsidRPr="008837FC">
              <w:rPr>
                <w:b/>
                <w:i/>
              </w:rPr>
              <w:t>i</w:t>
            </w:r>
            <w:r w:rsidRPr="008837FC">
              <w:t xml:space="preserve"> </w:t>
            </w:r>
            <w:r w:rsidRPr="008837FC">
              <w:rPr>
                <w:b/>
                <w:i/>
              </w:rPr>
              <w:t>europski stup socijalnih prava</w:t>
            </w:r>
            <w:r w:rsidRPr="008837FC">
              <w:t xml:space="preserve">. </w:t>
            </w:r>
            <w:r w:rsidRPr="008837FC">
              <w:rPr>
                <w:b/>
                <w:i/>
              </w:rPr>
              <w:t>Tim bi se operacijama trebalo</w:t>
            </w:r>
            <w:r w:rsidRPr="008837FC">
              <w:t xml:space="preserve"> podupirati </w:t>
            </w:r>
            <w:r w:rsidRPr="008837FC">
              <w:rPr>
                <w:b/>
                <w:i/>
              </w:rPr>
              <w:t>otvaranje ili očuvanje kvalitetnih i održivih radnih mjesta i</w:t>
            </w:r>
            <w:r w:rsidRPr="008837FC">
              <w:t xml:space="preserve"> prekograničnih aktivnosti </w:t>
            </w:r>
            <w:r w:rsidRPr="008837FC">
              <w:rPr>
                <w:b/>
                <w:i/>
              </w:rPr>
              <w:t>unutar Unije te doprinositi zelenoj i digitalnoj tranziciji europskog gospodarstva.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(10)</w:t>
            </w:r>
            <w:r w:rsidRPr="008837FC">
              <w:tab/>
              <w:t xml:space="preserve">Operacije financiranja i ulaganja trebale bi biti usklađene s trenutačnim prioritetima politike Unije </w:t>
            </w:r>
            <w:r w:rsidRPr="008837FC">
              <w:rPr>
                <w:b/>
                <w:i/>
              </w:rPr>
              <w:t>kao</w:t>
            </w:r>
            <w:r w:rsidRPr="008837FC">
              <w:t xml:space="preserve"> što su europski zeleni plan i strategija za oblikovanje digitalne budućnosti Europe. Trebalo bi usmjeriti potporu i prema prekograničnim aktivnostima.</w:t>
            </w:r>
          </w:p>
        </w:tc>
        <w:tc>
          <w:tcPr>
            <w:tcW w:w="4876" w:type="dxa"/>
          </w:tcPr>
          <w:p w:rsidR="00AE114F" w:rsidRPr="008837FC" w:rsidRDefault="009A34F8" w:rsidP="001A7B45">
            <w:pPr>
              <w:pStyle w:val="Normal6a"/>
            </w:pPr>
            <w:r w:rsidRPr="008837FC">
              <w:t>(10)</w:t>
            </w:r>
            <w:r w:rsidRPr="008837FC">
              <w:tab/>
              <w:t xml:space="preserve">Operacije financiranja i ulaganja trebale bi biti usklađene s trenutačnim prioritetima politike Unije, </w:t>
            </w:r>
            <w:r w:rsidRPr="008837FC">
              <w:rPr>
                <w:b/>
                <w:i/>
              </w:rPr>
              <w:t>osobito njezinim klimatskim ciljevima za 2030. i 2050., europskim stupom socijalnih prava i ciljevima održivog razvoja kao i</w:t>
            </w:r>
            <w:r w:rsidRPr="008837FC">
              <w:t xml:space="preserve"> s europskim zelenim planom,</w:t>
            </w:r>
            <w:r w:rsidRPr="008837FC">
              <w:rPr>
                <w:b/>
                <w:i/>
              </w:rPr>
              <w:t xml:space="preserve"> novom industrijskom strategijom za Europu, strategijom za MSP-ove i održivu i digitalnu Europu</w:t>
            </w:r>
            <w:r w:rsidRPr="008837FC">
              <w:t xml:space="preserve"> te strategijom za oblikovanje digitalne budućnosti Europe. Trebalo bi usmjeriti potporu i prema prekograničnim aktivnostima.</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(10)</w:t>
            </w:r>
            <w:r w:rsidRPr="008837FC">
              <w:tab/>
              <w:t xml:space="preserve">Operacije financiranja i ulaganja trebale bi biti </w:t>
            </w:r>
            <w:r w:rsidRPr="008837FC">
              <w:rPr>
                <w:b/>
                <w:i/>
              </w:rPr>
              <w:t>usklađene s trenutačnim prioritetima politike</w:t>
            </w:r>
            <w:r w:rsidRPr="008837FC">
              <w:t xml:space="preserve"> </w:t>
            </w:r>
            <w:r w:rsidRPr="008837FC">
              <w:rPr>
                <w:b/>
                <w:i/>
              </w:rPr>
              <w:t>Unije kao što su europski zeleni plan i strategija za oblikovanje digitalne budućnosti Europe.</w:t>
            </w:r>
            <w:r w:rsidRPr="008837FC">
              <w:t xml:space="preserve"> </w:t>
            </w:r>
            <w:r w:rsidRPr="008837FC">
              <w:rPr>
                <w:b/>
                <w:i/>
              </w:rPr>
              <w:t>Trebalo bi usmjeriti potporu i prema prekograničnim aktivnostima.</w:t>
            </w:r>
          </w:p>
        </w:tc>
        <w:tc>
          <w:tcPr>
            <w:tcW w:w="4876" w:type="dxa"/>
          </w:tcPr>
          <w:p w:rsidR="00AE114F" w:rsidRPr="008837FC" w:rsidRDefault="009A34F8" w:rsidP="001A7B45">
            <w:pPr>
              <w:pStyle w:val="Normal6a"/>
            </w:pPr>
            <w:r w:rsidRPr="008837FC">
              <w:t>(10)</w:t>
            </w:r>
            <w:r w:rsidRPr="008837FC">
              <w:tab/>
              <w:t xml:space="preserve">Operacijama financiranja i ulaganja trebalo bi </w:t>
            </w:r>
            <w:r w:rsidRPr="008837FC">
              <w:rPr>
                <w:b/>
                <w:i/>
              </w:rPr>
              <w:t>podupirati ravnomjeran makroekonomski oporavak nakon pandemije bolesti COVID-19.</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(10)</w:t>
            </w:r>
            <w:r w:rsidRPr="008837FC">
              <w:tab/>
              <w:t>Operacije financiranja i ulaganja trebale bi biti usklađene s trenutačnim prioritetima politike Unije kao što su europski zeleni plan i strategija za oblikovanje digitalne budućnosti Europe. Trebalo bi usmjeriti potporu i prema prekograničnim aktivnostima.</w:t>
            </w:r>
          </w:p>
        </w:tc>
        <w:tc>
          <w:tcPr>
            <w:tcW w:w="4876" w:type="dxa"/>
          </w:tcPr>
          <w:p w:rsidR="00AE114F" w:rsidRPr="008837FC" w:rsidRDefault="009A34F8" w:rsidP="006D65FE">
            <w:pPr>
              <w:pStyle w:val="Normal6a"/>
            </w:pPr>
            <w:r w:rsidRPr="008837FC">
              <w:t>(10)</w:t>
            </w:r>
            <w:r w:rsidRPr="008837FC">
              <w:tab/>
              <w:t xml:space="preserve">Operacije financiranja i ulaganja trebale bi biti usklađene s trenutačnim prioritetima politike Unije kao što su europski zeleni plan, </w:t>
            </w:r>
            <w:r w:rsidRPr="008837FC">
              <w:rPr>
                <w:b/>
                <w:i/>
              </w:rPr>
              <w:t>strategija EU-a za bioraznolikost do 2030.</w:t>
            </w:r>
            <w:r w:rsidRPr="008837FC">
              <w:t xml:space="preserve"> i strategija za oblikovanje digitalne budućnosti Europe. Trebalo bi usmjeriti potporu i prema prekograničnim aktivnostima.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pPr>
        <w:pStyle w:val="AmJustTitle"/>
      </w:pPr>
      <w:r w:rsidRPr="008837FC">
        <w:rPr>
          <w:rStyle w:val="HideTWBExt"/>
          <w:i w:val="0"/>
          <w:noProof w:val="0"/>
          <w:color w:val="auto"/>
        </w:rPr>
        <w:t>&lt;TitreJust&gt;</w:t>
      </w:r>
      <w:r w:rsidRPr="008837FC">
        <w:t>Obrazloženje</w:t>
      </w:r>
      <w:r w:rsidRPr="008837FC">
        <w:rPr>
          <w:rStyle w:val="HideTWBExt"/>
          <w:i w:val="0"/>
          <w:noProof w:val="0"/>
          <w:color w:val="auto"/>
        </w:rPr>
        <w:t>&lt;/TitreJust&gt;</w:t>
      </w:r>
    </w:p>
    <w:p w:rsidR="00AE114F" w:rsidRPr="008837FC" w:rsidRDefault="009A34F8" w:rsidP="00AE114F">
      <w:pPr>
        <w:pStyle w:val="AmJustText"/>
      </w:pPr>
      <w:r w:rsidRPr="008837FC">
        <w:t>Zeleni plan također se bavi digitalizacijom, ako se izričito navodi strategija o oblikovanju digitalne budućnosti Europe, isto bi trebalo postupati sa strategijom EU-a za bioraznolikost, s obzirom na značajne ciljeve obnove kopnenih, riječnih i morskih ekosustava za koje je također potrebno privatno i javnoprivatno financiranje.</w:t>
      </w:r>
    </w:p>
    <w:p w:rsidR="00AE114F" w:rsidRPr="008837FC" w:rsidRDefault="009A34F8" w:rsidP="00AE114F">
      <w:r w:rsidRPr="008837FC">
        <w:rPr>
          <w:rStyle w:val="HideTWBExt"/>
          <w:noProof w:val="0"/>
          <w:color w:val="auto"/>
        </w:rPr>
        <w:lastRenderedPageBreak/>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Rob Rooken</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(10)</w:t>
            </w:r>
            <w:r w:rsidRPr="008837FC">
              <w:tab/>
              <w:t xml:space="preserve">Operacije financiranja i ulaganja trebale bi </w:t>
            </w:r>
            <w:r w:rsidRPr="008837FC">
              <w:rPr>
                <w:b/>
                <w:i/>
              </w:rPr>
              <w:t>biti usklađene s trenutačnim prioritetima politike</w:t>
            </w:r>
            <w:r w:rsidRPr="008837FC">
              <w:t xml:space="preserve"> </w:t>
            </w:r>
            <w:r w:rsidRPr="008837FC">
              <w:rPr>
                <w:b/>
                <w:i/>
              </w:rPr>
              <w:t>Unije kao što su europski zeleni plan i strategija za oblikovanje digitalne budućnosti Europe.</w:t>
            </w:r>
            <w:r w:rsidRPr="008837FC">
              <w:t xml:space="preserve"> </w:t>
            </w:r>
            <w:r w:rsidRPr="008837FC">
              <w:rPr>
                <w:b/>
                <w:i/>
              </w:rPr>
              <w:t>Trebalo bi usmjeriti potporu i prema prekograničnim aktivnostima.</w:t>
            </w:r>
          </w:p>
        </w:tc>
        <w:tc>
          <w:tcPr>
            <w:tcW w:w="4876" w:type="dxa"/>
          </w:tcPr>
          <w:p w:rsidR="00AE114F" w:rsidRPr="008837FC" w:rsidRDefault="009A34F8" w:rsidP="001A7B45">
            <w:pPr>
              <w:pStyle w:val="Normal6a"/>
            </w:pPr>
            <w:r w:rsidRPr="008837FC">
              <w:t>(10)</w:t>
            </w:r>
            <w:r w:rsidRPr="008837FC">
              <w:tab/>
            </w:r>
            <w:r w:rsidRPr="008837FC">
              <w:rPr>
                <w:b/>
                <w:i/>
              </w:rPr>
              <w:t>Instrument za potporu solventnosti nije zamišljen za usmjeravanje gospodarstava država članica u drugom smjeru.</w:t>
            </w:r>
            <w:r w:rsidRPr="008837FC">
              <w:t xml:space="preserve"> Operacije financiranja i ulaganja trebalo bi </w:t>
            </w:r>
            <w:r w:rsidRPr="008837FC">
              <w:rPr>
                <w:b/>
                <w:i/>
              </w:rPr>
              <w:t>usmjeriti na brz oporavak gospodarstava država članica te na taj način spriječiti daljnju nezaposlenost.</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10.a (nova)</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53230C">
            <w:pPr>
              <w:pStyle w:val="Normal6a"/>
            </w:pPr>
            <w:r w:rsidRPr="008837FC">
              <w:rPr>
                <w:b/>
                <w:i/>
              </w:rPr>
              <w:t>(10a)</w:t>
            </w:r>
            <w:r w:rsidRPr="008837FC">
              <w:tab/>
            </w:r>
            <w:r w:rsidRPr="008837FC">
              <w:rPr>
                <w:b/>
                <w:i/>
              </w:rPr>
              <w:t xml:space="preserve">Velika društva koja se koriste instrumentom za potporu solventnosti trebala bi biti obvezna donijeti obvezujuće planove tranzicije, uz obrazloženje usklađenosti svojih gospodarskih djelatnosti s klimatskim ciljevima Unije te doprinositi više kružnom gospodarstvu i bioraznolikim ekosustavima. Tim bi se planovima tranzicije trebalo obuhvatiti odgovarajuće upravljanje u pogledu rizika održivosti te osigurati to da se svi budući kapitalni izdaci koriste za održive gospodarske djelatnosti u skladu s okvirom EU-a za olakšavanje održivih ulaganja. Njima bi se trebalo predvidjeti postupno uklanjanje djelatnosti kojima se uzrokuje znatna šteta u pogledu bilo kojeg okolišnog cilja te preobrazbu takvih </w:t>
            </w:r>
            <w:r w:rsidRPr="008837FC">
              <w:rPr>
                <w:b/>
                <w:i/>
              </w:rPr>
              <w:lastRenderedPageBreak/>
              <w:t>djelatnosti u neutralne aktivnosti ili aktivnosti s niskim učinkom prema prethodno utvrđenom rasporedu.</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10.b (nova)</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(10b)</w:t>
            </w:r>
            <w:r w:rsidRPr="008837FC">
              <w:rPr>
                <w:b/>
                <w:i/>
              </w:rPr>
              <w:tab/>
              <w:t>Društva koja se koriste instrumentom za potporu solventnosti trebala bi se obvezati na jednaku plaću za žene i muškarce za rad jednake vrijednosti i primijeniti je, te bi u svoje planove tranzicije trebala uključiti aktivnosti za davanje prednosti, ako je to nužno i u mjeri u kojoj je moguće, ranom umirovljenju, radu sa skraćenim radnim vremenom ili jednakovrijednim mjerama umjesto otpuštanja i daljnje prilagodljivosti i nesigurnosti radnih mjesta. Društva koja ostvaruju korist od instrumenta za potporu solventnosti također bi se trebala obvezati na osposobljavanje i relevantnu prekvalifikaciju radnika prema zelenoj i digitalnoj tranziciji.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Alexandr Vondra</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Uvodna izjava 13.</w:t>
      </w:r>
      <w:r w:rsidRPr="008837F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(13)</w:t>
            </w:r>
            <w:r w:rsidRPr="008837FC">
              <w:tab/>
              <w:t xml:space="preserve">Trebalo bi utvrditi iznos od </w:t>
            </w:r>
            <w:r w:rsidRPr="008837FC">
              <w:lastRenderedPageBreak/>
              <w:t xml:space="preserve">100 000 000 EUR za potporu uspostavi i upravljanju investicijskim fondovima, subjektima posebne namjene i platformama za ulaganje u državama članicama, posebno u onima koje nisu razvile tržišta dioničkih fondova, </w:t>
            </w:r>
            <w:r w:rsidRPr="008837FC">
              <w:rPr>
                <w:b/>
                <w:i/>
              </w:rPr>
              <w:t>te za potporu zelenoj i</w:t>
            </w:r>
            <w:r w:rsidRPr="008837FC">
              <w:t xml:space="preserve"> digitalnoj transformaciji </w:t>
            </w:r>
            <w:r w:rsidRPr="008837FC">
              <w:rPr>
                <w:b/>
                <w:i/>
              </w:rPr>
              <w:t>društava koja se financiraju u sklopu dijela za potporu solventnosti.</w:t>
            </w:r>
          </w:p>
        </w:tc>
        <w:tc>
          <w:tcPr>
            <w:tcW w:w="4876" w:type="dxa"/>
          </w:tcPr>
          <w:p w:rsidR="00AE114F" w:rsidRPr="008837FC" w:rsidRDefault="009A34F8" w:rsidP="001A7B45">
            <w:pPr>
              <w:pStyle w:val="Normal6a"/>
            </w:pPr>
            <w:r w:rsidRPr="008837FC">
              <w:lastRenderedPageBreak/>
              <w:t>(13)</w:t>
            </w:r>
            <w:r w:rsidRPr="008837FC">
              <w:tab/>
              <w:t xml:space="preserve"> Trebalo bi utvrditi iznos od </w:t>
            </w:r>
            <w:r w:rsidRPr="008837FC">
              <w:lastRenderedPageBreak/>
              <w:t xml:space="preserve">100 000 000 EUR za potporu uspostavi i upravljanju investicijskim fondovima, subjektima posebne namjene i platformama za ulaganje u državama članicama, posebno u onima koje nisu razvile tržišta dioničkih fondova, </w:t>
            </w:r>
            <w:r w:rsidRPr="008837FC">
              <w:rPr>
                <w:b/>
                <w:i/>
              </w:rPr>
              <w:t>uzimajući pritom u obzir</w:t>
            </w:r>
            <w:r w:rsidRPr="008837FC">
              <w:t xml:space="preserve"> digitalnu transformaciju </w:t>
            </w:r>
            <w:r w:rsidRPr="008837FC">
              <w:rPr>
                <w:b/>
                <w:i/>
              </w:rPr>
              <w:t>i ciljeve europskog zelenog plana.</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3. – stavak 1. – točka c</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(c)</w:t>
            </w:r>
            <w:r w:rsidRPr="008837FC">
              <w:tab/>
              <w:t>solventnost društava osnovanih u državi članici koja posluju u Uniji.</w:t>
            </w:r>
          </w:p>
        </w:tc>
        <w:tc>
          <w:tcPr>
            <w:tcW w:w="4876" w:type="dxa"/>
          </w:tcPr>
          <w:p w:rsidR="00AE114F" w:rsidRPr="008837FC" w:rsidRDefault="009A34F8" w:rsidP="001A7B45">
            <w:pPr>
              <w:pStyle w:val="Normal6a"/>
            </w:pPr>
            <w:r w:rsidRPr="008837FC">
              <w:t>(c)</w:t>
            </w:r>
            <w:r w:rsidRPr="008837FC">
              <w:tab/>
              <w:t xml:space="preserve">solventnost društava, </w:t>
            </w:r>
            <w:r w:rsidRPr="008837FC">
              <w:rPr>
                <w:b/>
                <w:i/>
              </w:rPr>
              <w:t>s posebnom usmjerenošću na MSP-ove</w:t>
            </w:r>
            <w:r w:rsidRPr="008837FC">
              <w:t>, osnovanih u državi članici koja posluju u Uniji.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5.</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6. – stavak 1. – točka a – podstavak 2.</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062FFD">
        <w:trPr>
          <w:trHeight w:hRule="exact" w:val="240"/>
          <w:jc w:val="center"/>
        </w:trPr>
        <w:tc>
          <w:tcPr>
            <w:tcW w:w="9752" w:type="dxa"/>
            <w:gridSpan w:val="2"/>
          </w:tcPr>
          <w:p w:rsidR="00AE114F" w:rsidRPr="008837FC" w:rsidRDefault="00AE114F" w:rsidP="001A7B45"/>
        </w:tc>
      </w:tr>
      <w:tr w:rsidR="008837FC" w:rsidRPr="008837FC" w:rsidTr="00062FFD">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062FFD">
        <w:trPr>
          <w:jc w:val="center"/>
        </w:trPr>
        <w:tc>
          <w:tcPr>
            <w:tcW w:w="4876" w:type="dxa"/>
          </w:tcPr>
          <w:p w:rsidR="00AE114F" w:rsidRPr="008837FC" w:rsidRDefault="009A34F8" w:rsidP="001A7B45">
            <w:pPr>
              <w:pStyle w:val="Normal6a"/>
            </w:pPr>
            <w:r w:rsidRPr="008837FC">
              <w:t>Međutim, potpora u okviru dijela za potporu solventnosti dodjeljuje se samo ako je u korist društava koja nisu bila u teškoćama prema pravilima o državnim potporama</w:t>
            </w:r>
            <w:r w:rsidRPr="008837FC">
              <w:rPr>
                <w:rStyle w:val="Sup"/>
              </w:rPr>
              <w:t>8</w:t>
            </w:r>
            <w:r w:rsidRPr="008837FC">
              <w:t xml:space="preserve"> već krajem 2019., ali su otada </w:t>
            </w:r>
            <w:r w:rsidRPr="008837FC">
              <w:lastRenderedPageBreak/>
              <w:t>suočena sa znatnim rizicima solventnosti zbog krize prouzročene pandemijom bolesti COVID-19,</w:t>
            </w:r>
          </w:p>
        </w:tc>
        <w:tc>
          <w:tcPr>
            <w:tcW w:w="4876" w:type="dxa"/>
          </w:tcPr>
          <w:p w:rsidR="00AE114F" w:rsidRPr="008837FC" w:rsidRDefault="009A34F8" w:rsidP="001A7B45">
            <w:pPr>
              <w:pStyle w:val="Normal6a"/>
            </w:pPr>
            <w:r w:rsidRPr="008837FC">
              <w:lastRenderedPageBreak/>
              <w:t>Međutim, potpora u okviru dijela za potporu solventnosti dodjeljuje se samo ako je u korist društava koja nisu bila u teškoćama prema pravilima o državnim potporama</w:t>
            </w:r>
            <w:r w:rsidRPr="008837FC">
              <w:rPr>
                <w:rStyle w:val="Sup"/>
              </w:rPr>
              <w:t>8</w:t>
            </w:r>
            <w:r w:rsidRPr="008837FC">
              <w:t xml:space="preserve"> već krajem 2019., ali su otada </w:t>
            </w:r>
            <w:r w:rsidRPr="008837FC">
              <w:lastRenderedPageBreak/>
              <w:t>suočena sa znatnim rizicima solventnosti zbog krize prouzročene pandemijom bolesti COVID-19;</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Štoviše, potpora u okviru dijela za potporu solventnosti dodjeljuje se samo društvima koja:</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E87D4A">
            <w:pPr>
              <w:pStyle w:val="Normal6a"/>
            </w:pPr>
            <w:r w:rsidRPr="008837FC">
              <w:rPr>
                <w:b/>
                <w:i/>
              </w:rPr>
              <w:t>– donesu planove u skladu sa smjernicama iz Priloga II. odjeljka 6 točke (d)</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E87D4A">
            <w:pPr>
              <w:pStyle w:val="Normal6a"/>
            </w:pPr>
            <w:r w:rsidRPr="008837FC">
              <w:rPr>
                <w:b/>
                <w:i/>
              </w:rPr>
              <w:t>– ispunjavaju zahtjeve u pogledu minimalnih zaštitnih mjera iz Uredbe (EU) 2020/852 Europskog parlamenta i Vijeća članka 18.</w:t>
            </w:r>
            <w:r w:rsidRPr="008837FC">
              <w:rPr>
                <w:b/>
                <w:i/>
                <w:vertAlign w:val="superscript"/>
              </w:rPr>
              <w:t>8a</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151372">
            <w:pPr>
              <w:pStyle w:val="Normal6a"/>
            </w:pPr>
            <w:r w:rsidRPr="008837FC">
              <w:rPr>
                <w:b/>
                <w:i/>
              </w:rPr>
              <w:t>– nisu bila uključena u istražni postupak ili sudski progon odnosno nad njima se trenutačno ne provodi istraga ili vrši sudski progon radi pranja novca, financiranja terorizma, izbjegavanja poreza, porezne prijevare ili utaje poreza; društva s konsolidiranim prometom koji premašuje 750 000 000 EUR izrađuju i objavljuju bez naknade izvješće s informacijama iz Direktive 2013/36/EU članka 89. stavka 1. Europskog parlamenta i Vijeća</w:t>
            </w:r>
            <w:r w:rsidRPr="008837FC">
              <w:rPr>
                <w:b/>
                <w:i/>
                <w:vertAlign w:val="superscript"/>
              </w:rPr>
              <w:t>8b</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E87D4A">
            <w:pPr>
              <w:pStyle w:val="Normal6a"/>
            </w:pPr>
            <w:r w:rsidRPr="008837FC">
              <w:rPr>
                <w:b/>
                <w:i/>
              </w:rPr>
              <w:t>–</w:t>
            </w:r>
            <w:r w:rsidRPr="008837FC">
              <w:t xml:space="preserve"> </w:t>
            </w:r>
            <w:r w:rsidRPr="008837FC">
              <w:rPr>
                <w:b/>
                <w:i/>
              </w:rPr>
              <w:t>nisu dio skupine s društvima kćerima bez stvarne gospodarske djelatnosti u zemlji uvrštenoj na EU-ov popis nekooperativnih jurisdikcija u porezne</w:t>
            </w:r>
            <w:r w:rsidRPr="008837FC">
              <w:t xml:space="preserve"> </w:t>
            </w:r>
            <w:r w:rsidRPr="008837FC">
              <w:rPr>
                <w:b/>
                <w:i/>
              </w:rPr>
              <w:t>svrhe</w:t>
            </w:r>
            <w:r w:rsidRPr="008837FC">
              <w:rPr>
                <w:rStyle w:val="SupBoldItalic"/>
              </w:rPr>
              <w:t>8c</w:t>
            </w:r>
          </w:p>
        </w:tc>
      </w:tr>
      <w:tr w:rsidR="008837FC" w:rsidRPr="008837FC" w:rsidTr="00062FFD">
        <w:trPr>
          <w:jc w:val="center"/>
        </w:trPr>
        <w:tc>
          <w:tcPr>
            <w:tcW w:w="4876" w:type="dxa"/>
          </w:tcPr>
          <w:p w:rsidR="00AE114F" w:rsidRPr="008837FC" w:rsidRDefault="00AE114F" w:rsidP="001A7B45">
            <w:pPr>
              <w:pStyle w:val="Normal6a"/>
            </w:pPr>
          </w:p>
        </w:tc>
        <w:tc>
          <w:tcPr>
            <w:tcW w:w="4876" w:type="dxa"/>
          </w:tcPr>
          <w:p w:rsidR="00AE114F" w:rsidRPr="008837FC" w:rsidRDefault="009A34F8" w:rsidP="00B81212">
            <w:pPr>
              <w:pStyle w:val="Normal6a"/>
            </w:pPr>
            <w:r w:rsidRPr="008837FC">
              <w:rPr>
                <w:b/>
                <w:i/>
              </w:rPr>
              <w:t>– ne isplaćuju dividende, pričuve ili bonuse i ne otkupljuju dionice u razdoblju od najmanje dvije godine nakon ostvarivanja koristi u okviru instrumenta za potporu solventnosti</w:t>
            </w:r>
          </w:p>
        </w:tc>
      </w:tr>
      <w:tr w:rsidR="008837FC" w:rsidRPr="008837FC" w:rsidTr="00062FFD">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062FFD">
        <w:trPr>
          <w:jc w:val="center"/>
        </w:trPr>
        <w:tc>
          <w:tcPr>
            <w:tcW w:w="4876" w:type="dxa"/>
          </w:tcPr>
          <w:p w:rsidR="00AE114F" w:rsidRPr="008837FC" w:rsidRDefault="009A34F8" w:rsidP="001A7B45">
            <w:pPr>
              <w:pStyle w:val="Normal6a"/>
            </w:pPr>
            <w:r w:rsidRPr="008837FC">
              <w:rPr>
                <w:rStyle w:val="Sup"/>
              </w:rPr>
              <w:t>8</w:t>
            </w:r>
            <w:r w:rsidRPr="008837FC">
              <w:t xml:space="preserve"> Kako je definirano u članku 2. točki 18. Uredbe Komisije (EU) br. 651/2014 od 17. lipnja 2014. o ocjenjivanju određenih kategorija potpora spojivima s unutarnjim tržištem u primjeni članaka 107. i 108. Ugovora (SL L 187, 26.6.2014., str. 1.).</w:t>
            </w:r>
          </w:p>
        </w:tc>
        <w:tc>
          <w:tcPr>
            <w:tcW w:w="4876" w:type="dxa"/>
          </w:tcPr>
          <w:p w:rsidR="00AE114F" w:rsidRPr="008837FC" w:rsidRDefault="009A34F8" w:rsidP="001A7B45">
            <w:pPr>
              <w:pStyle w:val="Normal6a"/>
            </w:pPr>
            <w:r w:rsidRPr="008837FC">
              <w:rPr>
                <w:rStyle w:val="Sup"/>
              </w:rPr>
              <w:t>8</w:t>
            </w:r>
            <w:r w:rsidRPr="008837FC">
              <w:t xml:space="preserve"> Kako je definirano u članku 2. točki 18. Uredbe Komisije (EU) br. 651/2014 od 17. lipnja 2014. o ocjenjivanju određenih kategorija potpora spojivima s unutarnjim tržištem u primjeni članaka 107. i 108. Ugovora (SL L 187, 26.6.2014., str. 1.).</w:t>
            </w:r>
          </w:p>
        </w:tc>
      </w:tr>
      <w:tr w:rsidR="008837FC" w:rsidRPr="008837FC" w:rsidTr="00062FFD">
        <w:trPr>
          <w:jc w:val="center"/>
        </w:trPr>
        <w:tc>
          <w:tcPr>
            <w:tcW w:w="4876" w:type="dxa"/>
          </w:tcPr>
          <w:p w:rsidR="003F448D" w:rsidRPr="008837FC" w:rsidRDefault="003F448D" w:rsidP="001A7B45">
            <w:pPr>
              <w:pStyle w:val="Normal6a"/>
              <w:rPr>
                <w:rStyle w:val="Sup"/>
              </w:rPr>
            </w:pPr>
          </w:p>
        </w:tc>
        <w:tc>
          <w:tcPr>
            <w:tcW w:w="4876" w:type="dxa"/>
          </w:tcPr>
          <w:p w:rsidR="003F448D" w:rsidRPr="008837FC" w:rsidRDefault="009A34F8" w:rsidP="003C2429">
            <w:pPr>
              <w:pStyle w:val="Normal6a"/>
              <w:rPr>
                <w:rStyle w:val="Sup"/>
              </w:rPr>
            </w:pPr>
            <w:r w:rsidRPr="008837FC">
              <w:rPr>
                <w:rStyle w:val="SupBoldItalic"/>
              </w:rPr>
              <w:t>8a</w:t>
            </w:r>
            <w:r w:rsidRPr="008837FC">
              <w:rPr>
                <w:b/>
                <w:i/>
              </w:rPr>
              <w:t xml:space="preserve"> Uredba (EU) 2020/852 Europskog parlamenta i Vijeća od 18. lipnja 2020. o uspostavi okvira za olakšavanje održivih </w:t>
            </w:r>
            <w:r w:rsidRPr="008837FC">
              <w:rPr>
                <w:b/>
                <w:i/>
              </w:rPr>
              <w:lastRenderedPageBreak/>
              <w:t>ulaganja i izmjeni Uredbe (EU) 2019/2088 (SL L 198, 22.6.2020., str. 13).</w:t>
            </w:r>
          </w:p>
        </w:tc>
      </w:tr>
      <w:tr w:rsidR="008837FC" w:rsidRPr="008837FC" w:rsidTr="003F448D">
        <w:trPr>
          <w:jc w:val="center"/>
        </w:trPr>
        <w:tc>
          <w:tcPr>
            <w:tcW w:w="4876" w:type="dxa"/>
          </w:tcPr>
          <w:p w:rsidR="003C2429" w:rsidRPr="008837FC" w:rsidRDefault="003C2429" w:rsidP="001A7B45">
            <w:pPr>
              <w:pStyle w:val="Normal6a"/>
              <w:rPr>
                <w:rStyle w:val="Sup"/>
              </w:rPr>
            </w:pPr>
          </w:p>
        </w:tc>
        <w:tc>
          <w:tcPr>
            <w:tcW w:w="4876" w:type="dxa"/>
          </w:tcPr>
          <w:p w:rsidR="003C2429" w:rsidRPr="008837FC" w:rsidRDefault="009A34F8" w:rsidP="00151372">
            <w:pPr>
              <w:pStyle w:val="Normal6a"/>
              <w:rPr>
                <w:rStyle w:val="SupBoldItalic"/>
              </w:rPr>
            </w:pPr>
            <w:r w:rsidRPr="008837FC">
              <w:rPr>
                <w:b/>
                <w:i/>
                <w:vertAlign w:val="superscript"/>
              </w:rPr>
              <w:t>8b</w:t>
            </w:r>
            <w:r w:rsidRPr="008837FC">
              <w:rPr>
                <w:b/>
                <w:i/>
              </w:rPr>
              <w:t xml:space="preserve">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tc>
      </w:tr>
      <w:tr w:rsidR="008837FC" w:rsidRPr="008837FC" w:rsidTr="003F448D">
        <w:trPr>
          <w:jc w:val="center"/>
        </w:trPr>
        <w:tc>
          <w:tcPr>
            <w:tcW w:w="4876" w:type="dxa"/>
          </w:tcPr>
          <w:p w:rsidR="00151372" w:rsidRPr="008837FC" w:rsidRDefault="00151372" w:rsidP="001A7B45">
            <w:pPr>
              <w:pStyle w:val="Normal6a"/>
              <w:rPr>
                <w:rStyle w:val="Sup"/>
              </w:rPr>
            </w:pPr>
          </w:p>
        </w:tc>
        <w:tc>
          <w:tcPr>
            <w:tcW w:w="4876" w:type="dxa"/>
          </w:tcPr>
          <w:p w:rsidR="00151372" w:rsidRPr="008837FC" w:rsidRDefault="009A34F8" w:rsidP="00B81212">
            <w:pPr>
              <w:pStyle w:val="Normal6a"/>
              <w:rPr>
                <w:b/>
                <w:i/>
                <w:vertAlign w:val="superscript"/>
              </w:rPr>
            </w:pPr>
            <w:r w:rsidRPr="008837FC">
              <w:rPr>
                <w:b/>
                <w:i/>
                <w:vertAlign w:val="superscript"/>
              </w:rPr>
              <w:t>8c</w:t>
            </w:r>
            <w:r w:rsidRPr="008837FC">
              <w:rPr>
                <w:b/>
                <w:i/>
              </w:rPr>
              <w:t xml:space="preserve"> Zaključci Vijeća o revidiranom EU-ovu popisu nekooperativnih jurisdikcija u porezne svrhe (SL C 64, 27.2.2020., str. 8.).</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19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5.</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6. – stavak 1. – točka a – podstavak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Međutim, potpora u okviru dijela za potporu solventnosti dodjeljuje se samo ako je u korist društava </w:t>
            </w:r>
            <w:r w:rsidRPr="008837FC">
              <w:rPr>
                <w:b/>
                <w:i/>
              </w:rPr>
              <w:t>koja nisu bila u teškoćama prema pravilima o državnim potporama</w:t>
            </w:r>
            <w:r w:rsidRPr="008837FC">
              <w:rPr>
                <w:rStyle w:val="SupBoldItalic"/>
              </w:rPr>
              <w:t>8</w:t>
            </w:r>
            <w:r w:rsidRPr="008837FC">
              <w:t xml:space="preserve"> </w:t>
            </w:r>
            <w:r w:rsidRPr="008837FC">
              <w:rPr>
                <w:b/>
                <w:i/>
              </w:rPr>
              <w:t>već krajem 2019., ali su otada</w:t>
            </w:r>
            <w:r w:rsidRPr="008837FC">
              <w:t xml:space="preserve"> suočena sa znatnim rizicima solventnosti zbog krize prouzročene pandemijom bolesti </w:t>
            </w:r>
            <w:r w:rsidRPr="008837FC">
              <w:rPr>
                <w:b/>
                <w:i/>
              </w:rPr>
              <w:t>COVID</w:t>
            </w:r>
            <w:r w:rsidRPr="008837FC">
              <w:t>-19;</w:t>
            </w:r>
          </w:p>
        </w:tc>
        <w:tc>
          <w:tcPr>
            <w:tcW w:w="4876" w:type="dxa"/>
          </w:tcPr>
          <w:p w:rsidR="00AE114F" w:rsidRPr="008837FC" w:rsidRDefault="009A34F8" w:rsidP="001A7B45">
            <w:pPr>
              <w:pStyle w:val="Normal6a"/>
            </w:pPr>
            <w:r w:rsidRPr="008837FC">
              <w:t xml:space="preserve">Međutim, potpora u okviru dijela za potporu solventnosti dodjeljuje se samo ako je u korist društava koja su suočena sa znatnim rizicima solventnosti zbog krize prouzročene pandemijom bolesti </w:t>
            </w:r>
            <w:r w:rsidRPr="008837FC">
              <w:rPr>
                <w:b/>
                <w:i/>
              </w:rPr>
              <w:t>COVID</w:t>
            </w:r>
            <w:r w:rsidRPr="008837FC">
              <w:t>-19;</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8</w:t>
            </w:r>
            <w:r w:rsidRPr="008837FC">
              <w:t xml:space="preserve"> </w:t>
            </w:r>
            <w:r w:rsidRPr="008837FC">
              <w:rPr>
                <w:b/>
                <w:i/>
              </w:rPr>
              <w:t>Kako je definirano u članku 2. točki 18. Uredbe Komisije (EU) br. 651/2014 od 17. lipnja 2014. o ocjenjivanju određenih kategorija potpora spojivima s unutarnjim tržištem u primjeni članaka 107. i 108. Ugovora (SL L 187, 26.6.2014., str. 1.).</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lastRenderedPageBreak/>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5.</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6. – stavak 1. – točka a – podstavak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Međutim, potpora u okviru dijela za potporu solventnosti dodjeljuje se samo ako je u korist društava koja </w:t>
            </w:r>
            <w:r w:rsidRPr="008837FC">
              <w:rPr>
                <w:b/>
                <w:i/>
              </w:rPr>
              <w:t>nisu bila u teškoćama prema pravilima o državnim potporama</w:t>
            </w:r>
            <w:r w:rsidRPr="008837FC">
              <w:rPr>
                <w:rStyle w:val="SupBoldItalic"/>
              </w:rPr>
              <w:t>8</w:t>
            </w:r>
            <w:r w:rsidRPr="008837FC">
              <w:t xml:space="preserve"> </w:t>
            </w:r>
            <w:r w:rsidRPr="008837FC">
              <w:rPr>
                <w:b/>
                <w:i/>
              </w:rPr>
              <w:t>već krajem 2019., ali su otada</w:t>
            </w:r>
            <w:r w:rsidRPr="008837FC">
              <w:t xml:space="preserve"> suočena sa znatnim rizicima solventnosti zbog krize prouzročene pandemijom bolesti COVID-19;</w:t>
            </w:r>
          </w:p>
        </w:tc>
        <w:tc>
          <w:tcPr>
            <w:tcW w:w="4876" w:type="dxa"/>
          </w:tcPr>
          <w:p w:rsidR="00AE114F" w:rsidRPr="008837FC" w:rsidRDefault="009A34F8" w:rsidP="001A7B45">
            <w:pPr>
              <w:pStyle w:val="Normal6a"/>
            </w:pPr>
            <w:r w:rsidRPr="008837FC">
              <w:t xml:space="preserve">Međutim, potpora u okviru dijela za potporu solventnosti dodjeljuje se samo ako je u korist društava koja su suočena sa znatnim rizicima solventnosti zbog krize prouzročene pandemijom bolesti COVID-19, </w:t>
            </w:r>
            <w:r w:rsidRPr="008837FC">
              <w:rPr>
                <w:b/>
                <w:i/>
              </w:rPr>
              <w:t>te se smatraju „poduzetnicima u teškoćama“, kako je utvrđeno važećom nacionalnom definicijom u zemlji u kojoj obavljaju djelatnost;</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rPr>
                <w:b/>
                <w:i/>
              </w:rPr>
            </w:pPr>
            <w:r w:rsidRPr="008837FC">
              <w:rPr>
                <w:rStyle w:val="SupBoldItalic"/>
              </w:rPr>
              <w:t>8</w:t>
            </w:r>
            <w:r w:rsidRPr="008837FC">
              <w:t xml:space="preserve"> </w:t>
            </w:r>
            <w:r w:rsidRPr="008837FC">
              <w:rPr>
                <w:b/>
                <w:i/>
              </w:rPr>
              <w:t>Kako je definirano u članku 2. točki 18. Uredbe Komisije (EU) br. 651/2014 od 17. lipnja 2014. o ocjenjivanju određenih kategorija potpora spojivima s unutarnjim tržištem u primjeni članaka 107. i 108. Ugovora (SL L 187, 26.6.2014., str. 1.).</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pPr>
        <w:pStyle w:val="AmJustTitle"/>
      </w:pPr>
      <w:r w:rsidRPr="008837FC">
        <w:rPr>
          <w:rStyle w:val="HideTWBExt"/>
          <w:i w:val="0"/>
          <w:noProof w:val="0"/>
          <w:color w:val="auto"/>
        </w:rPr>
        <w:t>&lt;TitreJust&gt;</w:t>
      </w:r>
      <w:r w:rsidRPr="008837FC">
        <w:t>Obrazloženje</w:t>
      </w:r>
      <w:r w:rsidRPr="008837FC">
        <w:rPr>
          <w:rStyle w:val="HideTWBExt"/>
          <w:i w:val="0"/>
          <w:noProof w:val="0"/>
          <w:color w:val="auto"/>
        </w:rPr>
        <w:t>&lt;/TitreJust&gt;</w:t>
      </w:r>
    </w:p>
    <w:p w:rsidR="00AE114F" w:rsidRPr="008837FC" w:rsidRDefault="009A34F8" w:rsidP="00AE114F">
      <w:pPr>
        <w:pStyle w:val="AmJustText"/>
      </w:pPr>
      <w:r w:rsidRPr="008837FC">
        <w:t>Pojam „poduzetnici u teškoćama“, definiran Uredbom (EU) br. 651/2014, onemogućuje svim društvima koja su još prije kraja 2019. bila u teškoj financijskoj situaciji da ostvare korist od navedenih odredbi. Budući da je velik broj zemalja prošao kroz nekoliko kriza u razdoblju 2018. – 2019., time bi se, zapravo, većinu društava isključilo iz ostvarenja bilo koje vrste pomoći.</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Monika Beňová, Milan Brglez, Delara Burkhardt, Sara Cerdas, Javi López, César Luena, Manuel Pizarro, Rovana Plumb, Christel Schaldemose</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5a (nova)</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lastRenderedPageBreak/>
        <w:t>&lt;Article2&gt;</w:t>
      </w:r>
      <w:r w:rsidRPr="008837FC">
        <w:t>Članak 6. – stavak 1. – točka b</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na snazi</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(5a)</w:t>
            </w:r>
            <w:r w:rsidRPr="008837FC">
              <w:tab/>
            </w:r>
            <w:r w:rsidRPr="008837FC">
              <w:rPr>
                <w:b/>
                <w:i/>
              </w:rPr>
              <w:t>U članku 6. stavku 1., točka (b) mijenja se kako slijedi:</w:t>
            </w:r>
          </w:p>
        </w:tc>
      </w:tr>
      <w:tr w:rsidR="008837FC" w:rsidRPr="008837FC" w:rsidTr="001A7B45">
        <w:trPr>
          <w:jc w:val="center"/>
        </w:trPr>
        <w:tc>
          <w:tcPr>
            <w:tcW w:w="4876" w:type="dxa"/>
          </w:tcPr>
          <w:p w:rsidR="00AE114F" w:rsidRPr="008837FC" w:rsidRDefault="009A34F8" w:rsidP="001A7B45">
            <w:pPr>
              <w:pStyle w:val="Normal6a"/>
            </w:pPr>
            <w:r w:rsidRPr="008837FC">
              <w:t>(b)</w:t>
            </w:r>
            <w:r w:rsidRPr="008837FC">
              <w:tab/>
              <w:t xml:space="preserve">su u skladu s politikama Unije, </w:t>
            </w:r>
            <w:r w:rsidRPr="008837FC">
              <w:rPr>
                <w:b/>
                <w:i/>
              </w:rPr>
              <w:t>uključujući cilj</w:t>
            </w:r>
            <w:r w:rsidRPr="008837FC">
              <w:t xml:space="preserve"> pametnog, održivog i uključivog rasta, otvaranja kvalitetnih radnih mjesta te gospodarske, socijalne i teritorijalne kohezije;</w:t>
            </w:r>
          </w:p>
        </w:tc>
        <w:tc>
          <w:tcPr>
            <w:tcW w:w="4876" w:type="dxa"/>
          </w:tcPr>
          <w:p w:rsidR="00AE114F" w:rsidRPr="008837FC" w:rsidRDefault="009A34F8" w:rsidP="00737E51">
            <w:pPr>
              <w:pStyle w:val="Normal6a"/>
            </w:pPr>
            <w:r w:rsidRPr="008837FC">
              <w:t>(b)</w:t>
            </w:r>
            <w:r w:rsidRPr="008837FC">
              <w:tab/>
              <w:t xml:space="preserve">su </w:t>
            </w:r>
            <w:r w:rsidRPr="008837FC">
              <w:rPr>
                <w:b/>
                <w:i/>
              </w:rPr>
              <w:t>u skladu s</w:t>
            </w:r>
            <w:r w:rsidRPr="008837FC">
              <w:t xml:space="preserve"> politikama Unije, </w:t>
            </w:r>
            <w:r w:rsidRPr="008837FC">
              <w:rPr>
                <w:b/>
                <w:i/>
              </w:rPr>
              <w:t>Pariškim sporazumom i obvezom ostvarenja klimatske neutralnosti najkasnije do 2050.</w:t>
            </w:r>
            <w:r w:rsidRPr="008837FC">
              <w:t xml:space="preserve"> </w:t>
            </w:r>
            <w:r w:rsidRPr="008837FC">
              <w:rPr>
                <w:b/>
                <w:i/>
              </w:rPr>
              <w:t>koja je u njemu sadržana</w:t>
            </w:r>
            <w:r w:rsidRPr="008837FC">
              <w:t>, te pametnog, održivog i uključivog rasta, otvaranja kvalitetnih radnih mjesta te gospodarske, socijalne i teritorijalne kohezije;</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rPr>
          <w:rStyle w:val="HideTWBExt"/>
          <w:noProof w:val="0"/>
          <w:color w:val="auto"/>
        </w:rPr>
      </w:pPr>
      <w:r w:rsidRPr="008837FC">
        <w:rPr>
          <w:rStyle w:val="HideTWBExt"/>
          <w:b w:val="0"/>
          <w:noProof w:val="0"/>
          <w:color w:val="auto"/>
        </w:rPr>
        <w:t>&lt;Article&gt;</w:t>
      </w:r>
      <w:r w:rsidRPr="008837FC">
        <w:t>Članak 1. – stavak 1. – točka 5b (nova)</w:t>
      </w:r>
      <w:r w:rsidRPr="008837FC">
        <w:rPr>
          <w:rStyle w:val="HideTWBExt"/>
          <w:b w:val="0"/>
          <w:noProof w:val="0"/>
          <w:color w:val="auto"/>
        </w:rPr>
        <w:t>&lt;/Article&gt;</w:t>
      </w:r>
    </w:p>
    <w:p w:rsidR="003F448D" w:rsidRPr="008837FC" w:rsidRDefault="009A34F8" w:rsidP="003F448D">
      <w:r w:rsidRPr="008837FC">
        <w:rPr>
          <w:rStyle w:val="HideTWBExt"/>
          <w:noProof w:val="0"/>
          <w:color w:val="auto"/>
        </w:rPr>
        <w:t>&lt;DocAmend2&gt;</w:t>
      </w:r>
      <w:r w:rsidRPr="008837FC">
        <w:t>Uredba (EU) 2015/1017</w:t>
      </w:r>
      <w:r w:rsidRPr="008837FC">
        <w:rPr>
          <w:rStyle w:val="HideTWBExt"/>
          <w:noProof w:val="0"/>
          <w:color w:val="auto"/>
        </w:rPr>
        <w:t>&lt;/DocAmend2&gt;</w:t>
      </w:r>
    </w:p>
    <w:p w:rsidR="003F448D" w:rsidRPr="008837FC" w:rsidRDefault="009A34F8" w:rsidP="00062FFD">
      <w:r w:rsidRPr="008837FC">
        <w:rPr>
          <w:rStyle w:val="HideTWBExt"/>
          <w:noProof w:val="0"/>
          <w:color w:val="auto"/>
        </w:rPr>
        <w:t>&lt;Article2&gt;</w:t>
      </w:r>
      <w:r w:rsidRPr="008837FC">
        <w:t>Članak 6. – stavak 1.a (novi)</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8C602C">
            <w:pPr>
              <w:pStyle w:val="Normal6a"/>
            </w:pPr>
            <w:r w:rsidRPr="008837FC">
              <w:rPr>
                <w:b/>
                <w:i/>
              </w:rPr>
              <w:t>(5b)</w:t>
            </w:r>
            <w:r w:rsidRPr="008837FC">
              <w:rPr>
                <w:b/>
                <w:i/>
              </w:rPr>
              <w:tab/>
              <w:t>U članku 6. umeće se sljedeći stavak:</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8C602C">
            <w:pPr>
              <w:pStyle w:val="Normal6a"/>
            </w:pPr>
            <w:r w:rsidRPr="008837FC">
              <w:rPr>
                <w:b/>
                <w:i/>
              </w:rPr>
              <w:t>1.a</w:t>
            </w:r>
            <w:r w:rsidRPr="008837FC">
              <w:tab/>
            </w:r>
            <w:r w:rsidRPr="008837FC">
              <w:rPr>
                <w:b/>
                <w:i/>
              </w:rPr>
              <w:t>Komisija će razviti zasebnu tablicu pokazatelja prilagođenu dijelu za potporu solventnosti, s ciljem procjene potencijalnih društava korisnika u okviru dijela za potporu solventnosti u smislu članka 7 točke 12. ove uredbe. Samo će društva koja postignu minimalnu ocjenu biti prihvatljiva za potporu u okviru instrumenta za potporu solventnosti.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Rob Rooken</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lastRenderedPageBreak/>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rPr>
                <w:b/>
                <w:i/>
              </w:rPr>
            </w:pPr>
            <w:r w:rsidRPr="008837FC">
              <w:rPr>
                <w:rStyle w:val="num"/>
                <w:b/>
                <w:i/>
                <w:szCs w:val="24"/>
                <w:shd w:val="clear" w:color="auto" w:fill="FFFFFF"/>
              </w:rPr>
              <w:t>(10)</w:t>
            </w:r>
            <w:r w:rsidRPr="008837FC">
              <w:rPr>
                <w:b/>
                <w:i/>
                <w:szCs w:val="24"/>
                <w:shd w:val="clear" w:color="auto" w:fill="FFFFFF"/>
              </w:rPr>
              <w:t>U članku 9. uvodna rečenica stavka 2. trećeg podstavka mijenja se kako slijedi:</w:t>
            </w:r>
          </w:p>
        </w:tc>
        <w:tc>
          <w:tcPr>
            <w:tcW w:w="4876" w:type="dxa"/>
          </w:tcPr>
          <w:p w:rsidR="00AE114F" w:rsidRPr="008837FC" w:rsidRDefault="009A34F8" w:rsidP="001A7B45">
            <w:pPr>
              <w:pStyle w:val="Normal6a"/>
            </w:pPr>
            <w:r w:rsidRPr="008837FC">
              <w:rPr>
                <w:b/>
                <w:i/>
              </w:rPr>
              <w:t>Briše se.</w:t>
            </w:r>
          </w:p>
        </w:tc>
      </w:tr>
      <w:tr w:rsidR="008837FC" w:rsidRPr="008837FC" w:rsidTr="001A7B45">
        <w:trPr>
          <w:jc w:val="center"/>
        </w:trPr>
        <w:tc>
          <w:tcPr>
            <w:tcW w:w="4876" w:type="dxa"/>
          </w:tcPr>
          <w:p w:rsidR="003D6201" w:rsidRPr="008837FC" w:rsidRDefault="009A34F8" w:rsidP="001A7B45">
            <w:pPr>
              <w:pStyle w:val="Normal6a"/>
              <w:rPr>
                <w:rStyle w:val="num"/>
                <w:b/>
                <w:i/>
                <w:szCs w:val="24"/>
                <w:shd w:val="clear" w:color="auto" w:fill="FFFFFF"/>
              </w:rPr>
            </w:pPr>
            <w:r w:rsidRPr="008837FC">
              <w:rPr>
                <w:b/>
                <w:i/>
              </w:rPr>
              <w:t>Predmetne operacije usklađene su</w:t>
            </w:r>
            <w:r w:rsidRPr="008837FC">
              <w:t xml:space="preserve"> </w:t>
            </w:r>
            <w:r w:rsidRPr="008837FC">
              <w:rPr>
                <w:b/>
                <w:i/>
              </w:rPr>
              <w:t>s politikama Unije, uključujući europski zeleni plan</w:t>
            </w:r>
            <w:r w:rsidRPr="008837FC">
              <w:rPr>
                <w:rStyle w:val="SupBoldItalic"/>
              </w:rPr>
              <w:t>9</w:t>
            </w:r>
            <w:r w:rsidRPr="008837FC">
              <w:rPr>
                <w:b/>
                <w:i/>
              </w:rPr>
              <w:t xml:space="preserve"> i strategiju za oblikovanje digitalne budućnosti Europe</w:t>
            </w:r>
            <w:r w:rsidRPr="008837FC">
              <w:rPr>
                <w:rStyle w:val="SupBoldItalic"/>
              </w:rPr>
              <w:t>10</w:t>
            </w:r>
            <w:r w:rsidRPr="008837FC">
              <w:rPr>
                <w:b/>
                <w:i/>
              </w:rPr>
              <w:t xml:space="preserve"> , kao i potporu za uključiv i ravnomjeran oporavak nakon pandemije bolesti COVID-19 te potporu sljedećim općim ciljevima:</w:t>
            </w:r>
          </w:p>
        </w:tc>
        <w:tc>
          <w:tcPr>
            <w:tcW w:w="4876" w:type="dxa"/>
          </w:tcPr>
          <w:p w:rsidR="003D6201" w:rsidRPr="008837FC" w:rsidRDefault="003D6201" w:rsidP="001A7B45">
            <w:pPr>
              <w:pStyle w:val="Normal6a"/>
              <w:rPr>
                <w:b/>
                <w:i/>
              </w:rPr>
            </w:pP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9</w:t>
            </w:r>
            <w:r w:rsidRPr="008837FC">
              <w:t xml:space="preserve"> </w:t>
            </w:r>
            <w:r w:rsidRPr="008837FC">
              <w:rPr>
                <w:b/>
                <w:i/>
              </w:rPr>
              <w:t>COM(2019)640 final.</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10</w:t>
            </w:r>
            <w:r w:rsidRPr="008837FC">
              <w:t xml:space="preserve"> </w:t>
            </w:r>
            <w:r w:rsidRPr="008837FC">
              <w:rPr>
                <w:b/>
                <w:i/>
              </w:rPr>
              <w:t>COM(2020)67 final.</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Pascal Canfin, Nils Torvalds, Billy Kelleher, Martin Hojsík, Frédérique Ries, Linea Søgaard-Lidell, Sophia in 't Veld, Nicolae Ştefănuță, Catherine Chabaud, María Soraya Rodríguez Ramos, Chrysoula Zacharopoulou</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 xml:space="preserve"> 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Predmetne operacije usklađene su s politikama Unije, uključujući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c>
          <w:tcPr>
            <w:tcW w:w="4876" w:type="dxa"/>
          </w:tcPr>
          <w:p w:rsidR="00AE114F" w:rsidRPr="008837FC" w:rsidRDefault="009A34F8" w:rsidP="00037B5F">
            <w:pPr>
              <w:pStyle w:val="Normal6a"/>
            </w:pPr>
            <w:r w:rsidRPr="008837FC">
              <w:t>Predmetne operacije usklađene su s politikama Unije, uključujući europski zeleni plan</w:t>
            </w:r>
            <w:r w:rsidRPr="008837FC">
              <w:rPr>
                <w:rStyle w:val="Sup"/>
              </w:rPr>
              <w:t>9</w:t>
            </w:r>
            <w:r w:rsidRPr="008837FC">
              <w:t xml:space="preserve"> i </w:t>
            </w:r>
            <w:r w:rsidRPr="008837FC">
              <w:rPr>
                <w:b/>
                <w:i/>
              </w:rPr>
              <w:t>poštovanje načela „ne nanosi bitnu štetu“ iz Uredbe (EU) 2020/852</w:t>
            </w:r>
            <w:r w:rsidRPr="008837FC">
              <w:t xml:space="preserve"> te strategiju za oblikovanje digitalne budućnosti Europe</w:t>
            </w:r>
            <w:r w:rsidRPr="008837FC">
              <w:rPr>
                <w:rStyle w:val="Sup"/>
              </w:rPr>
              <w:t>10</w:t>
            </w:r>
            <w:r w:rsidRPr="008837FC">
              <w:t xml:space="preserve"> , kao i potporu za uključiv i ravnomjeran oporavak nakon pandemije bolesti COVID-19 te potporu sljedećim općim </w:t>
            </w:r>
            <w:r w:rsidRPr="008837FC">
              <w:lastRenderedPageBreak/>
              <w:t>ciljevima:</w:t>
            </w:r>
          </w:p>
        </w:tc>
      </w:tr>
      <w:tr w:rsidR="008837FC" w:rsidRPr="008837FC" w:rsidTr="001A7B45">
        <w:trPr>
          <w:jc w:val="center"/>
        </w:trPr>
        <w:tc>
          <w:tcPr>
            <w:tcW w:w="4876" w:type="dxa"/>
          </w:tcPr>
          <w:p w:rsidR="00AE114F" w:rsidRPr="008837FC" w:rsidRDefault="009A34F8" w:rsidP="001A7B45">
            <w:pPr>
              <w:pStyle w:val="Normal6a"/>
            </w:pPr>
            <w:r w:rsidRPr="008837FC">
              <w:lastRenderedPageBreak/>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10</w:t>
            </w:r>
            <w:r w:rsidRPr="008837FC">
              <w:t xml:space="preserve"> COM(2020)67 final.</w:t>
            </w:r>
          </w:p>
        </w:tc>
        <w:tc>
          <w:tcPr>
            <w:tcW w:w="4876" w:type="dxa"/>
          </w:tcPr>
          <w:p w:rsidR="00AE114F" w:rsidRPr="008837FC" w:rsidRDefault="009A34F8" w:rsidP="001A7B45">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Predmetne operacije usklađene su s politikama Unije, </w:t>
            </w:r>
            <w:r w:rsidRPr="008837FC">
              <w:rPr>
                <w:b/>
                <w:i/>
              </w:rPr>
              <w:t>uključujući</w:t>
            </w:r>
            <w:r w:rsidRPr="008837FC">
              <w:t xml:space="preserve">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c>
          <w:tcPr>
            <w:tcW w:w="4876" w:type="dxa"/>
          </w:tcPr>
          <w:p w:rsidR="00AE114F" w:rsidRPr="008837FC" w:rsidRDefault="009A34F8" w:rsidP="001A7B45">
            <w:pPr>
              <w:pStyle w:val="Normal6a"/>
            </w:pPr>
            <w:r w:rsidRPr="008837FC">
              <w:t xml:space="preserve">Predmetne operacije usklađene su s politikama i obvezama Unije, posebno klimatskim ciljevima Unije utvrđenima u </w:t>
            </w:r>
            <w:r w:rsidRPr="008837FC">
              <w:rPr>
                <w:b/>
                <w:i/>
              </w:rPr>
              <w:t xml:space="preserve">[Uredbi (EU) 2020/XXX o uspostavi okvira za ostvarenje klimatske neutralnosti </w:t>
            </w:r>
            <w:r w:rsidRPr="008837FC">
              <w:rPr>
                <w:b/>
                <w:bCs/>
                <w:i/>
                <w:szCs w:val="24"/>
                <w:shd w:val="clear" w:color="auto" w:fill="FFFFFF"/>
              </w:rPr>
              <w:t>i izmjeni Uredbe (EU) 2018/1999</w:t>
            </w:r>
            <w:r w:rsidRPr="008837FC">
              <w:rPr>
                <w:b/>
                <w:i/>
              </w:rPr>
              <w:t xml:space="preserve"> („europski propis o klimi“)],</w:t>
            </w:r>
            <w:r w:rsidRPr="008837FC">
              <w:t xml:space="preserve"> europskim zelenim planom</w:t>
            </w:r>
            <w:r w:rsidRPr="008837FC">
              <w:rPr>
                <w:rStyle w:val="Sup"/>
              </w:rPr>
              <w:t>9</w:t>
            </w:r>
            <w:r w:rsidRPr="008837FC">
              <w:t xml:space="preserve"> i strategijom za oblikovanje digitalne budućnosti Europe</w:t>
            </w:r>
            <w:r w:rsidRPr="008837FC">
              <w:rPr>
                <w:rStyle w:val="Sup"/>
              </w:rPr>
              <w:t>10</w:t>
            </w:r>
            <w:r w:rsidRPr="008837FC">
              <w:t xml:space="preserve"> kao i potporom za uključiv i ravnomjeran oporavak nakon pandemije bolesti COVID-19 te potporom sljedećim općim ciljevima: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10</w:t>
            </w:r>
            <w:r w:rsidRPr="008837FC">
              <w:t xml:space="preserve"> COM(2020)67 final.</w:t>
            </w:r>
          </w:p>
        </w:tc>
        <w:tc>
          <w:tcPr>
            <w:tcW w:w="4876" w:type="dxa"/>
          </w:tcPr>
          <w:p w:rsidR="00AE114F" w:rsidRPr="008837FC" w:rsidRDefault="009A34F8" w:rsidP="001A7B45">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lastRenderedPageBreak/>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Predmetne operacije</w:t>
            </w:r>
            <w:r w:rsidRPr="008837FC">
              <w:rPr>
                <w:b/>
                <w:i/>
              </w:rPr>
              <w:t xml:space="preserve"> usklađene su</w:t>
            </w:r>
            <w:r w:rsidRPr="008837FC">
              <w:t xml:space="preserve"> </w:t>
            </w:r>
            <w:r w:rsidRPr="008837FC">
              <w:rPr>
                <w:b/>
                <w:i/>
              </w:rPr>
              <w:t>s politikama Unije, uključujući europski zeleni plan</w:t>
            </w:r>
            <w:r w:rsidRPr="008837FC">
              <w:rPr>
                <w:rStyle w:val="SupBoldItalic"/>
              </w:rPr>
              <w:t>9</w:t>
            </w:r>
            <w:r w:rsidRPr="008837FC">
              <w:rPr>
                <w:b/>
                <w:i/>
              </w:rPr>
              <w:t xml:space="preserve"> i strategiju za oblikovanje digitalne budućnosti Europe</w:t>
            </w:r>
            <w:r w:rsidRPr="008837FC">
              <w:rPr>
                <w:rStyle w:val="SupBoldItalic"/>
              </w:rPr>
              <w:t>10</w:t>
            </w:r>
            <w:r w:rsidRPr="008837FC">
              <w:rPr>
                <w:b/>
                <w:i/>
              </w:rPr>
              <w:t xml:space="preserve"> , kao i potporu za uključiv i </w:t>
            </w:r>
            <w:r w:rsidRPr="008837FC">
              <w:t xml:space="preserve">ravnomjeran oporavak nakon pandemije bolesti COVID-19 </w:t>
            </w:r>
            <w:r w:rsidRPr="008837FC">
              <w:rPr>
                <w:b/>
                <w:i/>
              </w:rPr>
              <w:t xml:space="preserve">te potporu </w:t>
            </w:r>
            <w:r w:rsidRPr="008837FC">
              <w:t>sljedećim općim ciljevima:</w:t>
            </w:r>
          </w:p>
        </w:tc>
        <w:tc>
          <w:tcPr>
            <w:tcW w:w="4876" w:type="dxa"/>
          </w:tcPr>
          <w:p w:rsidR="00AE114F" w:rsidRPr="008837FC" w:rsidRDefault="009A34F8" w:rsidP="001A7B45">
            <w:pPr>
              <w:pStyle w:val="Normal6a"/>
            </w:pPr>
            <w:r w:rsidRPr="008837FC">
              <w:t xml:space="preserve">Predmetnim operacijama </w:t>
            </w:r>
            <w:r w:rsidRPr="008837FC">
              <w:rPr>
                <w:b/>
                <w:i/>
              </w:rPr>
              <w:t>podupire</w:t>
            </w:r>
            <w:r w:rsidRPr="008837FC">
              <w:t xml:space="preserve"> se ravnomjeran </w:t>
            </w:r>
            <w:r w:rsidRPr="008837FC">
              <w:rPr>
                <w:b/>
                <w:i/>
              </w:rPr>
              <w:t>makroekonomski</w:t>
            </w:r>
            <w:r w:rsidRPr="008837FC">
              <w:t xml:space="preserve"> oporavak nakon pandemije bolesti COVID-19, </w:t>
            </w:r>
            <w:r w:rsidRPr="008837FC">
              <w:rPr>
                <w:b/>
                <w:i/>
              </w:rPr>
              <w:t>kao i</w:t>
            </w:r>
            <w:r w:rsidRPr="008837FC">
              <w:t xml:space="preserve"> sve sljedeće opće ciljeve:</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9</w:t>
            </w:r>
            <w:r w:rsidRPr="008837FC">
              <w:t xml:space="preserve"> </w:t>
            </w:r>
            <w:r w:rsidRPr="008837FC">
              <w:rPr>
                <w:b/>
                <w:i/>
              </w:rPr>
              <w:t>COM(2019)640 final.</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10</w:t>
            </w:r>
            <w:r w:rsidRPr="008837FC">
              <w:t xml:space="preserve"> </w:t>
            </w:r>
            <w:r w:rsidRPr="008837FC">
              <w:rPr>
                <w:b/>
                <w:i/>
              </w:rPr>
              <w:t>COM(2020)67 final.</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3F448D">
        <w:trPr>
          <w:trHeight w:hRule="exact" w:val="240"/>
          <w:jc w:val="center"/>
        </w:trPr>
        <w:tc>
          <w:tcPr>
            <w:tcW w:w="9752" w:type="dxa"/>
            <w:gridSpan w:val="2"/>
          </w:tcPr>
          <w:p w:rsidR="00AE114F" w:rsidRPr="008837FC" w:rsidRDefault="00AE114F" w:rsidP="001A7B45"/>
        </w:tc>
      </w:tr>
      <w:tr w:rsidR="008837FC" w:rsidRPr="008837FC" w:rsidTr="003F448D">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3F448D">
        <w:trPr>
          <w:jc w:val="center"/>
        </w:trPr>
        <w:tc>
          <w:tcPr>
            <w:tcW w:w="4876" w:type="dxa"/>
          </w:tcPr>
          <w:p w:rsidR="00AE114F" w:rsidRPr="008837FC" w:rsidRDefault="009A34F8" w:rsidP="001A7B45">
            <w:pPr>
              <w:pStyle w:val="Normal6a"/>
            </w:pPr>
            <w:r w:rsidRPr="008837FC">
              <w:t>Predmetne operacije usklađene su s politikama Unije, uključujući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c>
          <w:tcPr>
            <w:tcW w:w="4876" w:type="dxa"/>
          </w:tcPr>
          <w:p w:rsidR="00AE114F" w:rsidRPr="008837FC" w:rsidRDefault="009A34F8" w:rsidP="001A7B45">
            <w:pPr>
              <w:pStyle w:val="Normal6a"/>
            </w:pPr>
            <w:r w:rsidRPr="008837FC">
              <w:t>Predmetne operacije usklađene su s politikama Unije</w:t>
            </w:r>
            <w:r w:rsidRPr="008837FC">
              <w:rPr>
                <w:b/>
                <w:i/>
              </w:rPr>
              <w:t xml:space="preserve"> te doprinose njezinim ciljevima, </w:t>
            </w:r>
            <w:r w:rsidRPr="008837FC">
              <w:t>uključujući europski zeleni plan</w:t>
            </w:r>
            <w:r w:rsidRPr="008837FC">
              <w:rPr>
                <w:rStyle w:val="Sup"/>
                <w:b/>
                <w:i/>
              </w:rPr>
              <w:t>9</w:t>
            </w:r>
            <w:r w:rsidRPr="008837FC">
              <w:rPr>
                <w:b/>
                <w:i/>
              </w:rPr>
              <w:t>, posebno strategiju EU-a za bioraznolikost do 2030.</w:t>
            </w:r>
            <w:r w:rsidRPr="008837FC">
              <w:rPr>
                <w:rStyle w:val="SupBoldItalic"/>
              </w:rPr>
              <w:t>9a</w:t>
            </w:r>
            <w:r w:rsidRPr="008837FC">
              <w:rPr>
                <w:b/>
                <w:i/>
              </w:rPr>
              <w:t xml:space="preserve"> </w:t>
            </w:r>
            <w:r w:rsidRPr="008837FC">
              <w:t>i strategiju za oblikovanje digitalne budućnosti Europe</w:t>
            </w:r>
            <w:r w:rsidRPr="008837FC">
              <w:rPr>
                <w:rStyle w:val="Sup"/>
              </w:rPr>
              <w:t>10</w:t>
            </w:r>
            <w:r w:rsidRPr="008837FC">
              <w:t>, kao i potporu za uključiv i ravnomjeran oporavak nakon pandemije bolesti COVID-19 te potporu sljedećim općim ciljevima:</w:t>
            </w:r>
          </w:p>
        </w:tc>
      </w:tr>
      <w:tr w:rsidR="008837FC" w:rsidRPr="008837FC" w:rsidTr="003F448D">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3F448D">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3F448D">
        <w:trPr>
          <w:jc w:val="center"/>
        </w:trPr>
        <w:tc>
          <w:tcPr>
            <w:tcW w:w="4876" w:type="dxa"/>
          </w:tcPr>
          <w:p w:rsidR="003F448D" w:rsidRPr="008837FC" w:rsidRDefault="003F448D" w:rsidP="003F448D">
            <w:pPr>
              <w:pStyle w:val="Normal6a"/>
              <w:rPr>
                <w:rStyle w:val="Sup"/>
              </w:rPr>
            </w:pPr>
          </w:p>
        </w:tc>
        <w:tc>
          <w:tcPr>
            <w:tcW w:w="4876" w:type="dxa"/>
          </w:tcPr>
          <w:p w:rsidR="003F448D" w:rsidRPr="008837FC" w:rsidRDefault="009A34F8" w:rsidP="003F448D">
            <w:pPr>
              <w:pStyle w:val="Normal6a"/>
              <w:rPr>
                <w:rStyle w:val="Sup"/>
              </w:rPr>
            </w:pPr>
            <w:r w:rsidRPr="008837FC">
              <w:rPr>
                <w:rStyle w:val="SupBoldItalic"/>
              </w:rPr>
              <w:t>9a</w:t>
            </w:r>
            <w:r w:rsidRPr="008837FC">
              <w:t xml:space="preserve"> </w:t>
            </w:r>
            <w:r w:rsidRPr="008837FC">
              <w:rPr>
                <w:b/>
                <w:i/>
              </w:rPr>
              <w:t>COM(2020) 380 final.</w:t>
            </w:r>
          </w:p>
        </w:tc>
      </w:tr>
      <w:tr w:rsidR="008837FC" w:rsidRPr="008837FC" w:rsidTr="003F448D">
        <w:trPr>
          <w:jc w:val="center"/>
        </w:trPr>
        <w:tc>
          <w:tcPr>
            <w:tcW w:w="4876" w:type="dxa"/>
          </w:tcPr>
          <w:p w:rsidR="003F448D" w:rsidRPr="008837FC" w:rsidRDefault="009A34F8" w:rsidP="003F448D">
            <w:pPr>
              <w:pStyle w:val="Normal6a"/>
            </w:pPr>
            <w:r w:rsidRPr="008837FC">
              <w:rPr>
                <w:rStyle w:val="Sup"/>
              </w:rPr>
              <w:t>10</w:t>
            </w:r>
            <w:r w:rsidRPr="008837FC">
              <w:t xml:space="preserve"> COM(2020)67 final.</w:t>
            </w:r>
          </w:p>
        </w:tc>
        <w:tc>
          <w:tcPr>
            <w:tcW w:w="4876" w:type="dxa"/>
          </w:tcPr>
          <w:p w:rsidR="003F448D" w:rsidRPr="008837FC" w:rsidRDefault="009A34F8" w:rsidP="003F448D">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Monika Beňová, Milan Brglez, Delara Burkhardt, Sara Cerdas, Javi López, César Luena, Manuel Pizarro, Rovana Plumb, Christel Schaldemose</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Predmetne operacije usklađene su s politikama Unije, uključujući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c>
          <w:tcPr>
            <w:tcW w:w="4876" w:type="dxa"/>
          </w:tcPr>
          <w:p w:rsidR="00AE114F" w:rsidRPr="008837FC" w:rsidRDefault="009A34F8" w:rsidP="00737E51">
            <w:pPr>
              <w:pStyle w:val="Normal6a"/>
            </w:pPr>
            <w:r w:rsidRPr="008837FC">
              <w:t>Predmetne operacije usklađene su s politikama Unije, uključujući europski zeleni plan</w:t>
            </w:r>
            <w:r w:rsidRPr="008837FC">
              <w:rPr>
                <w:rStyle w:val="Sup"/>
              </w:rPr>
              <w:t>9</w:t>
            </w:r>
            <w:r w:rsidRPr="008837FC">
              <w:rPr>
                <w:b/>
                <w:i/>
              </w:rPr>
              <w:t>i obvezu ostvarenja klimatske neutralnosti najkasnije do 2050. koja je u njemu sadržana</w:t>
            </w:r>
            <w:r w:rsidRPr="008837FC">
              <w:t>, te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10</w:t>
            </w:r>
            <w:r w:rsidRPr="008837FC">
              <w:t xml:space="preserve"> COM(2020)67 final.</w:t>
            </w:r>
          </w:p>
        </w:tc>
        <w:tc>
          <w:tcPr>
            <w:tcW w:w="4876" w:type="dxa"/>
          </w:tcPr>
          <w:p w:rsidR="00AE114F" w:rsidRPr="008837FC" w:rsidRDefault="009A34F8" w:rsidP="001A7B45">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29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Predmetne operacije usklađene su s politikama Unije, uključujući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w:t>
            </w:r>
            <w:r w:rsidRPr="008837FC">
              <w:lastRenderedPageBreak/>
              <w:t>oporavak nakon pandemije bolesti COVID-19 te potporu sljedećim općim ciljevima:</w:t>
            </w:r>
          </w:p>
        </w:tc>
        <w:tc>
          <w:tcPr>
            <w:tcW w:w="4876" w:type="dxa"/>
          </w:tcPr>
          <w:p w:rsidR="00AE114F" w:rsidRPr="008837FC" w:rsidRDefault="009A34F8" w:rsidP="001A7B45">
            <w:pPr>
              <w:pStyle w:val="Normal6a"/>
            </w:pPr>
            <w:r w:rsidRPr="008837FC">
              <w:lastRenderedPageBreak/>
              <w:t>Predmetne operacije usklađene su s politikama Unije, uključujući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w:t>
            </w:r>
            <w:r w:rsidRPr="008837FC">
              <w:rPr>
                <w:b/>
                <w:i/>
              </w:rPr>
              <w:t xml:space="preserve">predane su klimatskim ciljevima iz Pariškog </w:t>
            </w:r>
            <w:r w:rsidRPr="008837FC">
              <w:rPr>
                <w:b/>
                <w:i/>
              </w:rPr>
              <w:lastRenderedPageBreak/>
              <w:t>sporazuma</w:t>
            </w:r>
            <w:r w:rsidRPr="008837FC">
              <w:t>, te se njima pruža potporu za uključiv i ravnomjeran oporavak nakon pandemije bolesti COVID-19 i podupiru sljedeći opći ciljevi:</w:t>
            </w:r>
          </w:p>
        </w:tc>
      </w:tr>
      <w:tr w:rsidR="008837FC" w:rsidRPr="008837FC" w:rsidTr="001A7B45">
        <w:trPr>
          <w:jc w:val="center"/>
        </w:trPr>
        <w:tc>
          <w:tcPr>
            <w:tcW w:w="4876" w:type="dxa"/>
          </w:tcPr>
          <w:p w:rsidR="00AE114F" w:rsidRPr="008837FC" w:rsidRDefault="009A34F8" w:rsidP="001A7B45">
            <w:pPr>
              <w:pStyle w:val="Normal6a"/>
            </w:pPr>
            <w:r w:rsidRPr="008837FC">
              <w:lastRenderedPageBreak/>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10</w:t>
            </w:r>
            <w:r w:rsidRPr="008837FC">
              <w:t xml:space="preserve"> COM(2020)67 final.</w:t>
            </w:r>
          </w:p>
        </w:tc>
        <w:tc>
          <w:tcPr>
            <w:tcW w:w="4876" w:type="dxa"/>
          </w:tcPr>
          <w:p w:rsidR="00AE114F" w:rsidRPr="008837FC" w:rsidRDefault="009A34F8" w:rsidP="001A7B45">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Alexandr Vondra</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Predmetne operacije </w:t>
            </w:r>
            <w:r w:rsidRPr="008837FC">
              <w:rPr>
                <w:b/>
                <w:i/>
              </w:rPr>
              <w:t>usklađene su s politikama Unije, uključujući europski zeleni plan</w:t>
            </w:r>
            <w:r w:rsidRPr="008837FC">
              <w:rPr>
                <w:rStyle w:val="SupBoldItalic"/>
              </w:rPr>
              <w:t>9</w:t>
            </w:r>
            <w:r w:rsidRPr="008837FC">
              <w:t xml:space="preserve"> </w:t>
            </w:r>
            <w:r w:rsidRPr="008837FC">
              <w:rPr>
                <w:b/>
                <w:i/>
              </w:rPr>
              <w:t>i strategiju za oblikovanje digitalne budućnosti Europe</w:t>
            </w:r>
            <w:r w:rsidRPr="008837FC">
              <w:rPr>
                <w:rStyle w:val="SupBoldItalic"/>
              </w:rPr>
              <w:t>10</w:t>
            </w:r>
            <w:r w:rsidRPr="008837FC">
              <w:t xml:space="preserve"> , </w:t>
            </w:r>
            <w:r w:rsidRPr="008837FC">
              <w:rPr>
                <w:b/>
                <w:i/>
              </w:rPr>
              <w:t>kao i potporu</w:t>
            </w:r>
            <w:r w:rsidRPr="008837FC">
              <w:t xml:space="preserve"> za uključiv i ravnomjeran oporavak nakon pandemije bolesti COVID-19 te potporu sljedećim općim ciljevima:</w:t>
            </w:r>
          </w:p>
        </w:tc>
        <w:tc>
          <w:tcPr>
            <w:tcW w:w="4876" w:type="dxa"/>
          </w:tcPr>
          <w:p w:rsidR="00AE114F" w:rsidRPr="008837FC" w:rsidRDefault="009A34F8" w:rsidP="001A7B45">
            <w:pPr>
              <w:pStyle w:val="Normal6a"/>
            </w:pPr>
            <w:r w:rsidRPr="008837FC">
              <w:t xml:space="preserve">Predmetne operacije </w:t>
            </w:r>
            <w:r w:rsidRPr="008837FC">
              <w:rPr>
                <w:b/>
                <w:i/>
              </w:rPr>
              <w:t>podupiru</w:t>
            </w:r>
            <w:r w:rsidRPr="008837FC">
              <w:t xml:space="preserve"> uključiv, ravnomjeran oporavak nakon pandemije bolesti COVID-19, </w:t>
            </w:r>
            <w:r w:rsidRPr="008837FC">
              <w:rPr>
                <w:b/>
                <w:i/>
              </w:rPr>
              <w:t>uzimajući u obzir šire ciljeve Unije poput europskog zelenog plana</w:t>
            </w:r>
            <w:r w:rsidRPr="008837FC">
              <w:rPr>
                <w:rStyle w:val="SupBoldItalic"/>
              </w:rPr>
              <w:t>9</w:t>
            </w:r>
            <w:r w:rsidRPr="008837FC">
              <w:t xml:space="preserve"> </w:t>
            </w:r>
            <w:r w:rsidRPr="008837FC">
              <w:rPr>
                <w:b/>
                <w:i/>
              </w:rPr>
              <w:t>uključujući pravednu tranziciju i strategiju za oblikovanje digitalne budućnosti Europe</w:t>
            </w:r>
            <w:r w:rsidRPr="008837FC">
              <w:rPr>
                <w:rStyle w:val="SupBoldItalic"/>
              </w:rPr>
              <w:t>10</w:t>
            </w:r>
            <w:r w:rsidRPr="008837FC">
              <w:t xml:space="preserve"> te sljedeće opće ciljeve:</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9</w:t>
            </w:r>
            <w:r w:rsidRPr="008837FC">
              <w:t xml:space="preserve"> COM(2019)640 final.</w:t>
            </w:r>
          </w:p>
        </w:tc>
        <w:tc>
          <w:tcPr>
            <w:tcW w:w="4876" w:type="dxa"/>
          </w:tcPr>
          <w:p w:rsidR="00AE114F" w:rsidRPr="008837FC" w:rsidRDefault="009A34F8" w:rsidP="001A7B45">
            <w:pPr>
              <w:pStyle w:val="Normal6a"/>
            </w:pPr>
            <w:r w:rsidRPr="008837FC">
              <w:rPr>
                <w:rStyle w:val="SupBoldItalic"/>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BoldItalic"/>
              </w:rPr>
              <w:t>10</w:t>
            </w:r>
            <w:r w:rsidRPr="008837FC">
              <w:t xml:space="preserve"> COM(2020)67 final.</w:t>
            </w:r>
          </w:p>
        </w:tc>
        <w:tc>
          <w:tcPr>
            <w:tcW w:w="4876" w:type="dxa"/>
          </w:tcPr>
          <w:p w:rsidR="00AE114F" w:rsidRPr="008837FC" w:rsidRDefault="009A34F8" w:rsidP="001A7B45">
            <w:pPr>
              <w:pStyle w:val="Normal6a"/>
            </w:pPr>
            <w:r w:rsidRPr="008837FC">
              <w:rPr>
                <w:rStyle w:val="SupBoldItalic"/>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Lídia Pereira, Peter Liese, Pernille Weiss, Inese Vaidere, Sirpa Pietikäinen, Cindy Franssen, 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Predmetne operacije usklađene su s politikama Unije, </w:t>
            </w:r>
            <w:r w:rsidRPr="008837FC">
              <w:rPr>
                <w:b/>
                <w:i/>
              </w:rPr>
              <w:t>uključujući</w:t>
            </w:r>
            <w:r w:rsidRPr="008837FC">
              <w:t xml:space="preserve"> europski zeleni plan</w:t>
            </w:r>
            <w:r w:rsidRPr="008837FC">
              <w:rPr>
                <w:rStyle w:val="Sup"/>
              </w:rPr>
              <w:t>9</w:t>
            </w:r>
            <w:r w:rsidRPr="008837FC">
              <w:t xml:space="preserve"> i strategiju za oblikovanje digitalne budućnosti Europe</w:t>
            </w:r>
            <w:r w:rsidRPr="008837FC">
              <w:rPr>
                <w:rStyle w:val="Sup"/>
              </w:rPr>
              <w:t>10</w:t>
            </w:r>
            <w:r w:rsidRPr="008837FC">
              <w:t xml:space="preserve"> , kao i potporu za uključiv i ravnomjeran oporavak nakon pandemije bolesti COVID-19 te potporu sljedećim općim ciljevima:</w:t>
            </w:r>
          </w:p>
        </w:tc>
        <w:tc>
          <w:tcPr>
            <w:tcW w:w="4876" w:type="dxa"/>
          </w:tcPr>
          <w:p w:rsidR="00AE114F" w:rsidRPr="008837FC" w:rsidRDefault="009A34F8" w:rsidP="001A7B45">
            <w:pPr>
              <w:pStyle w:val="Normal6a"/>
            </w:pPr>
            <w:r w:rsidRPr="008837FC">
              <w:t xml:space="preserve">Predmetne operacije </w:t>
            </w:r>
            <w:r w:rsidRPr="008837FC">
              <w:rPr>
                <w:b/>
                <w:i/>
              </w:rPr>
              <w:t>u potpunosti</w:t>
            </w:r>
            <w:r w:rsidRPr="008837FC">
              <w:t xml:space="preserve"> su usklađene s politikama Unije, </w:t>
            </w:r>
            <w:r w:rsidRPr="008837FC">
              <w:rPr>
                <w:b/>
                <w:i/>
              </w:rPr>
              <w:t>posebno</w:t>
            </w:r>
            <w:r w:rsidRPr="008837FC">
              <w:t xml:space="preserve"> s europskim zelenim planom</w:t>
            </w:r>
            <w:r w:rsidRPr="008837FC">
              <w:rPr>
                <w:rStyle w:val="Sup"/>
              </w:rPr>
              <w:t>9</w:t>
            </w:r>
            <w:r w:rsidRPr="008837FC">
              <w:t xml:space="preserve"> i strategijom za oblikovanje digitalne budućnosti Europe</w:t>
            </w:r>
            <w:r w:rsidRPr="008837FC">
              <w:rPr>
                <w:rStyle w:val="Sup"/>
              </w:rPr>
              <w:t>10</w:t>
            </w:r>
            <w:r w:rsidRPr="008837FC">
              <w:t xml:space="preserve"> , kao i potporom za uključiv i ravnomjeran oporavak nakon pandemije bolesti COVID-19 te potporom sljedećim općim ciljevima: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9A34F8" w:rsidP="001A7B45">
            <w:pPr>
              <w:pStyle w:val="Normal6a"/>
            </w:pPr>
            <w:r w:rsidRPr="008837FC">
              <w:t>_________________</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9</w:t>
            </w:r>
            <w:r w:rsidRPr="008837FC">
              <w:t xml:space="preserve"> COM(2019)640 final.</w:t>
            </w:r>
          </w:p>
        </w:tc>
        <w:tc>
          <w:tcPr>
            <w:tcW w:w="4876" w:type="dxa"/>
          </w:tcPr>
          <w:p w:rsidR="00AE114F" w:rsidRPr="008837FC" w:rsidRDefault="009A34F8" w:rsidP="001A7B45">
            <w:pPr>
              <w:pStyle w:val="Normal6a"/>
            </w:pPr>
            <w:r w:rsidRPr="008837FC">
              <w:rPr>
                <w:rStyle w:val="Sup"/>
              </w:rPr>
              <w:t>9</w:t>
            </w:r>
            <w:r w:rsidRPr="008837FC">
              <w:t xml:space="preserve"> COM(2019)640 final.</w:t>
            </w:r>
          </w:p>
        </w:tc>
      </w:tr>
      <w:tr w:rsidR="008837FC" w:rsidRPr="008837FC" w:rsidTr="001A7B45">
        <w:trPr>
          <w:jc w:val="center"/>
        </w:trPr>
        <w:tc>
          <w:tcPr>
            <w:tcW w:w="4876" w:type="dxa"/>
          </w:tcPr>
          <w:p w:rsidR="00AE114F" w:rsidRPr="008837FC" w:rsidRDefault="009A34F8" w:rsidP="001A7B45">
            <w:pPr>
              <w:pStyle w:val="Normal6a"/>
            </w:pPr>
            <w:r w:rsidRPr="008837FC">
              <w:rPr>
                <w:rStyle w:val="Sup"/>
              </w:rPr>
              <w:t>10</w:t>
            </w:r>
            <w:r w:rsidRPr="008837FC">
              <w:t xml:space="preserve"> COM(2020)67 final.</w:t>
            </w:r>
          </w:p>
        </w:tc>
        <w:tc>
          <w:tcPr>
            <w:tcW w:w="4876" w:type="dxa"/>
          </w:tcPr>
          <w:p w:rsidR="00AE114F" w:rsidRPr="008837FC" w:rsidRDefault="009A34F8" w:rsidP="001A7B45">
            <w:pPr>
              <w:pStyle w:val="Normal6a"/>
            </w:pPr>
            <w:r w:rsidRPr="008837FC">
              <w:rPr>
                <w:rStyle w:val="Sup"/>
              </w:rPr>
              <w:t>10</w:t>
            </w:r>
            <w:r w:rsidRPr="008837FC">
              <w:t xml:space="preserve"> COM(2020)67 final.</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10.</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 – podstavak 3. – uvodni dio</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Predmetne operacije </w:t>
            </w:r>
            <w:r w:rsidRPr="008837FC">
              <w:rPr>
                <w:b/>
                <w:i/>
              </w:rPr>
              <w:t>usklađene su s politikama Unije, uključujući europski zeleni plan</w:t>
            </w:r>
            <w:r w:rsidRPr="008837FC">
              <w:rPr>
                <w:rStyle w:val="Sup"/>
                <w:b/>
                <w:i/>
              </w:rPr>
              <w:t>9</w:t>
            </w:r>
            <w:r w:rsidRPr="008837FC">
              <w:rPr>
                <w:b/>
                <w:i/>
              </w:rPr>
              <w:t xml:space="preserve"> i strategiju za oblikovanje digitalne budućnosti Europe</w:t>
            </w:r>
            <w:r w:rsidRPr="008837FC">
              <w:rPr>
                <w:rStyle w:val="Sup"/>
                <w:b/>
                <w:i/>
              </w:rPr>
              <w:t>10</w:t>
            </w:r>
            <w:r w:rsidRPr="008837FC">
              <w:rPr>
                <w:b/>
                <w:i/>
              </w:rPr>
              <w:t xml:space="preserve"> , kao i potporu za uključiv i ravnomjeran oporavak nakon pandemije bolesti COVID-19 te potporu sljedećim općim ciljevima:</w:t>
            </w:r>
          </w:p>
        </w:tc>
        <w:tc>
          <w:tcPr>
            <w:tcW w:w="4876" w:type="dxa"/>
          </w:tcPr>
          <w:p w:rsidR="00AE114F" w:rsidRPr="008837FC" w:rsidRDefault="009A34F8" w:rsidP="001A7B45">
            <w:pPr>
              <w:pStyle w:val="Normal6a"/>
            </w:pPr>
            <w:r w:rsidRPr="008837FC">
              <w:t xml:space="preserve">Predmetne operacije </w:t>
            </w:r>
            <w:r w:rsidRPr="008837FC">
              <w:rPr>
                <w:b/>
                <w:i/>
              </w:rPr>
              <w:t>povezane su s obvezom korisnika u pogledu zadržavanja ili otvaranja održivih, kvalitetnih radih mjesta u sklopu svojih djelatnosti na području EU-a.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rPr>
                <w:b/>
                <w:i/>
              </w:rPr>
            </w:pPr>
            <w:r w:rsidRPr="008837FC">
              <w:rPr>
                <w:rStyle w:val="Sup"/>
                <w:b/>
                <w:i/>
              </w:rPr>
              <w:t>9</w:t>
            </w:r>
            <w:r w:rsidRPr="008837FC">
              <w:rPr>
                <w:b/>
                <w:i/>
              </w:rPr>
              <w:t xml:space="preserve"> COM(2019)640 final.</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1A7B45">
            <w:pPr>
              <w:pStyle w:val="Normal6a"/>
              <w:rPr>
                <w:rStyle w:val="Sup"/>
                <w:b/>
                <w:i/>
              </w:rPr>
            </w:pPr>
            <w:r w:rsidRPr="008837FC">
              <w:rPr>
                <w:rStyle w:val="Sup"/>
                <w:b/>
                <w:i/>
              </w:rPr>
              <w:t>10</w:t>
            </w:r>
            <w:r w:rsidRPr="008837FC">
              <w:rPr>
                <w:b/>
                <w:i/>
              </w:rPr>
              <w:t xml:space="preserve"> COM(2020)67 final.</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lastRenderedPageBreak/>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rPr>
                <w:b/>
                <w:i/>
              </w:rPr>
              <w:t>(a)</w:t>
            </w:r>
            <w:r w:rsidRPr="008837FC">
              <w:rPr>
                <w:b/>
                <w:i/>
              </w:rPr>
              <w:tab/>
              <w:t>nastoji da najmanje 40 %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1A7B45">
            <w:pPr>
              <w:pStyle w:val="Normal6a"/>
            </w:pPr>
            <w:r w:rsidRPr="008837FC">
              <w:rPr>
                <w:b/>
                <w:i/>
              </w:rPr>
              <w:t>Briše se.</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Milan Brglez, Delara Burkhardt, Sara Cerdas, Javi López, César Luena, Manuel Pizarro, Rovana Plumb, Christel Schaldemose, Monika Beňová</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40 % financiranja EFSU-a u okviru dijela za </w:t>
            </w:r>
            <w:r w:rsidRPr="008837FC">
              <w:rPr>
                <w:b/>
                <w:i/>
              </w:rPr>
              <w:t>infrastrukturu i inovacije</w:t>
            </w:r>
            <w:r w:rsidRPr="008837FC">
              <w:t xml:space="preserve"> bude namijenjeno projektima sa sastavnicama koje pridonose borbi protiv klimatskih promjena, u skladu s obvezama preuzetima na 21. Konferenciji stranaka Okvirne konvencije Ujedinjenih naroda o </w:t>
            </w:r>
            <w:r w:rsidRPr="008837FC">
              <w:lastRenderedPageBreak/>
              <w:t>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371436">
            <w:pPr>
              <w:pStyle w:val="Normal6a"/>
            </w:pPr>
            <w:r w:rsidRPr="008837FC">
              <w:lastRenderedPageBreak/>
              <w:t>(a)</w:t>
            </w:r>
            <w:r w:rsidRPr="008837FC">
              <w:tab/>
              <w:t xml:space="preserve">nastoji da najmanje 40 % financiranja EFSU-a u okviru dijela za </w:t>
            </w:r>
            <w:r w:rsidRPr="008837FC">
              <w:rPr>
                <w:b/>
                <w:i/>
              </w:rPr>
              <w:t>potporu solventnosti</w:t>
            </w:r>
            <w:r w:rsidRPr="008837FC">
              <w:t xml:space="preserve"> bude namijenjeno projektima sa sastavnicama koje pridonose borbi protiv klimatskih promjena </w:t>
            </w:r>
            <w:r w:rsidRPr="008837FC">
              <w:rPr>
                <w:b/>
                <w:i/>
              </w:rPr>
              <w:t>i djelovanju za okoliš</w:t>
            </w:r>
            <w:r w:rsidRPr="008837FC">
              <w:t xml:space="preserve">, u skladu s obvezama preuzetima na 21. Konferenciji stranaka Okvirne konvencije Ujedinjenih naroda o </w:t>
            </w:r>
            <w:r w:rsidRPr="008837FC">
              <w:lastRenderedPageBreak/>
              <w:t xml:space="preserve">klimatskim promjenama (COP21) </w:t>
            </w:r>
            <w:r w:rsidRPr="008837FC">
              <w:rPr>
                <w:b/>
                <w:i/>
              </w:rPr>
              <w:t>te obvezom ostvarenja klimatske neutralnosti najkasnije do 2050. iz europskog zelenog plana</w:t>
            </w:r>
            <w:r w:rsidRPr="008837FC">
              <w:t xml:space="preserve">. Financiranje koje EFSU pruža MSP-ovima i malim poduzećima srednje tržišne kapitalizacije nije uključeno u taj izračun. EIB se služi svojom međunarodno dogovorenom metodologijom </w:t>
            </w:r>
            <w:r w:rsidRPr="008837FC">
              <w:rPr>
                <w:b/>
                <w:i/>
              </w:rPr>
              <w:t>te je spaja s kriterijima predviđenima Uredbom (EU) 2020/852 odmah po utvrđivanju tih kriterija predmetnim delegiranim aktima</w:t>
            </w:r>
            <w:r w:rsidRPr="008837FC">
              <w:t xml:space="preserve"> kako bi utvrdio te komponente projekata ili udjele troškova borbe protiv klimatskih promjena </w:t>
            </w:r>
            <w:r w:rsidRPr="008837FC">
              <w:rPr>
                <w:b/>
                <w:i/>
              </w:rPr>
              <w:t>i očuvanja okoliša</w:t>
            </w:r>
            <w:r w:rsidRPr="008837FC">
              <w:t>;</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Pascal Canfin, Billy Kelleher, Martin Hojsík, Frédérique Ries, Linea Søgaard-Lidell, Sophia in 't Veld, Catherine Chabaud, Nicolae Ştefănuță, María Soraya Rodríguez Ramos, Chrysoula Zacharopoulou, Nils Torvalds</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40 %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w:t>
            </w:r>
            <w:r w:rsidRPr="008837FC">
              <w:rPr>
                <w:b/>
                <w:i/>
              </w:rPr>
              <w:t>međunarodno dogovorenom metodologijom</w:t>
            </w:r>
            <w:r w:rsidRPr="008837FC">
              <w:t xml:space="preserve"> kako bi utvrdio te komponente projekata ili udjele troškova borbe protiv klimatskih promjena;</w:t>
            </w:r>
          </w:p>
        </w:tc>
        <w:tc>
          <w:tcPr>
            <w:tcW w:w="4876" w:type="dxa"/>
          </w:tcPr>
          <w:p w:rsidR="00AE114F" w:rsidRPr="008837FC" w:rsidRDefault="009A34F8" w:rsidP="00037B5F">
            <w:pPr>
              <w:pStyle w:val="Normal6a"/>
            </w:pPr>
            <w:r w:rsidRPr="008837FC">
              <w:t>(a)</w:t>
            </w:r>
            <w:r w:rsidRPr="008837FC">
              <w:tab/>
              <w:t xml:space="preserve">nastoji da najmanje 40 %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w:t>
            </w:r>
            <w:r w:rsidRPr="008837FC">
              <w:rPr>
                <w:b/>
                <w:i/>
              </w:rPr>
              <w:t>kriterijima predviđenima Uredbom (EU) 2020/852</w:t>
            </w:r>
            <w:r w:rsidRPr="008837FC">
              <w:t xml:space="preserve"> kako bi utvrdio te komponente projekata ili udjele troškova borbe protiv klimatskih promjena;</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Lídia Pereira, Peter Liese, Pernille Weiss, Inese Vaidere, Sirpa Pietikäinen, Cindy Franssen, 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40 % financiranja EFSU-a </w:t>
            </w:r>
            <w:r w:rsidRPr="008837FC">
              <w:rPr>
                <w:b/>
                <w:i/>
              </w:rPr>
              <w:t>u okviru dijela za infrastrukturu i inovacije</w:t>
            </w:r>
            <w:r w:rsidRPr="008837FC">
              <w:t xml:space="preserv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037B5F">
            <w:pPr>
              <w:pStyle w:val="Normal6a"/>
            </w:pPr>
            <w:r w:rsidRPr="008837FC">
              <w:t>(a)</w:t>
            </w:r>
            <w:r w:rsidRPr="008837FC">
              <w:tab/>
              <w:t xml:space="preserve">nastoji da najmanje 40 % financiranja EFSU-a bude namijenjeno projektima sa sastavnicama koje pridonose borbi protiv klimatskih promjena, u skladu s </w:t>
            </w:r>
            <w:r w:rsidRPr="008837FC">
              <w:rPr>
                <w:b/>
                <w:i/>
              </w:rPr>
              <w:t>klimatskim i okolišnim ciljevima Unije,</w:t>
            </w:r>
            <w:r w:rsidRPr="008837FC">
              <w:t xml:space="preserve"> obvezama preuzetima na 21. Konferenciji stranaka Okvirne konvencije Ujedinjenih naroda o klimatskim promjenama (COP21) </w:t>
            </w:r>
            <w:r w:rsidRPr="008837FC">
              <w:rPr>
                <w:b/>
                <w:i/>
              </w:rPr>
              <w:t>i nacionalnim planovima za klimatsku i energetsku politiku.</w:t>
            </w:r>
            <w:r w:rsidRPr="008837FC">
              <w:t xml:space="preserve"> Financiranje koje EFSU pruža MSP-ovima i malim poduzećima srednje tržišne kapitalizacije nije uključeno u taj izračun. EIB se služi svojom međunarodno dogovorenom metodologijom, </w:t>
            </w:r>
            <w:r w:rsidRPr="008837FC">
              <w:rPr>
                <w:b/>
                <w:i/>
              </w:rPr>
              <w:t>kao i</w:t>
            </w:r>
            <w:r w:rsidRPr="008837FC">
              <w:t xml:space="preserve"> </w:t>
            </w:r>
            <w:r w:rsidRPr="008837FC">
              <w:rPr>
                <w:b/>
                <w:i/>
              </w:rPr>
              <w:t>kriterijima predviđenima Uredbom (EU) 2020/852</w:t>
            </w:r>
            <w:r w:rsidRPr="008837FC">
              <w:t xml:space="preserve"> kako bi utvrdio te komponente projekata ili udjele troškova borbe protiv klimatskih promjena;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82A41">
        <w:trPr>
          <w:trHeight w:hRule="exact" w:val="240"/>
          <w:jc w:val="center"/>
        </w:trPr>
        <w:tc>
          <w:tcPr>
            <w:tcW w:w="9752" w:type="dxa"/>
            <w:gridSpan w:val="2"/>
          </w:tcPr>
          <w:p w:rsidR="00AE114F" w:rsidRPr="008837FC" w:rsidRDefault="00AE114F" w:rsidP="001A7B45"/>
        </w:tc>
      </w:tr>
      <w:tr w:rsidR="008837FC" w:rsidRPr="008837FC" w:rsidTr="00182A41">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82A41">
        <w:trPr>
          <w:jc w:val="center"/>
        </w:trPr>
        <w:tc>
          <w:tcPr>
            <w:tcW w:w="4876" w:type="dxa"/>
          </w:tcPr>
          <w:p w:rsidR="00AE114F" w:rsidRPr="008837FC" w:rsidRDefault="009A34F8" w:rsidP="001A7B45">
            <w:pPr>
              <w:pStyle w:val="Normal6a"/>
            </w:pPr>
            <w:r w:rsidRPr="008837FC">
              <w:lastRenderedPageBreak/>
              <w:t>(a)</w:t>
            </w:r>
            <w:r w:rsidRPr="008837FC">
              <w:tab/>
              <w:t xml:space="preserve">nastoji da najmanje </w:t>
            </w:r>
            <w:r w:rsidRPr="008837FC">
              <w:rPr>
                <w:b/>
                <w:i/>
              </w:rPr>
              <w:t>40</w:t>
            </w:r>
            <w:r w:rsidRPr="008837FC">
              <w:t xml:space="preserve"> % financiranja EFSU-a u okviru dijela za infrastrukturu i inovacije bude namijenjeno projektima sa sastavnicama koje pridonose </w:t>
            </w:r>
            <w:r w:rsidRPr="008837FC">
              <w:rPr>
                <w:b/>
                <w:i/>
              </w:rPr>
              <w:t>borbi</w:t>
            </w:r>
            <w:r w:rsidRPr="008837FC">
              <w:t xml:space="preserve">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0E146A">
            <w:pPr>
              <w:pStyle w:val="Normal6a"/>
            </w:pPr>
            <w:r w:rsidRPr="008837FC">
              <w:t>(a)</w:t>
            </w:r>
            <w:r w:rsidRPr="008837FC">
              <w:tab/>
              <w:t xml:space="preserve">nastoji da najmanje </w:t>
            </w:r>
            <w:r w:rsidRPr="008837FC">
              <w:rPr>
                <w:b/>
                <w:i/>
              </w:rPr>
              <w:t xml:space="preserve">50 % </w:t>
            </w:r>
            <w:r w:rsidRPr="008837FC">
              <w:t>financiranja EFSU-a u okviru dijela za infrastrukturu i inovacije</w:t>
            </w:r>
            <w:r w:rsidRPr="008837FC">
              <w:rPr>
                <w:b/>
                <w:i/>
              </w:rPr>
              <w:t xml:space="preserve"> i dijela za potporu solventnosti </w:t>
            </w:r>
            <w:r w:rsidRPr="008837FC">
              <w:t>bude namijenjeno projektima sa sastavnicama koje doprinose</w:t>
            </w:r>
            <w:r w:rsidRPr="008837FC">
              <w:rPr>
                <w:b/>
                <w:i/>
              </w:rPr>
              <w:t xml:space="preserve"> </w:t>
            </w:r>
            <w:r w:rsidRPr="008837FC">
              <w:t>klimatskim</w:t>
            </w:r>
            <w:r w:rsidRPr="008837FC">
              <w:rPr>
                <w:b/>
                <w:i/>
              </w:rPr>
              <w:t xml:space="preserve"> i okolišnim ciljevima, uz praćenje potrošnje pomoću metodologije EU-a utvrđene Uredbom (EU) 2020/852. Te su sastavnice projekata</w:t>
            </w:r>
            <w:r w:rsidRPr="008837FC">
              <w:t xml:space="preserve"> u skladu s obvezama preuzetima na 21. Konferenciji stranaka Okvirne konvencije Ujedinjenih naroda o klimatskim promjenama (COP21) </w:t>
            </w:r>
            <w:r w:rsidRPr="008837FC">
              <w:rPr>
                <w:b/>
                <w:i/>
              </w:rPr>
              <w:t>te europskim zelenim planom.</w:t>
            </w:r>
            <w:r w:rsidRPr="008837FC">
              <w:t xml:space="preserve">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40 % financiranja EFSU-a </w:t>
            </w:r>
            <w:r w:rsidRPr="008837FC">
              <w:rPr>
                <w:b/>
                <w:i/>
              </w:rPr>
              <w:t>u okviru dijela za infrastrukturu i inovacije</w:t>
            </w:r>
            <w:r w:rsidRPr="008837FC">
              <w:t xml:space="preserv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w:t>
            </w:r>
            <w:r w:rsidRPr="008837FC">
              <w:lastRenderedPageBreak/>
              <w:t>utvrdio te komponente projekata ili udjele troškova borbe protiv klimatskih promjena;</w:t>
            </w:r>
          </w:p>
        </w:tc>
        <w:tc>
          <w:tcPr>
            <w:tcW w:w="4876" w:type="dxa"/>
          </w:tcPr>
          <w:p w:rsidR="00AE114F" w:rsidRPr="008837FC" w:rsidRDefault="009A34F8" w:rsidP="001A7B45">
            <w:pPr>
              <w:pStyle w:val="Normal6a"/>
            </w:pPr>
            <w:r w:rsidRPr="008837FC">
              <w:lastRenderedPageBreak/>
              <w:t>(a)</w:t>
            </w:r>
            <w:r w:rsidRPr="008837FC">
              <w:tab/>
              <w:t xml:space="preserve">nastoji da najmanje 40 % financiranja EFSU-a bude namijenjeno projektima sa sastavnicama koje pridonose borbi protiv klimatskih promjena, u skladu s </w:t>
            </w:r>
            <w:r w:rsidRPr="008837FC">
              <w:rPr>
                <w:b/>
                <w:i/>
              </w:rPr>
              <w:t>obvezom Unije u pogledu ugljične neutralnosti do 2050.</w:t>
            </w:r>
            <w:r w:rsidRPr="008837FC">
              <w:t xml:space="preserve"> i obvezama preuzetima na 21. Konferenciji stranaka Okvirne konvencije Ujedinjenih naroda o klimatskim promjenama (COP21) </w:t>
            </w:r>
            <w:r w:rsidRPr="008837FC">
              <w:rPr>
                <w:b/>
                <w:i/>
              </w:rPr>
              <w:t>te da se njima provode ciljevi strategije EU-a za bioraznolikost do 2030.</w:t>
            </w:r>
            <w:r w:rsidRPr="008837FC">
              <w:t xml:space="preserve"> Financiranje koje EFSU pruža MSP-ovima i malim poduzećima srednje tržišne kapitalizacije nije uključeno u taj izračun. EIB se služi </w:t>
            </w:r>
            <w:r w:rsidRPr="008837FC">
              <w:lastRenderedPageBreak/>
              <w:t xml:space="preserve">svojom međunarodno dogovorenom metodologijom kako bi utvrdio te komponente projekata ili udjele troškova borbe protiv klimatskih promjena </w:t>
            </w:r>
            <w:r w:rsidRPr="008837FC">
              <w:rPr>
                <w:b/>
                <w:i/>
              </w:rPr>
              <w:t>i obnove bioraznolikosti</w:t>
            </w:r>
            <w:r w:rsidRPr="008837FC">
              <w:t>;</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39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w:t>
            </w:r>
            <w:r w:rsidRPr="008837FC">
              <w:rPr>
                <w:b/>
                <w:i/>
              </w:rPr>
              <w:t>40 %</w:t>
            </w:r>
            <w:r w:rsidRPr="008837FC">
              <w:t xml:space="preserve">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1A7B45">
            <w:pPr>
              <w:pStyle w:val="Normal6a"/>
            </w:pPr>
            <w:r w:rsidRPr="008837FC">
              <w:t>(a)</w:t>
            </w:r>
            <w:r w:rsidRPr="008837FC">
              <w:tab/>
              <w:t xml:space="preserve">nastoji da najmanje </w:t>
            </w:r>
            <w:r w:rsidRPr="008837FC">
              <w:rPr>
                <w:b/>
                <w:i/>
              </w:rPr>
              <w:t>60 %</w:t>
            </w:r>
            <w:r w:rsidRPr="008837FC">
              <w:t xml:space="preserve"> financiranja EFSU-a u okviru dijela za infrastrukturu i inovacije </w:t>
            </w:r>
            <w:r w:rsidRPr="008837FC">
              <w:rPr>
                <w:b/>
                <w:i/>
              </w:rPr>
              <w:t>te najmanje 50 % financiranja EFSU-a u okviru dijela za potporu solventnosti</w:t>
            </w:r>
            <w:r w:rsidRPr="008837FC">
              <w:t xml:space="preserv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Alexandr Vondra</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lastRenderedPageBreak/>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(a)</w:t>
            </w:r>
            <w:r w:rsidRPr="008837FC">
              <w:tab/>
              <w:t xml:space="preserve">nastoji da najmanje </w:t>
            </w:r>
            <w:r w:rsidRPr="008837FC">
              <w:rPr>
                <w:b/>
                <w:i/>
              </w:rPr>
              <w:t>40 %</w:t>
            </w:r>
            <w:r w:rsidRPr="008837FC">
              <w:t xml:space="preserve">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c>
          <w:tcPr>
            <w:tcW w:w="4876" w:type="dxa"/>
          </w:tcPr>
          <w:p w:rsidR="00AE114F" w:rsidRPr="008837FC" w:rsidRDefault="009A34F8" w:rsidP="001A7B45">
            <w:pPr>
              <w:pStyle w:val="Normal6a"/>
            </w:pPr>
            <w:r w:rsidRPr="008837FC">
              <w:t>(a)</w:t>
            </w:r>
            <w:r w:rsidRPr="008837FC">
              <w:tab/>
              <w:t xml:space="preserve">nastoji da najmanje </w:t>
            </w:r>
            <w:r w:rsidRPr="008837FC">
              <w:rPr>
                <w:b/>
                <w:i/>
              </w:rPr>
              <w:t>30 %</w:t>
            </w:r>
            <w:r w:rsidRPr="008837FC">
              <w:t xml:space="preserve"> financiranja EFSU-a u okviru dijela za infrastrukturu i inovacije bude namijenjeno projektima sa sastavnicama koje pridonose borbi protiv klimatskih promjena, u skladu s obvezama preuzetima na 21. Konferenciji stranaka Okvirne konvencije Ujedinjenih naroda o klimatskim promjenama (COP21). Financiranje koje EFSU pruža MSP-ovima i malim poduzećima srednje tržišne kapitalizacije nije uključeno u taj izračun. EIB se služi svojom međunarodno dogovorenom metodologijom kako bi utvrdio te komponente projekata ili udjele troškova borbe protiv klimatskih promjena;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b</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(b)</w:t>
            </w:r>
            <w:r w:rsidRPr="008837FC">
              <w:tab/>
              <w:t>osigurava da se većina financiranja koje EFSU pruža u okviru dijela za potporu solventnosti upotrijebi za potporu prihvatljivim društvima u državama članicama i sektorima koji su u gospodarskom smislu najjače pogođeni pandemijom bolesti COVID-19;</w:t>
            </w:r>
          </w:p>
        </w:tc>
        <w:tc>
          <w:tcPr>
            <w:tcW w:w="4876" w:type="dxa"/>
          </w:tcPr>
          <w:p w:rsidR="00AE114F" w:rsidRPr="008837FC" w:rsidRDefault="009A34F8" w:rsidP="001A7B45">
            <w:pPr>
              <w:pStyle w:val="Normal6a"/>
            </w:pPr>
            <w:r w:rsidRPr="008837FC">
              <w:t xml:space="preserve">(b) osigurava da se većina financiranja koje EFSU pruža u okviru dijela za potporu solventnosti upotrijebi za potporu prihvatljivim društvima u državama članicama i sektorima koji su u gospodarskom smislu najjače pogođeni pandemijom bolesti COVID-19, </w:t>
            </w:r>
            <w:r w:rsidRPr="008837FC">
              <w:rPr>
                <w:b/>
                <w:i/>
              </w:rPr>
              <w:t>uzimajući u obzir najnoviju europsku gospodarsku prognozu;</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lastRenderedPageBreak/>
        <w:t>&lt;Amend&gt;</w:t>
      </w:r>
      <w:r w:rsidRPr="008837FC">
        <w:t>Amandman</w:t>
      </w:r>
      <w:r w:rsidRPr="008837FC">
        <w:tab/>
      </w:r>
      <w:r w:rsidRPr="008837FC">
        <w:tab/>
      </w:r>
      <w:r w:rsidRPr="008837FC">
        <w:rPr>
          <w:rStyle w:val="HideTWBExt"/>
          <w:b w:val="0"/>
          <w:noProof w:val="0"/>
          <w:color w:val="auto"/>
        </w:rPr>
        <w:t>&lt;NumAm&gt;</w:t>
      </w:r>
      <w:r w:rsidRPr="008837FC">
        <w:t>42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b</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(b)</w:t>
            </w:r>
            <w:r w:rsidRPr="008837FC">
              <w:tab/>
              <w:t xml:space="preserve">osigurava da se </w:t>
            </w:r>
            <w:r w:rsidRPr="008837FC">
              <w:rPr>
                <w:b/>
                <w:i/>
              </w:rPr>
              <w:t>većina</w:t>
            </w:r>
            <w:r w:rsidRPr="008837FC">
              <w:t xml:space="preserve"> financiranja koje EFSU pruža u okviru dijela za potporu solventnosti upotrijebi za potporu prihvatljivim društvima u državama članicama i sektorima koji su u gospodarskom smislu najjače pogođeni pandemijom bolesti </w:t>
            </w:r>
            <w:r w:rsidRPr="008837FC">
              <w:rPr>
                <w:b/>
                <w:i/>
              </w:rPr>
              <w:t>COVID</w:t>
            </w:r>
            <w:r w:rsidRPr="008837FC">
              <w:t>-19;</w:t>
            </w:r>
          </w:p>
        </w:tc>
        <w:tc>
          <w:tcPr>
            <w:tcW w:w="4876" w:type="dxa"/>
          </w:tcPr>
          <w:p w:rsidR="00AE114F" w:rsidRPr="008837FC" w:rsidRDefault="009A34F8" w:rsidP="001A7B45">
            <w:pPr>
              <w:pStyle w:val="Normal6a"/>
            </w:pPr>
            <w:r w:rsidRPr="008837FC">
              <w:t>(b)</w:t>
            </w:r>
            <w:r w:rsidRPr="008837FC">
              <w:tab/>
              <w:t xml:space="preserve">osigurava da se financiranje koje EFSU pruža u okviru dijela za potporu solventnosti upotrijebi za potporu prihvatljivim društvima u državama članicama i sektorima koji su u gospodarskom smislu najjače pogođeni pandemijom bolesti </w:t>
            </w:r>
            <w:r w:rsidRPr="008837FC">
              <w:rPr>
                <w:b/>
                <w:i/>
              </w:rPr>
              <w:t>COVID</w:t>
            </w:r>
            <w:r w:rsidRPr="008837FC">
              <w:t>-19;</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ba (nova)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(ba)</w:t>
            </w:r>
            <w:r w:rsidRPr="008837FC">
              <w:rPr>
                <w:b/>
                <w:i/>
              </w:rPr>
              <w:tab/>
              <w:t>osigurava da se najmanje 50 % financiranja u okviru dijela za potporu solventnosti namijeni za aktivnosti koje se smatraju okolišno održivima u skladu s Uredbom (EU) 2020/852;</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(c)</w:t>
            </w:r>
            <w:r w:rsidRPr="008837FC">
              <w:tab/>
              <w:t xml:space="preserve">osigurava da se </w:t>
            </w:r>
            <w:r w:rsidRPr="008837FC">
              <w:rPr>
                <w:b/>
                <w:i/>
              </w:rPr>
              <w:t>većina</w:t>
            </w:r>
            <w:r w:rsidRPr="008837FC">
              <w:t xml:space="preserve"> financiranja koje EFSU pruža u okviru dijela za potporu solventnosti upotrijebi za potporu prihvatljivim društvima u državama članicama kojima je dostupnost potpore solventnosti države ograničenija.</w:t>
            </w:r>
          </w:p>
        </w:tc>
        <w:tc>
          <w:tcPr>
            <w:tcW w:w="4876" w:type="dxa"/>
          </w:tcPr>
          <w:p w:rsidR="00AE114F" w:rsidRPr="008837FC" w:rsidRDefault="009A34F8" w:rsidP="001A7B45">
            <w:pPr>
              <w:pStyle w:val="Normal6a"/>
            </w:pPr>
            <w:r w:rsidRPr="008837FC">
              <w:t>(c)</w:t>
            </w:r>
            <w:r w:rsidRPr="008837FC">
              <w:tab/>
              <w:t>osigurava da se financiranje koje EFSU pruža u okviru dijela za potporu solventnosti upotrijebi za potporu prihvatljivim društvima u državama članicama u kojima je dostupnost potpore solventnosti države ograničenija.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(c)</w:t>
            </w:r>
            <w:r w:rsidRPr="008837FC">
              <w:tab/>
              <w:t xml:space="preserve">osigurava da se većina financiranja koje EFSU pruža u okviru dijela za potporu solventnosti upotrijebi za potporu prihvatljivim društvima u državama članicama </w:t>
            </w:r>
            <w:r w:rsidRPr="008837FC">
              <w:rPr>
                <w:b/>
                <w:i/>
              </w:rPr>
              <w:t>u kojima je dostupnost potpore solventnosti države ograničenija.</w:t>
            </w:r>
          </w:p>
        </w:tc>
        <w:tc>
          <w:tcPr>
            <w:tcW w:w="4876" w:type="dxa"/>
          </w:tcPr>
          <w:p w:rsidR="00AE114F" w:rsidRPr="008837FC" w:rsidRDefault="009A34F8" w:rsidP="001A7B45">
            <w:pPr>
              <w:pStyle w:val="Normal6a"/>
            </w:pPr>
            <w:r w:rsidRPr="008837FC">
              <w:t>(c)</w:t>
            </w:r>
            <w:r w:rsidRPr="008837FC">
              <w:tab/>
              <w:t xml:space="preserve">osigurava da se većina financiranja koje EFSU pruža u okviru dijela za potporu solventnosti upotrijebi za potporu prihvatljivim društvima u državama članicama </w:t>
            </w:r>
            <w:r w:rsidRPr="008837FC">
              <w:rPr>
                <w:b/>
                <w:i/>
              </w:rPr>
              <w:t>koje se obvežu na zadržavanje ili otvaranje održivih i kvalitetnih radnih mjesta u sklopu svojih djelatnosti na području EU-a.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Delara Burkhardt, Sara Cerdas, Javi López, César Luena, Manuel Pizarro, Rovana Plumb, Christel Schaldemose, Monika Beňová, Milan Brglez</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(c)</w:t>
            </w:r>
            <w:r w:rsidRPr="008837FC">
              <w:tab/>
              <w:t xml:space="preserve">osigurava da se većina financiranja </w:t>
            </w:r>
            <w:r w:rsidRPr="008837FC">
              <w:lastRenderedPageBreak/>
              <w:t xml:space="preserve">koje EFSU pruža u okviru dijela za potporu solventnosti </w:t>
            </w:r>
            <w:r w:rsidRPr="008837FC">
              <w:rPr>
                <w:b/>
                <w:i/>
              </w:rPr>
              <w:t>upotrijebi</w:t>
            </w:r>
            <w:r w:rsidRPr="008837FC">
              <w:t xml:space="preserve"> za potporu prihvatljivim društvima u državama članicama </w:t>
            </w:r>
            <w:r w:rsidRPr="008837FC">
              <w:rPr>
                <w:b/>
                <w:i/>
              </w:rPr>
              <w:t>u kojima je dostupnost potpore solventnosti države ograničenija.</w:t>
            </w:r>
          </w:p>
        </w:tc>
        <w:tc>
          <w:tcPr>
            <w:tcW w:w="4876" w:type="dxa"/>
          </w:tcPr>
          <w:p w:rsidR="00AE114F" w:rsidRPr="008837FC" w:rsidRDefault="009A34F8" w:rsidP="001A7B45">
            <w:pPr>
              <w:pStyle w:val="Normal6a"/>
            </w:pPr>
            <w:r w:rsidRPr="008837FC">
              <w:lastRenderedPageBreak/>
              <w:t>(c)</w:t>
            </w:r>
            <w:r w:rsidRPr="008837FC">
              <w:tab/>
              <w:t xml:space="preserve">osigurava da se financiranje koje </w:t>
            </w:r>
            <w:r w:rsidRPr="008837FC">
              <w:lastRenderedPageBreak/>
              <w:t xml:space="preserve">EFSU pruža u okviru dijela za potporu solventnosti </w:t>
            </w:r>
            <w:r w:rsidRPr="008837FC">
              <w:rPr>
                <w:b/>
                <w:i/>
              </w:rPr>
              <w:t>upotrijebi</w:t>
            </w:r>
            <w:r w:rsidRPr="008837FC">
              <w:t xml:space="preserve"> za potporu prihvatljivim društvima u državama članicama </w:t>
            </w:r>
            <w:r w:rsidRPr="008837FC">
              <w:rPr>
                <w:b/>
                <w:i/>
              </w:rPr>
              <w:t>koja prihvaćaju nacionalni cilj klimatske neutralnosti do 2050.</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ca (nova)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037B5F">
            <w:pPr>
              <w:pStyle w:val="Normal6a"/>
            </w:pPr>
            <w:r w:rsidRPr="008837FC">
              <w:rPr>
                <w:b/>
                <w:i/>
              </w:rPr>
              <w:t>(ca)</w:t>
            </w:r>
            <w:r w:rsidRPr="008837FC">
              <w:rPr>
                <w:b/>
                <w:i/>
              </w:rPr>
              <w:tab/>
              <w:t xml:space="preserve">osigurava da su ulaganja u skladu s načelom </w:t>
            </w:r>
            <w:r w:rsidRPr="008837FC">
              <w:rPr>
                <w:b/>
                <w:i/>
                <w:sz w:val="27"/>
                <w:szCs w:val="27"/>
                <w:shd w:val="clear" w:color="auto" w:fill="FFFFFF"/>
              </w:rPr>
              <w:t>“</w:t>
            </w:r>
            <w:r w:rsidRPr="008837FC">
              <w:rPr>
                <w:b/>
                <w:i/>
              </w:rPr>
              <w:t>„ne nanosi bitnu štetu“ i metodologijom EU-a za održiva ulaganja utvrđenima u Uredbi (EU) 2020/852, kako za dio za infrastrukturu i inovacije, tako i za dio za potporu solventnosti;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Sara Cerdas, Javi López, César Luena, Manuel Pizarro, Rovana Plumb, Christel Schaldemose, Monika Beňová, Milan Brglez, Delara Burkhardt</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1. – točka cb (nova)</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037B5F">
            <w:pPr>
              <w:pStyle w:val="Normal6a"/>
            </w:pPr>
            <w:r w:rsidRPr="008837FC">
              <w:rPr>
                <w:b/>
                <w:i/>
              </w:rPr>
              <w:t>(cb)</w:t>
            </w:r>
            <w:r w:rsidRPr="008837FC">
              <w:rPr>
                <w:b/>
                <w:i/>
              </w:rPr>
              <w:tab/>
              <w:t>osigurava da se financiranje koje EFSU pruža u okviru dijela za potporu solventnosti upotrijebi za potporu prihvatljivim društvima koja poštuju načelo „ne nanosi bitnu štetu“ iz Uredbe (EU) 2020/852.</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49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Upravljački odbor po potrebi pruža detaljne smjernice povezane s točkama od (a) do (c).</w:t>
            </w:r>
          </w:p>
        </w:tc>
        <w:tc>
          <w:tcPr>
            <w:tcW w:w="4876" w:type="dxa"/>
          </w:tcPr>
          <w:p w:rsidR="00AE114F" w:rsidRPr="008837FC" w:rsidRDefault="009A34F8" w:rsidP="001A7B45">
            <w:pPr>
              <w:pStyle w:val="Normal6a"/>
            </w:pPr>
            <w:r w:rsidRPr="008837FC">
              <w:t xml:space="preserve">Upravljački odbor po potrebi pruža detaljne smjernice povezane s točkama od (a) do (c). </w:t>
            </w:r>
            <w:r w:rsidRPr="008837FC">
              <w:rPr>
                <w:b/>
                <w:i/>
              </w:rPr>
              <w:t>Operacije financiranja i ulaganja koje nisu usklađene s ostvarivanjem klimatskih ciljeva Unije nisu prihvatljive za potporu u okviru ove uredbe.</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12.</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9. – stavak 2.a – podstavak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Upravljački odbor po </w:t>
            </w:r>
            <w:r w:rsidRPr="008837FC">
              <w:rPr>
                <w:b/>
                <w:i/>
              </w:rPr>
              <w:t>potrebi</w:t>
            </w:r>
            <w:r w:rsidRPr="008837FC">
              <w:t xml:space="preserve"> pruža detaljne smjernice povezane s točkama od (a) do </w:t>
            </w:r>
            <w:r w:rsidRPr="008837FC">
              <w:rPr>
                <w:b/>
                <w:i/>
              </w:rPr>
              <w:t>(c)</w:t>
            </w:r>
            <w:r w:rsidRPr="008837FC">
              <w:t>.</w:t>
            </w:r>
          </w:p>
        </w:tc>
        <w:tc>
          <w:tcPr>
            <w:tcW w:w="4876" w:type="dxa"/>
          </w:tcPr>
          <w:p w:rsidR="00AE114F" w:rsidRPr="008837FC" w:rsidRDefault="009A34F8" w:rsidP="001A7B45">
            <w:pPr>
              <w:pStyle w:val="Normal6a"/>
            </w:pPr>
            <w:r w:rsidRPr="008837FC">
              <w:t xml:space="preserve">Upravljački odbor, ako je </w:t>
            </w:r>
            <w:r w:rsidRPr="008837FC">
              <w:rPr>
                <w:b/>
                <w:i/>
              </w:rPr>
              <w:t>primjenjivo</w:t>
            </w:r>
            <w:r w:rsidRPr="008837FC">
              <w:t xml:space="preserve">, pruža detaljne smjernice </w:t>
            </w:r>
            <w:r w:rsidRPr="008837FC">
              <w:rPr>
                <w:b/>
                <w:i/>
              </w:rPr>
              <w:t>o nizu zahtjeva</w:t>
            </w:r>
            <w:r w:rsidRPr="008837FC">
              <w:t xml:space="preserve"> povezanih s točkama od (a) do </w:t>
            </w:r>
            <w:r w:rsidRPr="008837FC">
              <w:rPr>
                <w:b/>
                <w:i/>
              </w:rPr>
              <w:t>(ca)</w:t>
            </w:r>
            <w:r w:rsidRPr="008837FC">
              <w:t>.</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lastRenderedPageBreak/>
        <w:t>&lt;Article&gt;</w:t>
      </w:r>
      <w:r w:rsidRPr="008837FC">
        <w:t>Članak 1. – stavak 1. – točka 16.</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10. – stavak 2. – podstavak 3.</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Prihvatljivi instrumenti u okviru dijela za potporu solventnosti rezultiraju pružanjem vlasničkog ili kvazivlasničkog kapitala društvima iz članka 3. točke (c). Hibridni instrumenti mogu se upotrebljavati u skladu s Prilogom II. ako takvi instrumenti ispunjavaju svrhu dijela.</w:t>
            </w:r>
          </w:p>
        </w:tc>
        <w:tc>
          <w:tcPr>
            <w:tcW w:w="4876" w:type="dxa"/>
          </w:tcPr>
          <w:p w:rsidR="00AE114F" w:rsidRPr="008837FC" w:rsidRDefault="009A34F8" w:rsidP="0005499A">
            <w:pPr>
              <w:pStyle w:val="Normal6a"/>
            </w:pPr>
            <w:r w:rsidRPr="008837FC">
              <w:t xml:space="preserve">Prihvatljivi instrumenti u okviru dijela za potporu solventnosti rezultiraju pružanjem vlasničkog ili kvazivlasničkog kapitala društvima iz članka 3. točke (c). Hibridni instrumenti mogu se upotrebljavati u skladu s Prilogom II. ako takvi instrumenti ispunjavaju svrhu dijela i </w:t>
            </w:r>
            <w:r w:rsidRPr="008837FC">
              <w:rPr>
                <w:b/>
                <w:i/>
              </w:rPr>
              <w:t>ako se njima poštuju dogovorena pravila koja se primjenjuju u predmetnoj državi članici.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26.</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14.a stavak 1.</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Iznos do </w:t>
            </w:r>
            <w:r w:rsidRPr="008837FC">
              <w:rPr>
                <w:b/>
                <w:i/>
              </w:rPr>
              <w:t>100 000 000</w:t>
            </w:r>
            <w:r w:rsidRPr="008837FC">
              <w:t> EUR stavlja se na raspolaganje za podmirenje troškova, savjetodavne usluge te tehničku i administrativnu pomoć za uspostavu fondova, subjekata posebne namjene, platformi za ulaganja i drugih subjekata te upravljanje njima, u svrhu dijela za potporu solventnosti, uključujući za potporu iz članka 14. stavka 2. točke (i) te uz posebnu usmjerenost na države članice sa slabije razvijenim tržištima dionica. Tehnička pomoć raspoloživa je i za pružanje potpore zelenoj i digitalnoj transformaciji društava koja se financiraju u okviru ovog dijela.</w:t>
            </w:r>
          </w:p>
        </w:tc>
        <w:tc>
          <w:tcPr>
            <w:tcW w:w="4876" w:type="dxa"/>
          </w:tcPr>
          <w:p w:rsidR="00AE114F" w:rsidRPr="008837FC" w:rsidRDefault="009A34F8" w:rsidP="001A7B45">
            <w:pPr>
              <w:pStyle w:val="Normal6a"/>
            </w:pPr>
            <w:r w:rsidRPr="008837FC">
              <w:t xml:space="preserve">Iznos do </w:t>
            </w:r>
            <w:r w:rsidRPr="008837FC">
              <w:rPr>
                <w:b/>
                <w:i/>
              </w:rPr>
              <w:t>50 000 000</w:t>
            </w:r>
            <w:r w:rsidRPr="008837FC">
              <w:t> EUR stavlja se na raspolaganje za podmirenje troškova, savjetodavne usluge te tehničku i administrativnu pomoć za uspostavu fondova, subjekata posebne namjene, platformi za ulaganja i drugih subjekata te upravljanje njima, u svrhu dijela za potporu solventnosti, uključujući za potporu iz članka 14. stavka 2. točke (i) te uz posebnu usmjerenost na države članice sa slabije razvijenim tržištima dionica. Tehnička pomoć raspoloživa je i za pružanje potpore zelenoj i digitalnoj transformaciji društava koja se financiraju u okviru ovog dijela.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lastRenderedPageBreak/>
        <w:t>&lt;Amend&gt;</w:t>
      </w:r>
      <w:r w:rsidRPr="008837FC">
        <w:t>Amandman</w:t>
      </w:r>
      <w:r w:rsidRPr="008837FC">
        <w:tab/>
      </w:r>
      <w:r w:rsidRPr="008837FC">
        <w:tab/>
      </w:r>
      <w:r w:rsidRPr="008837FC">
        <w:rPr>
          <w:rStyle w:val="HideTWBExt"/>
          <w:b w:val="0"/>
          <w:noProof w:val="0"/>
          <w:color w:val="auto"/>
        </w:rPr>
        <w:t>&lt;NumAm&gt;</w:t>
      </w:r>
      <w:r w:rsidRPr="008837FC">
        <w:t>53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26.</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14.a stavak 1.</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Iznos do 100 000 000 EUR stavlja se na raspolaganje za podmirenje troškova, savjetodavne usluge te tehničku i administrativnu pomoć za uspostavu fondova, subjekata posebne namjene, platformi za ulaganja i drugih subjekata te upravljanje njima, u svrhu dijela za potporu solventnosti, uključujući za potporu iz članka 14. stavka 2. točke (i) te uz posebnu usmjerenost na države članice sa slabije razvijenim tržištima dionica. Tehnička pomoć </w:t>
            </w:r>
            <w:r w:rsidRPr="008837FC">
              <w:rPr>
                <w:b/>
                <w:i/>
              </w:rPr>
              <w:t>raspoloživa je i za pružanje potpore</w:t>
            </w:r>
            <w:r w:rsidRPr="008837FC">
              <w:t xml:space="preserve"> zelenoj i digitalnoj transformaciji društava koja se financiraju u okviru ovog dijela.</w:t>
            </w:r>
          </w:p>
        </w:tc>
        <w:tc>
          <w:tcPr>
            <w:tcW w:w="4876" w:type="dxa"/>
          </w:tcPr>
          <w:p w:rsidR="00AE114F" w:rsidRPr="008837FC" w:rsidRDefault="009A34F8" w:rsidP="001A7B45">
            <w:pPr>
              <w:pStyle w:val="Normal6a"/>
            </w:pPr>
            <w:r w:rsidRPr="008837FC">
              <w:t xml:space="preserve">Iznos do 100 000 000 EUR stavlja se na raspolaganje za podmirenje troškova, savjetodavne usluge te tehničku i administrativnu pomoć za uspostavu fondova, subjekata posebne namjene, platformi za ulaganja i drugih subjekata te upravljanje njima, u svrhu dijela za potporu solventnosti, uključujući za potporu iz članka 14. stavka 2. točke (i) te uz posebnu usmjerenost na države članice sa slabije razvijenim tržištima dionica. Tehnička pomoć </w:t>
            </w:r>
            <w:r w:rsidRPr="008837FC">
              <w:rPr>
                <w:b/>
                <w:i/>
              </w:rPr>
              <w:t>usmjerava se</w:t>
            </w:r>
            <w:r w:rsidRPr="008837FC">
              <w:t xml:space="preserve"> i </w:t>
            </w:r>
            <w:r w:rsidRPr="008837FC">
              <w:rPr>
                <w:b/>
                <w:i/>
              </w:rPr>
              <w:t>na pružanje potpore</w:t>
            </w:r>
            <w:r w:rsidRPr="008837FC">
              <w:t xml:space="preserve"> zelenoj i digitalnoj transformaciji društava koja se financiraju u okviru ovog dijela.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26.</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14.a stavak 3.</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Iznos od </w:t>
            </w:r>
            <w:r w:rsidRPr="008837FC">
              <w:rPr>
                <w:b/>
                <w:i/>
              </w:rPr>
              <w:t>80 000 000</w:t>
            </w:r>
            <w:r w:rsidRPr="008837FC">
              <w:t> EUR iz iznosa navedenog u prvom podstavku predstavlja vanjski namjenski prihod u skladu s člankom 21. stavkom 5. Financijske uredbe i podložan je članku 4. stavcima 4. i 8. Uredbe [EURI].</w:t>
            </w:r>
          </w:p>
        </w:tc>
        <w:tc>
          <w:tcPr>
            <w:tcW w:w="4876" w:type="dxa"/>
          </w:tcPr>
          <w:p w:rsidR="00AE114F" w:rsidRPr="008837FC" w:rsidRDefault="009A34F8" w:rsidP="001A7B45">
            <w:pPr>
              <w:pStyle w:val="Normal6a"/>
            </w:pPr>
            <w:r w:rsidRPr="008837FC">
              <w:t xml:space="preserve">Iznos od </w:t>
            </w:r>
            <w:r w:rsidRPr="008837FC">
              <w:rPr>
                <w:b/>
                <w:i/>
              </w:rPr>
              <w:t>40 000 000</w:t>
            </w:r>
            <w:r w:rsidRPr="008837FC">
              <w:t> EUR od iznosa navedenog u prvom podstavku predstavlja vanjski namjenski prihod u skladu s člankom 21. stavkom 5. Financijske uredbe i podložan je članku 4. stavcima 4. i 8. Uredbe [EURI].</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lastRenderedPageBreak/>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27.</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16. – stavak 2. – podstavak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O operacijama u okviru dijela za potporu solventnosti izvješćuje se odvojeno, prema potrebi i kako je utvrđeno u sporazumu o jamstvu.</w:t>
            </w:r>
          </w:p>
        </w:tc>
        <w:tc>
          <w:tcPr>
            <w:tcW w:w="4876" w:type="dxa"/>
          </w:tcPr>
          <w:p w:rsidR="00AE114F" w:rsidRPr="008837FC" w:rsidRDefault="009A34F8" w:rsidP="001A7B45">
            <w:pPr>
              <w:pStyle w:val="Normal6a"/>
            </w:pPr>
            <w:r w:rsidRPr="008837FC">
              <w:t xml:space="preserve">O operacijama u okviru dijela za potporu solventnosti izvješćuje se odvojeno, prema potrebi i kako je utvrđeno u sporazumu o jamstvu. </w:t>
            </w:r>
            <w:r w:rsidRPr="008837FC">
              <w:rPr>
                <w:b/>
                <w:i/>
              </w:rPr>
              <w:t>Tim je izvješćivanjem posebno obuhvaćena detaljna ocjena doprinosa zelenoj odnosno digitalnoj tranziciji društava koja ostvaruju korist u okviru tog programa, prema potrebi i na temelju planova tranzicije koje utvrđuju društva kojima se pruža potpora.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27.</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Članak 16. stavak 2. podstavak 2a (novi)</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CF0A47">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05499A">
            <w:pPr>
              <w:pStyle w:val="Normal6a"/>
            </w:pPr>
            <w:r w:rsidRPr="008837FC">
              <w:rPr>
                <w:b/>
                <w:i/>
              </w:rPr>
              <w:t xml:space="preserve">Operacije koje se financira podliježu provjerama i praćenju klimatske, okolišne i socijalne održivosti radi postizanja što manje negativnih učinaka te što veće koristi u pogledu okolišnih i socijalnih ciljeva Unije. Stoga subjekti koji traže financiranje dostavljaju odgovarajuće informacije na temelju smjernica koje treba izraditi Komisija. U tim se informacijama navodi udjel financiranja </w:t>
            </w:r>
            <w:r w:rsidRPr="008837FC">
              <w:rPr>
                <w:b/>
                <w:i/>
              </w:rPr>
              <w:lastRenderedPageBreak/>
              <w:t>u okolišno održivim gospodarskim djelatnostima u skladu s  Uredbom (EU) 2020/852 člankom 3. Projekte ispod određene veličine utvrđene u smjernicama isključuje se iz provjere.</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31. – podtočka 2 – podtočka a</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2. – točka b – podtočka 1</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8853B9">
        <w:trPr>
          <w:trHeight w:hRule="exact" w:val="240"/>
          <w:jc w:val="center"/>
        </w:trPr>
        <w:tc>
          <w:tcPr>
            <w:tcW w:w="9752" w:type="dxa"/>
            <w:gridSpan w:val="2"/>
          </w:tcPr>
          <w:p w:rsidR="00AE114F" w:rsidRPr="008837FC" w:rsidRDefault="00AE114F" w:rsidP="001A7B45"/>
        </w:tc>
      </w:tr>
      <w:tr w:rsidR="008837FC" w:rsidRPr="008837FC" w:rsidTr="008853B9">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8853B9">
        <w:trPr>
          <w:jc w:val="center"/>
        </w:trPr>
        <w:tc>
          <w:tcPr>
            <w:tcW w:w="4876" w:type="dxa"/>
          </w:tcPr>
          <w:p w:rsidR="00AE114F" w:rsidRPr="008837FC" w:rsidRDefault="009A34F8" w:rsidP="001A7B45">
            <w:pPr>
              <w:pStyle w:val="Normal6a"/>
            </w:pPr>
            <w:r w:rsidRPr="008837FC">
              <w:t>(b)</w:t>
            </w:r>
            <w:r w:rsidRPr="008837FC">
              <w:tab/>
              <w:t xml:space="preserve">Jamstvo EU-a daje se za izravnu ili neizravnu podršku financiranju novih operacija. Kada je riječ o infrastrukturi, trebalo bi </w:t>
            </w:r>
            <w:r w:rsidRPr="008837FC">
              <w:rPr>
                <w:b/>
                <w:i/>
              </w:rPr>
              <w:t>poticati</w:t>
            </w:r>
            <w:r w:rsidRPr="008837FC">
              <w:t xml:space="preserve"> ulaganja za osnivanje novih poduzeća (stvaranje imovine). Također se mogu podržati ulaganja u ranija industrijska postrojenja (povećanje i modernizacija postojeće imovine). U okviru dijela za potporu solventnosti financiranje je usmjereno na poboljšanje opsega vlasničkog kapitala i solventnosti društava. Uvjetima financiranja trebalo bi se izbjeći narušavanje tržišnog natjecanja među društvima. Jamstvo EU-a u pravilu se ne daje za podupiranje operacija refinanciranja (kao što je zamjena postojećih ugovora o zajmu ili drugih oblika financijske potpore projektima koji su već dijelom ili u potpunosti ostvareni), osim u okviru dijela za potporu solventnosti ili u iznimnim i opravdanim okolnostima kada je dokazano da će se takvom transakcijom omogućiti nova ulaganja u iznosu koji je barem jednak iznosu transakcije koja ispunjavaju kriterije prihvatljivosti i opće ciljeve iz članka 6. i članka 9. stavka 2.</w:t>
            </w:r>
          </w:p>
        </w:tc>
        <w:tc>
          <w:tcPr>
            <w:tcW w:w="4876" w:type="dxa"/>
          </w:tcPr>
          <w:p w:rsidR="00AE114F" w:rsidRPr="008837FC" w:rsidRDefault="009A34F8" w:rsidP="001A7B45">
            <w:pPr>
              <w:pStyle w:val="Normal6a"/>
            </w:pPr>
            <w:r w:rsidRPr="008837FC">
              <w:t>(b)</w:t>
            </w:r>
            <w:r w:rsidRPr="008837FC">
              <w:tab/>
              <w:t xml:space="preserve">Jamstvo EU-a daje se za izravnu ili neizravnu podršku financiranju novih operacija. Kada je riječ o infrastrukturi, trebalo bi </w:t>
            </w:r>
            <w:r w:rsidRPr="008837FC">
              <w:rPr>
                <w:b/>
                <w:i/>
              </w:rPr>
              <w:t>dati prednost</w:t>
            </w:r>
            <w:r w:rsidRPr="008837FC">
              <w:t xml:space="preserve"> ulaganjima za osnivanje novih poduzeća (stvaranje imovine). Moguće je podupiranje ulaganja u ranija industrijska postrojenja (povećanje i modernizacija postojeće imovine) </w:t>
            </w:r>
            <w:r w:rsidRPr="008837FC">
              <w:rPr>
                <w:b/>
                <w:i/>
              </w:rPr>
              <w:t>ako se pod tim podrazumijeva ekologizacija postojeće imovine.</w:t>
            </w:r>
            <w:r w:rsidRPr="008837FC">
              <w:t xml:space="preserve"> U okviru dijela za potporu solventnosti financiranje je usmjereno na poboljšanje opsega vlasničkog kapitala i solventnosti društava. Uvjetima financiranja trebalo bi se izbjeći narušavanje tržišnog natjecanja među društvima. Jamstvo EU-a u pravilu se ne daje za podupiranje operacija refinanciranja (kao što je zamjena postojećih ugovora o zajmu ili drugih oblika financijske potpore projektima koji su već dijelom ili u potpunosti ostvareni), osim u okviru dijela za potporu solventnosti ili u iznimnim i opravdanim okolnostima kada je dokazano da će se takvom transakcijom omogućiti nova ulaganja u iznosu koji je barem jednak iznosu transakcije koja ispunjavaju kriterije prihvatljivosti i opće ciljeve iz članka 6. i </w:t>
            </w:r>
            <w:r w:rsidRPr="008837FC">
              <w:lastRenderedPageBreak/>
              <w:t>članka 9. stavka 2.</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31. – podtočka 2 – podtočka a</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2. – točka b – podtočka 1</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(b)</w:t>
            </w:r>
            <w:r w:rsidRPr="008837FC">
              <w:tab/>
              <w:t xml:space="preserve">Jamstvo EU-a daje se za izravnu ili neizravnu podršku financiranju novih operacija. Kada je riječ o infrastrukturi, </w:t>
            </w:r>
            <w:r w:rsidRPr="008837FC">
              <w:rPr>
                <w:b/>
                <w:i/>
              </w:rPr>
              <w:t>trebalo bi poticati</w:t>
            </w:r>
            <w:r w:rsidRPr="008837FC">
              <w:t xml:space="preserve"> ulaganja za osnivanje novih poduzeća (stvaranje imovine). </w:t>
            </w:r>
            <w:r w:rsidRPr="008837FC">
              <w:rPr>
                <w:b/>
                <w:i/>
              </w:rPr>
              <w:t>Također se mogu</w:t>
            </w:r>
            <w:r w:rsidRPr="008837FC">
              <w:t xml:space="preserve"> podržati ulaganja u ranija industrijska postrojenja (povećanje i modernizacija postojeće imovine). U okviru dijela za potporu solventnosti financiranje je usmjereno na poboljšanje opsega vlasničkog kapitala i solventnosti društava. Uvjetima financiranja trebalo bi se izbjeći narušavanje tržišnog natjecanja među društvima. Jamstvo EU-a u pravilu se ne daje za podupiranje operacija refinanciranja (kao što je zamjena postojećih ugovora o zajmu ili drugih oblika financijske potpore projektima koji su već dijelom ili u potpunosti ostvareni), osim u okviru dijela za potporu solventnosti ili u iznimnim i opravdanim okolnostima kada je dokazano da će se takvom transakcijom omogućiti nova ulaganja u iznosu koji je barem jednak iznosu transakcije koja ispunjavaju kriterije prihvatljivosti i opće ciljeve iz članka 6. i članka 9. stavka 2.</w:t>
            </w:r>
          </w:p>
        </w:tc>
        <w:tc>
          <w:tcPr>
            <w:tcW w:w="4876" w:type="dxa"/>
          </w:tcPr>
          <w:p w:rsidR="00AE114F" w:rsidRPr="008837FC" w:rsidRDefault="009A34F8" w:rsidP="001A7B45">
            <w:pPr>
              <w:pStyle w:val="Normal6a"/>
            </w:pPr>
            <w:r w:rsidRPr="008837FC">
              <w:t>(b)</w:t>
            </w:r>
            <w:r w:rsidRPr="008837FC">
              <w:tab/>
              <w:t xml:space="preserve">Jamstvo EU-a daje se za izravnu ili neizravnu podršku financiranju novih operacija. Kada je riječ o infrastrukturi, </w:t>
            </w:r>
            <w:r w:rsidRPr="008837FC">
              <w:rPr>
                <w:b/>
                <w:i/>
              </w:rPr>
              <w:t>potiču se i</w:t>
            </w:r>
            <w:r w:rsidRPr="008837FC">
              <w:t xml:space="preserve"> podupiru </w:t>
            </w:r>
            <w:r w:rsidRPr="008837FC">
              <w:rPr>
                <w:b/>
                <w:i/>
              </w:rPr>
              <w:t>kako</w:t>
            </w:r>
            <w:r w:rsidRPr="008837FC">
              <w:t xml:space="preserve"> ulaganja za osnivanje novih poduzeća (stvaranje imovine), </w:t>
            </w:r>
            <w:r w:rsidRPr="008837FC">
              <w:rPr>
                <w:b/>
                <w:i/>
              </w:rPr>
              <w:t>tako i</w:t>
            </w:r>
            <w:r w:rsidRPr="008837FC">
              <w:t xml:space="preserve"> ulaganja u ranija industrijska postrojenja (povećanje i modernizacija postojeće imovine). U okviru dijela za potporu solventnosti financiranje je usmjereno na poboljšanje opsega vlasničkog kapitala i solventnosti društava. Uvjetima financiranja trebalo bi se izbjeći narušavanje tržišnog natjecanja među društvima. Jamstvo EU-a u pravilu se ne daje za podupiranje operacija refinanciranja (kao što je zamjena postojećih ugovora o zajmu ili drugih oblika financijske potpore projektima koji su već dijelom ili u potpunosti ostvareni), osim u okviru dijela za potporu solventnosti ili u iznimnim i opravdanim okolnostima kada je dokazano da će se takvom transakcijom omogućiti nova ulaganja u iznosu koji je barem jednak iznosu transakcije koja ispunjavaju kriterije prihvatljivosti i opće ciljeve iz članka 6. i članka 9. stavka 2.</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59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lastRenderedPageBreak/>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 stavak 1. – točka 31. – podtočka 2 – podtočka -aa(nova)</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2. – podtočka -ba (nova)</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82A41">
        <w:trPr>
          <w:trHeight w:hRule="exact" w:val="240"/>
          <w:jc w:val="center"/>
        </w:trPr>
        <w:tc>
          <w:tcPr>
            <w:tcW w:w="9752" w:type="dxa"/>
            <w:gridSpan w:val="2"/>
          </w:tcPr>
          <w:p w:rsidR="00AE114F" w:rsidRPr="008837FC" w:rsidRDefault="00AE114F" w:rsidP="001A7B45"/>
        </w:tc>
      </w:tr>
      <w:tr w:rsidR="008837FC" w:rsidRPr="008837FC" w:rsidTr="00182A41">
        <w:trPr>
          <w:trHeight w:val="240"/>
          <w:jc w:val="center"/>
        </w:trPr>
        <w:tc>
          <w:tcPr>
            <w:tcW w:w="4876" w:type="dxa"/>
          </w:tcPr>
          <w:p w:rsidR="00AE114F" w:rsidRPr="008837FC" w:rsidRDefault="009A34F8" w:rsidP="00CF0A47">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82A41">
        <w:trPr>
          <w:jc w:val="center"/>
        </w:trPr>
        <w:tc>
          <w:tcPr>
            <w:tcW w:w="4876" w:type="dxa"/>
          </w:tcPr>
          <w:p w:rsidR="00E71826" w:rsidRPr="008837FC" w:rsidRDefault="00E71826" w:rsidP="001A7B45">
            <w:pPr>
              <w:pStyle w:val="Normal6a"/>
            </w:pPr>
          </w:p>
        </w:tc>
        <w:tc>
          <w:tcPr>
            <w:tcW w:w="4876" w:type="dxa"/>
          </w:tcPr>
          <w:p w:rsidR="00E71826" w:rsidRPr="008837FC" w:rsidRDefault="009A34F8" w:rsidP="00EB7F6A">
            <w:pPr>
              <w:pStyle w:val="Normal6a"/>
              <w:rPr>
                <w:b/>
                <w:i/>
              </w:rPr>
            </w:pPr>
            <w:r w:rsidRPr="008837FC">
              <w:rPr>
                <w:b/>
                <w:bCs/>
                <w:i/>
                <w:iCs/>
              </w:rPr>
              <w:t xml:space="preserve">(aa) </w:t>
            </w:r>
            <w:r w:rsidRPr="008837FC">
              <w:rPr>
                <w:b/>
                <w:bCs/>
                <w:i/>
                <w:iCs/>
              </w:rPr>
              <w:tab/>
              <w:t>Umeće se sljedeća točka:</w:t>
            </w:r>
          </w:p>
        </w:tc>
      </w:tr>
      <w:tr w:rsidR="008837FC" w:rsidRPr="008837FC" w:rsidTr="00182A41">
        <w:trPr>
          <w:jc w:val="center"/>
        </w:trPr>
        <w:tc>
          <w:tcPr>
            <w:tcW w:w="4876" w:type="dxa"/>
          </w:tcPr>
          <w:p w:rsidR="00AE114F" w:rsidRPr="008837FC" w:rsidRDefault="00AE114F" w:rsidP="001A7B45">
            <w:pPr>
              <w:pStyle w:val="Normal6a"/>
            </w:pPr>
          </w:p>
        </w:tc>
        <w:tc>
          <w:tcPr>
            <w:tcW w:w="4876" w:type="dxa"/>
          </w:tcPr>
          <w:p w:rsidR="00AE114F" w:rsidRPr="008837FC" w:rsidRDefault="009A34F8" w:rsidP="00F42C46">
            <w:pPr>
              <w:pStyle w:val="Normal6a"/>
            </w:pPr>
            <w:r w:rsidRPr="008837FC">
              <w:rPr>
                <w:b/>
                <w:i/>
              </w:rPr>
              <w:t>(ba)</w:t>
            </w:r>
            <w:r w:rsidRPr="008837FC">
              <w:rPr>
                <w:b/>
                <w:i/>
              </w:rPr>
              <w:tab/>
              <w:t>Sva ulaganja podliježu metodologiji EU-a za održiva ulaganja te referentnim vrijednostima EU-a za klimatsku tranziciju koje su usklađene s Pariškim sporazumom. Sva ulaganja podliježu načelu „ne nanosi bitnu štetu“ te se njima ne ugrožava napor uložen u pravednu tranziciju na gospodarstvo s nultom neto stopom emisija stakleničkih plinova.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1</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jamstvo EU-a može se upotrijebiti za potporu EIB-ovom ili EIF-ovom financiranju fondova, subjekata posebne namjene ili drugih platformi za ulaganja, davanju jamstava tim fondovima, subjektima ili drugim platformama odnosno ulaganju u njih, uključujući putem nacionalnih razvojnih banaka ili institucija ili drugih relevantnih aranžmana kojima se omogućuju kapitalna i vlasnička ulaganja u društva;</w:t>
            </w:r>
          </w:p>
        </w:tc>
        <w:tc>
          <w:tcPr>
            <w:tcW w:w="4876" w:type="dxa"/>
          </w:tcPr>
          <w:p w:rsidR="00AE114F" w:rsidRPr="008837FC" w:rsidRDefault="009A34F8" w:rsidP="001A7B45">
            <w:pPr>
              <w:pStyle w:val="Normal6a"/>
            </w:pPr>
            <w:r w:rsidRPr="008837FC">
              <w:t>—</w:t>
            </w:r>
            <w:r w:rsidRPr="008837FC">
              <w:tab/>
              <w:t xml:space="preserve">jamstvo EU-a može se upotrijebiti za potporu EIB-ovom ili EIF-ovom financiranju fondova, subjekata posebne namjene ili drugih platformi za ulaganja, davanju jamstava tim fondovima, subjektima ili drugim platformama odnosno ulaganju u njih, uključujući putem nacionalnih razvojnih banaka ili institucija ili drugih relevantnih aranžmana kojima se omogućuju kapitalna i vlasnička ulaganja u društva. </w:t>
            </w:r>
            <w:r w:rsidRPr="008837FC">
              <w:rPr>
                <w:b/>
                <w:i/>
              </w:rPr>
              <w:t>Korištenje jamstvom EU-a ne utječe na neovisnost i autonomiju korisnika pri donošenju odluka.</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Alexandr Vondra</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dio za potporu solventnosti posebice je usmjeren na fondove, subjekte posebne namjene ili platforme za ulaganja koji su usmjereni na društva koja se bave prekograničnim aktivnostima unutar Unije i/ili na društva s visokim potencijalom za zelenu </w:t>
            </w:r>
            <w:r w:rsidRPr="008837FC">
              <w:rPr>
                <w:b/>
                <w:i/>
              </w:rPr>
              <w:t>ili</w:t>
            </w:r>
            <w:r w:rsidRPr="008837FC">
              <w:t xml:space="preserve"> digitalnu </w:t>
            </w:r>
            <w:r w:rsidRPr="008837FC">
              <w:rPr>
                <w:b/>
                <w:i/>
              </w:rPr>
              <w:t>transformaciju</w:t>
            </w:r>
            <w:r w:rsidRPr="008837FC">
              <w:t>;</w:t>
            </w:r>
          </w:p>
        </w:tc>
        <w:tc>
          <w:tcPr>
            <w:tcW w:w="4876" w:type="dxa"/>
          </w:tcPr>
          <w:p w:rsidR="00AE114F" w:rsidRPr="008837FC" w:rsidRDefault="009A34F8" w:rsidP="001A7B45">
            <w:pPr>
              <w:pStyle w:val="Normal6a"/>
            </w:pPr>
            <w:r w:rsidRPr="008837FC">
              <w:t>—</w:t>
            </w:r>
            <w:r w:rsidRPr="008837FC">
              <w:tab/>
              <w:t xml:space="preserve">dio za potporu solventnosti posebice je usmjeren na fondove, subjekte posebne namjene ili platforme za ulaganja koji su usmjereni na društva koja se bave prekograničnim aktivnostima unutar Unije i/ili na društva s visokim potencijalom za </w:t>
            </w:r>
            <w:r w:rsidRPr="008837FC">
              <w:rPr>
                <w:b/>
                <w:i/>
              </w:rPr>
              <w:t>doprinos ciljevima europskog</w:t>
            </w:r>
            <w:r w:rsidRPr="008837FC">
              <w:t xml:space="preserve"> zelenog </w:t>
            </w:r>
            <w:r w:rsidRPr="008837FC">
              <w:rPr>
                <w:b/>
                <w:i/>
              </w:rPr>
              <w:t>plana, uključujući pravednu tranziciju, ili strategiji za oblikovanje</w:t>
            </w:r>
            <w:r w:rsidRPr="008837FC">
              <w:t xml:space="preserve"> digitalne </w:t>
            </w:r>
            <w:r w:rsidRPr="008837FC">
              <w:rPr>
                <w:b/>
                <w:i/>
              </w:rPr>
              <w:t>budućnosti Europe</w:t>
            </w:r>
            <w:r w:rsidRPr="008837FC">
              <w:t>;</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2</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dio za potporu solventnosti posebice je usmjeren na fondove, subjekte posebne namjene ili platforme za ulaganja koji su usmjereni na društva koja se bave prekograničnim aktivnostima unutar Unije i/ili na društva s visokim potencijalom za zelenu ili digitalnu transformaciju;</w:t>
            </w:r>
          </w:p>
        </w:tc>
        <w:tc>
          <w:tcPr>
            <w:tcW w:w="4876" w:type="dxa"/>
          </w:tcPr>
          <w:p w:rsidR="00AE114F" w:rsidRPr="008837FC" w:rsidRDefault="009A34F8" w:rsidP="001A7B45">
            <w:pPr>
              <w:pStyle w:val="Normal6a"/>
            </w:pPr>
            <w:r w:rsidRPr="008837FC">
              <w:t>—</w:t>
            </w:r>
            <w:r w:rsidRPr="008837FC">
              <w:tab/>
              <w:t xml:space="preserve">dio za potporu solventnosti posebice je usmjeren na fondove, subjekte posebne namjene ili platforme za ulaganja koji su usmjereni na društva koja se bave prekograničnim aktivnostima unutar Unije i/ili na društva s visokim potencijalom za zelenu ili digitalnu transformaciju </w:t>
            </w:r>
            <w:r w:rsidRPr="008837FC">
              <w:rPr>
                <w:b/>
                <w:i/>
              </w:rPr>
              <w:t>te podupiranje i otvaranje održivih i kvalitetnih radnih mjesta</w:t>
            </w:r>
            <w:r w:rsidRPr="008837FC">
              <w:t>;</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3</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fondovi, subjekti posebne namjene ili platforme za ulaganja pružaju financiranje pod komercijalnim uvjetima ili uvjetima koji su u skladu s </w:t>
            </w:r>
            <w:r w:rsidRPr="008837FC">
              <w:rPr>
                <w:b/>
                <w:i/>
              </w:rPr>
              <w:t>Privremenim okvirom za</w:t>
            </w:r>
            <w:r w:rsidRPr="008837FC">
              <w:t xml:space="preserve"> državne </w:t>
            </w:r>
            <w:r w:rsidRPr="008837FC">
              <w:rPr>
                <w:b/>
                <w:i/>
              </w:rPr>
              <w:t>potpore</w:t>
            </w:r>
            <w:r w:rsidRPr="008837FC">
              <w:rPr>
                <w:rStyle w:val="SupBoldItalic"/>
              </w:rPr>
              <w:t>12</w:t>
            </w:r>
            <w:r w:rsidRPr="008837FC">
              <w:t xml:space="preserve"> , istodobno uzimajući u obzir europsku prirodu instrumenta potpore solventnosti i neovisnu upravu fondova i drugih subjekata;</w:t>
            </w:r>
          </w:p>
        </w:tc>
        <w:tc>
          <w:tcPr>
            <w:tcW w:w="4876" w:type="dxa"/>
          </w:tcPr>
          <w:p w:rsidR="00AE114F" w:rsidRPr="008837FC" w:rsidRDefault="009A34F8" w:rsidP="001A7B45">
            <w:pPr>
              <w:pStyle w:val="Normal6a"/>
            </w:pPr>
            <w:r w:rsidRPr="008837FC">
              <w:t>—</w:t>
            </w:r>
            <w:r w:rsidRPr="008837FC">
              <w:tab/>
              <w:t xml:space="preserve">fondovi, subjekti posebne namjene ili platforme za ulaganja pružaju financiranje pod komercijalnim uvjetima ili uvjetima koji su u skladu s </w:t>
            </w:r>
            <w:r w:rsidRPr="008837FC">
              <w:rPr>
                <w:b/>
                <w:i/>
              </w:rPr>
              <w:t>nacionalnim pravilima</w:t>
            </w:r>
            <w:r w:rsidRPr="008837FC">
              <w:t xml:space="preserve"> države </w:t>
            </w:r>
            <w:r w:rsidRPr="008837FC">
              <w:rPr>
                <w:b/>
                <w:i/>
              </w:rPr>
              <w:t>članice</w:t>
            </w:r>
            <w:r w:rsidRPr="008837FC">
              <w:t>, istodobno uzimajući u obzir europsku prirodu instrumenta potpore solventnosti i neovisnu upravu fondova i drugih subjekata;</w:t>
            </w:r>
          </w:p>
        </w:tc>
      </w:tr>
      <w:tr w:rsidR="008837FC" w:rsidRPr="008837FC" w:rsidTr="001A7B45">
        <w:trPr>
          <w:jc w:val="center"/>
        </w:trPr>
        <w:tc>
          <w:tcPr>
            <w:tcW w:w="4876" w:type="dxa"/>
          </w:tcPr>
          <w:p w:rsidR="00AE114F" w:rsidRPr="008837FC" w:rsidRDefault="009A34F8" w:rsidP="001A7B45">
            <w:pPr>
              <w:pStyle w:val="Normal6a"/>
            </w:pPr>
            <w:r w:rsidRPr="008837FC">
              <w:t>_________________</w:t>
            </w:r>
          </w:p>
        </w:tc>
        <w:tc>
          <w:tcPr>
            <w:tcW w:w="4876" w:type="dxa"/>
          </w:tcPr>
          <w:p w:rsidR="00AE114F" w:rsidRPr="008837FC" w:rsidRDefault="00AE114F" w:rsidP="001A7B45">
            <w:pPr>
              <w:pStyle w:val="Normal6a"/>
            </w:pPr>
          </w:p>
        </w:tc>
      </w:tr>
      <w:tr w:rsidR="008837FC" w:rsidRPr="008837FC" w:rsidTr="001A7B45">
        <w:trPr>
          <w:jc w:val="center"/>
        </w:trPr>
        <w:tc>
          <w:tcPr>
            <w:tcW w:w="4876" w:type="dxa"/>
          </w:tcPr>
          <w:p w:rsidR="00AE114F" w:rsidRPr="008837FC" w:rsidRDefault="009A34F8" w:rsidP="00647309">
            <w:pPr>
              <w:pStyle w:val="Normal6a"/>
              <w:rPr>
                <w:b/>
                <w:i/>
              </w:rPr>
            </w:pPr>
            <w:r w:rsidRPr="008837FC">
              <w:rPr>
                <w:b/>
                <w:i/>
                <w:vertAlign w:val="superscript"/>
              </w:rPr>
              <w:t>12</w:t>
            </w:r>
            <w:r w:rsidRPr="008837FC">
              <w:rPr>
                <w:b/>
                <w:i/>
              </w:rPr>
              <w:t xml:space="preserve"> Komunikacija Komisije: Privremeni okvir za mjere državne potpore u svrhu potpore gospodarstvu u aktualnoj pandemiji bolesti COVID-19 (C(2020)1863), kako je izmijenjen dokumentom C(2020) 3156 final.</w:t>
            </w:r>
          </w:p>
        </w:tc>
        <w:tc>
          <w:tcPr>
            <w:tcW w:w="4876" w:type="dxa"/>
          </w:tcPr>
          <w:p w:rsidR="00AE114F" w:rsidRPr="008837FC" w:rsidRDefault="00AE114F" w:rsidP="001A7B45">
            <w:pPr>
              <w:pStyle w:val="Normal6a"/>
            </w:pP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Bas Eickhout</w:t>
      </w:r>
      <w:r w:rsidRPr="008837FC">
        <w:rPr>
          <w:rStyle w:val="HideTWBExt"/>
          <w:b w:val="0"/>
          <w:noProof w:val="0"/>
          <w:color w:val="auto"/>
        </w:rPr>
        <w:t>&lt;/Members&gt;</w:t>
      </w:r>
    </w:p>
    <w:p w:rsidR="00AE114F" w:rsidRPr="008837FC" w:rsidRDefault="009A34F8" w:rsidP="00AE114F">
      <w:r w:rsidRPr="008837FC">
        <w:rPr>
          <w:rStyle w:val="HideTWBExt"/>
          <w:noProof w:val="0"/>
          <w:color w:val="auto"/>
        </w:rPr>
        <w:t>&lt;AuNomDe&gt;</w:t>
      </w:r>
      <w:r w:rsidRPr="008837FC">
        <w:rPr>
          <w:rStyle w:val="HideTWBInt"/>
          <w:noProof w:val="0"/>
          <w:color w:val="auto"/>
        </w:rPr>
        <w:t>{Greens/EFA}</w:t>
      </w:r>
      <w:r w:rsidRPr="008837FC">
        <w:t>u ime Kluba zastupnika Verts/ALE-a</w:t>
      </w:r>
      <w:r w:rsidRPr="008837FC">
        <w:rPr>
          <w:rStyle w:val="HideTWBExt"/>
          <w:noProof w:val="0"/>
          <w:color w:val="auto"/>
        </w:rPr>
        <w:t>&lt;/AuNomDe&gt;</w:t>
      </w:r>
    </w:p>
    <w:p w:rsidR="00AE114F" w:rsidRPr="008837FC" w:rsidRDefault="009A34F8" w:rsidP="00AE114F">
      <w:r w:rsidRPr="008837FC">
        <w:rPr>
          <w:rStyle w:val="HideTWBExt"/>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potiče se na</w:t>
            </w:r>
            <w:r w:rsidRPr="008837FC">
              <w:t xml:space="preserve"> </w:t>
            </w:r>
            <w:r w:rsidRPr="008837FC">
              <w:lastRenderedPageBreak/>
              <w:t xml:space="preserve">usklađenost, </w:t>
            </w:r>
            <w:r w:rsidRPr="008837FC">
              <w:rPr>
                <w:b/>
                <w:i/>
              </w:rPr>
              <w:t>u mjeri u kojoj je to moguće, s minimalnim</w:t>
            </w:r>
            <w:r w:rsidRPr="008837FC">
              <w:t xml:space="preserve"> društvenim i ekološkim mjerama </w:t>
            </w:r>
            <w:r w:rsidRPr="008837FC">
              <w:rPr>
                <w:b/>
                <w:i/>
              </w:rPr>
              <w:t>visoke razine</w:t>
            </w:r>
            <w:r w:rsidRPr="008837FC">
              <w:t xml:space="preserve"> u skladu sa smjernicama dobivenima od Upravljačkog odbora. Te smjernice trebale bi uključivati odgovarajuće odredbe za izbjegavanje nepotrebnih administrativnih tereta, uzimajući u obzir veličinu društava i uključujući manje stroge odredbe za MSP-ove. Društva </w:t>
            </w:r>
            <w:r w:rsidRPr="008837FC">
              <w:rPr>
                <w:b/>
                <w:i/>
              </w:rPr>
              <w:t>s određenom razinom izloženosti unaprijed utvrđenom popisu aktivnosti koje su štetne za okoliš, a posebno sektorima obuhvaćenima Sustavom EU-a za trgovanje emisijama (EU ETS),</w:t>
            </w:r>
            <w:r w:rsidRPr="008837FC">
              <w:t xml:space="preserve"> </w:t>
            </w:r>
            <w:r w:rsidRPr="008837FC">
              <w:rPr>
                <w:b/>
                <w:i/>
              </w:rPr>
              <w:t>potiču se</w:t>
            </w:r>
            <w:r w:rsidRPr="008837FC">
              <w:t xml:space="preserve"> </w:t>
            </w:r>
            <w:r w:rsidRPr="008837FC">
              <w:rPr>
                <w:b/>
                <w:i/>
              </w:rPr>
              <w:t>da</w:t>
            </w:r>
            <w:r w:rsidRPr="008837FC">
              <w:t xml:space="preserve">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F42C46">
            <w:pPr>
              <w:pStyle w:val="Normal6a"/>
            </w:pPr>
            <w:r w:rsidRPr="008837FC">
              <w:lastRenderedPageBreak/>
              <w:t>—</w:t>
            </w:r>
            <w:r w:rsidRPr="008837FC">
              <w:tab/>
              <w:t xml:space="preserve">društva na koja su usmjereni fondovi, subjekti posebne namjene ili platforme za ulaganja usklađena su </w:t>
            </w:r>
            <w:r w:rsidRPr="008837FC">
              <w:rPr>
                <w:b/>
                <w:i/>
              </w:rPr>
              <w:t>s</w:t>
            </w:r>
            <w:r w:rsidRPr="008837FC">
              <w:t xml:space="preserve"> </w:t>
            </w:r>
            <w:r w:rsidRPr="008837FC">
              <w:lastRenderedPageBreak/>
              <w:t xml:space="preserve">društvenim i ekološkim mjerama u skladu sa smjernicama </w:t>
            </w:r>
            <w:r w:rsidRPr="008837FC">
              <w:rPr>
                <w:b/>
                <w:i/>
              </w:rPr>
              <w:t>koje se temelje na Uredbi (EU) 2020/852 člancima 17. i 18.</w:t>
            </w:r>
            <w:r w:rsidRPr="008837FC">
              <w:t xml:space="preserve"> koje dostavlja Upravljački odbor. Te smjernice trebale bi uključivati odgovarajuće odredbe za izbjegavanje nepotrebnih administrativnih tereta, uzimajući u obzir veličinu društava i uključujući manje stroge odredbe za MSP-ove. Društva </w:t>
            </w:r>
            <w:r w:rsidRPr="008837FC">
              <w:rPr>
                <w:b/>
                <w:i/>
              </w:rPr>
              <w:t>koja podliježu obvezi objavljivanja nefinancijskih informacija u skladu s Direktivom 2013/34/EU Europskog parlamenta i Vijeća člankom 19.a ili člankom 29a</w:t>
            </w:r>
            <w:r w:rsidRPr="008837FC">
              <w:rPr>
                <w:b/>
                <w:i/>
                <w:vertAlign w:val="superscript"/>
              </w:rPr>
              <w:t>1a</w:t>
            </w:r>
            <w:r w:rsidRPr="008837FC">
              <w:t xml:space="preserve"> donose planove zelene </w:t>
            </w:r>
            <w:r w:rsidRPr="008837FC">
              <w:rPr>
                <w:b/>
                <w:i/>
              </w:rPr>
              <w:t>i pravedne</w:t>
            </w:r>
            <w:r w:rsidRPr="008837FC">
              <w:t xml:space="preserve"> tranzicije. Društva se potiče i da napreduju u svojoj digitalnoj transformaciji. Za potrebe ovih tranzicija društva na raspolaganju imaju i tehničku pomoć.</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F42C46">
            <w:pPr>
              <w:pStyle w:val="Normal6a"/>
            </w:pPr>
            <w:r w:rsidRPr="008837FC">
              <w:rPr>
                <w:b/>
                <w:i/>
              </w:rPr>
              <w:t>Takvim se planovima tranzicije minimalno osigurava sljedeće:</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xml:space="preserve">– gospodarske djelatnosti društva usklađene su s klimatskim ciljevima Unije iz [Uredbe (EU) 2020/XXX] o uspostavi okvira za ostvarenje klimatske neutralnosti </w:t>
            </w:r>
            <w:r w:rsidRPr="008837FC">
              <w:rPr>
                <w:b/>
                <w:bCs/>
                <w:i/>
                <w:szCs w:val="24"/>
                <w:shd w:val="clear" w:color="auto" w:fill="FFFFFF"/>
              </w:rPr>
              <w:t>i izmjeni Uredbe (EU) 2018/1999</w:t>
            </w:r>
            <w:r w:rsidRPr="008837FC">
              <w:rPr>
                <w:b/>
                <w:i/>
              </w:rPr>
              <w:t xml:space="preserve"> („europski propis o klimi“)</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prema potrebi, gospodarske djelatnosti društva usklađene su s okolišnim ciljevima iz Uredbe (EU) 2020/852 članka 9. točki (b) do (f)</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utvrđuje se primjereno upravljanje u pogledu ocjene rizika održivosti i njegova smanjenja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svi budući kapitalni izdaci namijenjeni su za imovinu ili postupke povezane s gospodarskim djelatnostima koji se smatraju okolišno održivima u okviru Uredbe (EU) 2020/852 članaka 3. i 9.</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xml:space="preserve">– predviđeni su postupno uklanjanje djelatnosti kojima se nanosi znatna šteta bilo kojem okolišnom cilju u skladu s Uredbom (EU) 2020/852 člankom 17. te </w:t>
            </w:r>
            <w:r w:rsidRPr="008837FC">
              <w:rPr>
                <w:b/>
                <w:i/>
              </w:rPr>
              <w:lastRenderedPageBreak/>
              <w:t>preobrazba takvih djelatnosti u neutralne djelatnosti ili djelatnosti niskog učinka prema prethodno utvrđenom rasporedu</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 utvrđuju se ciljevi kvalitetnih radnih mjesta i ciljevi povezani s rodnom ravnopravnošću poput ciljeva u pogledu jednake plaće.</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1A7B45">
            <w:pPr>
              <w:pStyle w:val="Normal6a"/>
            </w:pPr>
            <w:r w:rsidRPr="008837FC">
              <w:rPr>
                <w:b/>
                <w:i/>
              </w:rPr>
              <w:t>Planovi tranzicije sadrže posredne ciljeve i ažurira ih se jednom godišnje te se njima obuhvaća ex-post ocjena ostvarenja posrednih ciljeva.</w:t>
            </w:r>
          </w:p>
        </w:tc>
      </w:tr>
      <w:tr w:rsidR="008837FC" w:rsidRPr="008837FC" w:rsidTr="001A7B45">
        <w:trPr>
          <w:jc w:val="center"/>
        </w:trPr>
        <w:tc>
          <w:tcPr>
            <w:tcW w:w="4876" w:type="dxa"/>
          </w:tcPr>
          <w:p w:rsidR="00AE114F" w:rsidRPr="008837FC" w:rsidRDefault="00AE114F" w:rsidP="001A7B45">
            <w:pPr>
              <w:pStyle w:val="Normal6a"/>
            </w:pPr>
          </w:p>
        </w:tc>
        <w:tc>
          <w:tcPr>
            <w:tcW w:w="4876" w:type="dxa"/>
          </w:tcPr>
          <w:p w:rsidR="00AE114F" w:rsidRPr="008837FC" w:rsidRDefault="009A34F8" w:rsidP="00037B5F">
            <w:pPr>
              <w:pStyle w:val="Normal6a"/>
            </w:pPr>
            <w:r w:rsidRPr="008837FC">
              <w:rPr>
                <w:b/>
                <w:i/>
              </w:rPr>
              <w:t>Društva koja ne podliježu obvezi objave nefinancijskih informacija u skladu s Direktivom 2013/34/EU člancima 19.a ili 29.a izrađuju planove tranzicije uz obrazloženje toga podupiru li njihove gospodarske djelatnosti okolišne ciljeve iz Uredbe (EU) 2020/852 članka 3 i u kojoj mjeri. U planove tranzicije uključeni su, prema potrebi, ciljevi u pogledu udjela njihovih kapitalnih izdataka i udjela operativnih izdataka povezanih s imovinom ili postupcima povezanima s gospodarskim djelatnostima koje se smatraju okolišno održivima u okviru Uredbe (EU) 2020/852 članaka 3. i 9. Navedeni planovi nadalje sadrže cilj kvalitetnih radnih mjesta i mjere očuvanja zaposlenosti kao i ciljeve povezane s rodnom ravnopravnošću poput ciljeva u pogledu jednake plaće. Navedeni planovi sadrže posredne ciljeve i ažurira ih se jednom godišnje te se njima obuhvaća ex-post ocjena ostvarenja posrednih ciljeva.</w:t>
            </w:r>
          </w:p>
        </w:tc>
      </w:tr>
      <w:tr w:rsidR="008837FC" w:rsidRPr="008837FC" w:rsidTr="001A7B45">
        <w:trPr>
          <w:jc w:val="center"/>
        </w:trPr>
        <w:tc>
          <w:tcPr>
            <w:tcW w:w="4876" w:type="dxa"/>
          </w:tcPr>
          <w:p w:rsidR="004C48D5" w:rsidRPr="008837FC" w:rsidRDefault="004C48D5" w:rsidP="001A7B45">
            <w:pPr>
              <w:pStyle w:val="Normal6a"/>
            </w:pPr>
          </w:p>
        </w:tc>
        <w:tc>
          <w:tcPr>
            <w:tcW w:w="4876" w:type="dxa"/>
          </w:tcPr>
          <w:p w:rsidR="004C48D5" w:rsidRPr="008837FC" w:rsidRDefault="009A34F8" w:rsidP="001A7B45">
            <w:pPr>
              <w:pStyle w:val="Normal6a"/>
              <w:rPr>
                <w:b/>
                <w:i/>
              </w:rPr>
            </w:pPr>
            <w:r w:rsidRPr="008837FC">
              <w:rPr>
                <w:b/>
                <w:i/>
              </w:rPr>
              <w:t>_______________________</w:t>
            </w:r>
          </w:p>
        </w:tc>
      </w:tr>
      <w:tr w:rsidR="008837FC" w:rsidRPr="008837FC" w:rsidTr="001A7B45">
        <w:trPr>
          <w:jc w:val="center"/>
        </w:trPr>
        <w:tc>
          <w:tcPr>
            <w:tcW w:w="4876" w:type="dxa"/>
          </w:tcPr>
          <w:p w:rsidR="004C48D5" w:rsidRPr="008837FC" w:rsidRDefault="004C48D5" w:rsidP="001A7B45">
            <w:pPr>
              <w:pStyle w:val="Normal6a"/>
            </w:pPr>
          </w:p>
        </w:tc>
        <w:tc>
          <w:tcPr>
            <w:tcW w:w="4876" w:type="dxa"/>
          </w:tcPr>
          <w:p w:rsidR="004C48D5" w:rsidRPr="008837FC" w:rsidRDefault="009A34F8" w:rsidP="001A7B45">
            <w:pPr>
              <w:pStyle w:val="Normal6a"/>
              <w:rPr>
                <w:b/>
                <w:i/>
              </w:rPr>
            </w:pPr>
            <w:r w:rsidRPr="008837FC">
              <w:rPr>
                <w:b/>
                <w:i/>
                <w:vertAlign w:val="superscript"/>
              </w:rPr>
              <w:t>1a</w:t>
            </w:r>
            <w:r w:rsidRPr="008837FC">
              <w:rPr>
                <w:b/>
                <w:i/>
              </w:rPr>
              <w:t xml:space="preserve">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 29.6.2013., str. 19.).</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Joëlle Mélin, Catherine Griset, Aurelia Beigneux</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potiču se na usklađenost, u mjeri u kojoj je</w:t>
            </w:r>
            <w:r w:rsidRPr="008837FC">
              <w:t xml:space="preserve"> </w:t>
            </w:r>
            <w:r w:rsidRPr="008837FC">
              <w:rPr>
                <w:b/>
                <w:i/>
              </w:rPr>
              <w:t xml:space="preserve">to </w:t>
            </w:r>
            <w:r w:rsidRPr="008837FC">
              <w:t xml:space="preserve">moguće, </w:t>
            </w:r>
            <w:r w:rsidRPr="008837FC">
              <w:rPr>
                <w:b/>
                <w:i/>
              </w:rPr>
              <w:t>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w:t>
            </w:r>
            <w:r w:rsidRPr="008837FC">
              <w:t xml:space="preserve"> aktivnosti </w:t>
            </w:r>
            <w:r w:rsidRPr="008837FC">
              <w:rPr>
                <w:b/>
                <w:i/>
              </w:rPr>
              <w:t>koje su štetne za okoliš, a posebno sektorima obuhvaćenima Sustavom EU-a za trgovanje emisijama (EU ETS), potiču se da u budućnosti donesu planove zelene tranzicije.</w:t>
            </w:r>
            <w:r w:rsidRPr="008837FC">
              <w:t xml:space="preserve"> </w:t>
            </w:r>
            <w:r w:rsidRPr="008837FC">
              <w:rPr>
                <w:b/>
                <w:i/>
              </w:rPr>
              <w:t>Društva se potiče i da napreduju u svojoj digitalnoj transformaciji. Za potrebe ovih tranzicija društva na raspolaganju imaju i tehničku pomoć.</w:t>
            </w:r>
          </w:p>
        </w:tc>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obvezuju se na zadržavanje i otvaranje što većeg broja održivih i kvalitetnih radnih mjesta u okviru svojih</w:t>
            </w:r>
            <w:r w:rsidRPr="008837FC">
              <w:t xml:space="preserve"> djelatnosti </w:t>
            </w:r>
            <w:r w:rsidRPr="008837FC">
              <w:rPr>
                <w:b/>
                <w:i/>
              </w:rPr>
              <w:t>na području EU-a.</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66</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Sirpa Pietikäinen</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 društva na koja su usmjereni fondovi, subjekti posebne namjene ili platforme za ulaganja </w:t>
            </w:r>
            <w:r w:rsidRPr="008837FC">
              <w:rPr>
                <w:b/>
                <w:i/>
              </w:rPr>
              <w:t>potiču se na</w:t>
            </w:r>
            <w:r w:rsidRPr="008837FC">
              <w:t xml:space="preserve"> usklađenost, </w:t>
            </w:r>
            <w:r w:rsidRPr="008837FC">
              <w:rPr>
                <w:b/>
                <w:i/>
              </w:rPr>
              <w:t>u mjeri u kojoj je</w:t>
            </w:r>
            <w:r w:rsidRPr="008837FC">
              <w:t xml:space="preserve"> </w:t>
            </w:r>
            <w:r w:rsidRPr="008837FC">
              <w:rPr>
                <w:b/>
                <w:i/>
              </w:rPr>
              <w:t>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w:t>
            </w:r>
            <w:r w:rsidRPr="008837FC">
              <w:rPr>
                <w:b/>
                <w:i/>
              </w:rPr>
              <w:t xml:space="preserve"> potiču se</w:t>
            </w:r>
            <w:r w:rsidRPr="008837FC">
              <w:t xml:space="preserve"> da u </w:t>
            </w:r>
            <w:r w:rsidRPr="008837FC">
              <w:rPr>
                <w:b/>
                <w:i/>
              </w:rPr>
              <w:t>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F42C46">
            <w:pPr>
              <w:pStyle w:val="Normal6a"/>
            </w:pPr>
            <w:r w:rsidRPr="008837FC">
              <w:t>–</w:t>
            </w:r>
            <w:r w:rsidRPr="008837FC">
              <w:tab/>
              <w:t>društva na koja su usmjereni fondovi, subjekti posebne namjene ili platforme za ulaganja usklađena su s minimalnim društvenim i ekološkim mjerama visoke razine u skladu sa smjernicama dobivenima od Upravljačkog odbora</w:t>
            </w:r>
            <w:r w:rsidRPr="008837FC">
              <w:rPr>
                <w:b/>
                <w:i/>
              </w:rPr>
              <w:t xml:space="preserve"> i na temelju smjernica OECD-a za multinacionalna društva, smjernica OECD-a o postupanju s dužnom pažnjom za odgovorno poslovno ponašanje, vodećim načelima UN-a u pogledu poslovanja i ljudskih prava te načela „ne nanosi bitnu štetu“ iz Uredbe (EU) 2019/2088 Europskog parlamenta i Vijeća članka 2. točke 17.</w:t>
            </w:r>
            <w:r w:rsidRPr="008837FC">
              <w:rPr>
                <w:b/>
                <w:i/>
                <w:vertAlign w:val="superscript"/>
              </w:rPr>
              <w:t>1a</w:t>
            </w:r>
            <w:r w:rsidRPr="008837FC">
              <w:t xml:space="preserve">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 obuhvaćenima Sustavom EU-a za trgovanje emisijama (EU ETS)</w:t>
            </w:r>
            <w:r w:rsidRPr="008837FC">
              <w:rPr>
                <w:b/>
                <w:i/>
              </w:rPr>
              <w:t xml:space="preserve"> i sektori obuhvaćeni Uredbom (EU) 2020/852</w:t>
            </w:r>
            <w:r w:rsidRPr="008837FC">
              <w:t xml:space="preserve">, </w:t>
            </w:r>
            <w:r w:rsidRPr="008837FC">
              <w:rPr>
                <w:b/>
                <w:i/>
              </w:rPr>
              <w:t xml:space="preserve">kako bi mogli primiti potporu, </w:t>
            </w:r>
            <w:r w:rsidRPr="008837FC">
              <w:t xml:space="preserve">donose planove zelene tranzicije </w:t>
            </w:r>
            <w:r w:rsidRPr="008837FC">
              <w:rPr>
                <w:b/>
                <w:i/>
              </w:rPr>
              <w:t>koji su vremenski ograničeni, znanstveno utemeljeni te usklađeni s ciljem Pariškog sporazuma u pogledu ograničenja temperature na 1,5°C iznad razine u predindustrijskom razdoblju.</w:t>
            </w:r>
            <w:r w:rsidRPr="008837FC">
              <w:t xml:space="preserve"> Društva se potiče i da napreduju u svojoj digitalnoj transformaciji. Za potrebe ovih tranzicija društva na raspolaganju imaju i tehničku pomoć.</w:t>
            </w:r>
          </w:p>
        </w:tc>
      </w:tr>
      <w:tr w:rsidR="008837FC" w:rsidRPr="008837FC" w:rsidTr="001A7B45">
        <w:trPr>
          <w:jc w:val="center"/>
        </w:trPr>
        <w:tc>
          <w:tcPr>
            <w:tcW w:w="4876" w:type="dxa"/>
          </w:tcPr>
          <w:p w:rsidR="000748A5" w:rsidRPr="008837FC" w:rsidRDefault="000748A5" w:rsidP="001A7B45">
            <w:pPr>
              <w:pStyle w:val="Normal6a"/>
            </w:pPr>
          </w:p>
        </w:tc>
        <w:tc>
          <w:tcPr>
            <w:tcW w:w="4876" w:type="dxa"/>
          </w:tcPr>
          <w:p w:rsidR="000748A5" w:rsidRPr="008837FC" w:rsidRDefault="009A34F8" w:rsidP="000748A5">
            <w:pPr>
              <w:pStyle w:val="Normal6a"/>
            </w:pPr>
            <w:r w:rsidRPr="008837FC">
              <w:t>__________________________</w:t>
            </w:r>
          </w:p>
        </w:tc>
      </w:tr>
      <w:tr w:rsidR="008837FC" w:rsidRPr="008837FC" w:rsidTr="001A7B45">
        <w:trPr>
          <w:jc w:val="center"/>
        </w:trPr>
        <w:tc>
          <w:tcPr>
            <w:tcW w:w="4876" w:type="dxa"/>
          </w:tcPr>
          <w:p w:rsidR="000748A5" w:rsidRPr="008837FC" w:rsidRDefault="000748A5" w:rsidP="001A7B45">
            <w:pPr>
              <w:pStyle w:val="Normal6a"/>
            </w:pPr>
          </w:p>
        </w:tc>
        <w:tc>
          <w:tcPr>
            <w:tcW w:w="4876" w:type="dxa"/>
          </w:tcPr>
          <w:p w:rsidR="000748A5" w:rsidRPr="008837FC" w:rsidRDefault="009A34F8" w:rsidP="000748A5">
            <w:pPr>
              <w:pStyle w:val="Normal6a"/>
              <w:rPr>
                <w:b/>
                <w:i/>
              </w:rPr>
            </w:pPr>
            <w:r w:rsidRPr="008837FC">
              <w:rPr>
                <w:b/>
                <w:i/>
                <w:vertAlign w:val="superscript"/>
              </w:rPr>
              <w:t>1a</w:t>
            </w:r>
            <w:r w:rsidRPr="008837FC">
              <w:rPr>
                <w:b/>
                <w:i/>
              </w:rPr>
              <w:t xml:space="preserve"> Uredba (EU) br. 2019/2088 Europskog parlamenta i Vijeća od 27. studenoga 2019. o objavama povezanim s održivosti u sektoru financijskih usluga (SL L 317, 9.12.2019., str. 1).</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67</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Pascal Canfin, Martin Hojsík, Frédérique Ries, Linea Søgaard-Lidell, Sophia in 't Veld, Nicolae Ştefănuță, Catherine Chabaud, María Soraya Rodríguez Ramos, Chrysoula Zacharopoulou, Nils Torvalds, Billy Kelleher</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društva na koja su usmjereni fondovi, subjekti posebne namjene ili platforme za ulaganja potiču se na usklađenost</w:t>
            </w:r>
            <w:r w:rsidRPr="008837FC">
              <w:rPr>
                <w:b/>
                <w:i/>
              </w:rPr>
              <w:t>, u mjeri u kojoj je 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w:t>
            </w:r>
            <w:r w:rsidRPr="008837FC">
              <w:rPr>
                <w:b/>
                <w:i/>
              </w:rPr>
              <w:t>potiču se</w:t>
            </w:r>
            <w:r w:rsidRPr="008837FC">
              <w:t xml:space="preserve"> </w:t>
            </w:r>
            <w:r w:rsidRPr="008837FC">
              <w:rPr>
                <w:b/>
                <w:i/>
              </w:rPr>
              <w:t>da</w:t>
            </w:r>
            <w:r w:rsidRPr="008837FC">
              <w:t xml:space="preserve">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037B5F">
            <w:pPr>
              <w:pStyle w:val="Normal6a"/>
            </w:pPr>
            <w:r w:rsidRPr="008837FC">
              <w:t xml:space="preserve">— društva na koja su usmjereni fondovi, subjekti posebne namjene ili platforme za ulaganja usklađeni su s minimalnim društvenim i ekološkim mjerama visoke razine u skladu sa smjernicama dobivenima od Upravljačkog odbora. Te smjernice trebale bi uključivati </w:t>
            </w:r>
            <w:r w:rsidRPr="008837FC">
              <w:rPr>
                <w:b/>
                <w:i/>
              </w:rPr>
              <w:t>poštovanje načela „ne nanosi bitnu štetu“ iz Uredbe (EU) 2020/852 i</w:t>
            </w:r>
            <w:r w:rsidRPr="008837FC">
              <w:t xml:space="preserve">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donose planove zelene tranzicije </w:t>
            </w:r>
            <w:r w:rsidRPr="008837FC">
              <w:rPr>
                <w:b/>
                <w:i/>
              </w:rPr>
              <w:t>kojima se jednom godišnje prikazuje na koji se način društvo koristi primljenom javnom potporom u svrhu usklađivanja svojih operacija s klimatskim i okolišnim ciljevima Unije te Pariškim sporazumom.</w:t>
            </w:r>
            <w:r w:rsidRPr="008837FC">
              <w:t xml:space="preserve"> Društva se potiče da napreduju u svojoj digitalnoj transformaciji. Za potrebe ovih tranzicija društva na raspolaganju imaju i tehničku pomoć.</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lastRenderedPageBreak/>
        <w:t>&lt;Amend&gt;</w:t>
      </w:r>
      <w:r w:rsidRPr="008837FC">
        <w:t>Amandman</w:t>
      </w:r>
      <w:r w:rsidRPr="008837FC">
        <w:tab/>
      </w:r>
      <w:r w:rsidRPr="008837FC">
        <w:tab/>
      </w:r>
      <w:r w:rsidRPr="008837FC">
        <w:rPr>
          <w:rStyle w:val="HideTWBExt"/>
          <w:b w:val="0"/>
          <w:noProof w:val="0"/>
          <w:color w:val="auto"/>
        </w:rPr>
        <w:t>&lt;NumAm&gt;</w:t>
      </w:r>
      <w:r w:rsidRPr="008837FC">
        <w:t>68</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Lídia Pereira, Peter Liese, Pernille Weiss, Inese Vaidere, Sirpa Pietikäinen, Cindy Franssen, 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 xml:space="preserve">— društva na koja su usmjereni fondovi, subjekti posebne namjene ili platforme za ulaganja </w:t>
            </w:r>
            <w:r w:rsidRPr="008837FC">
              <w:rPr>
                <w:b/>
                <w:i/>
              </w:rPr>
              <w:t>potiču se na</w:t>
            </w:r>
            <w:r w:rsidRPr="008837FC">
              <w:t xml:space="preserve"> usklađenost, </w:t>
            </w:r>
            <w:r w:rsidRPr="008837FC">
              <w:rPr>
                <w:b/>
                <w:i/>
              </w:rPr>
              <w:t>u mjeri u kojoj je to moguće,</w:t>
            </w:r>
            <w:r w:rsidRPr="008837FC">
              <w:t xml:space="preserve"> s minimalnim društvenim i ekološkim mjerama visoke razine u skladu sa smjernicama dobivenima od Upravljačkog odbora. Te smjernice </w:t>
            </w:r>
            <w:r w:rsidRPr="008837FC">
              <w:rPr>
                <w:b/>
                <w:i/>
              </w:rPr>
              <w:t>trebale bi</w:t>
            </w:r>
            <w:r w:rsidRPr="008837FC">
              <w:t xml:space="preserve">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w:t>
            </w:r>
            <w:r w:rsidRPr="008837FC">
              <w:rPr>
                <w:b/>
                <w:i/>
              </w:rPr>
              <w:t>potiču se da</w:t>
            </w:r>
            <w:r w:rsidRPr="008837FC">
              <w:t xml:space="preserve"> u budućnosti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2A5080">
            <w:pPr>
              <w:pStyle w:val="Normal6a"/>
            </w:pPr>
            <w:r w:rsidRPr="008837FC">
              <w:t xml:space="preserve">— društva na koja su usmjereni fondovi, subjekti posebne namjene ili platforme za ulaganja usklađeni su, </w:t>
            </w:r>
            <w:r w:rsidRPr="008837FC">
              <w:rPr>
                <w:b/>
                <w:i/>
              </w:rPr>
              <w:t>prema potrebi</w:t>
            </w:r>
            <w:r w:rsidRPr="008837FC">
              <w:t xml:space="preserve">, s minimalnim društvenim i ekološkim mjerama visoke razine u skladu sa smjernicama dobivenima od Upravljačkog odbora. Te su smjernice </w:t>
            </w:r>
            <w:r w:rsidRPr="008837FC">
              <w:rPr>
                <w:b/>
                <w:i/>
              </w:rPr>
              <w:t>u potpunosti usklađene s klimatskim i okolišnim ciljevima Unije i</w:t>
            </w:r>
            <w:r w:rsidRPr="008837FC">
              <w:t xml:space="preserve"> uključuju odgovarajuće odredbe za izbjegavanje nepotrebnih administrativnih tereta, uzimajući u obzir veličinu društava i uključujući manje stroge odredbe za MSP-ove. Društva s određenom razinom izloženosti unaprijed utvrđenom popisu aktivnosti koje su štetne za okoliš, </w:t>
            </w:r>
            <w:r w:rsidRPr="008837FC">
              <w:rPr>
                <w:b/>
                <w:i/>
              </w:rPr>
              <w:t>u skladu s Uredbom (EU) 2020/852</w:t>
            </w:r>
            <w:r w:rsidRPr="008837FC">
              <w:t xml:space="preserve">, a posebno sektori obuhvaćeni Sustavom EU-a za trgovanje emisijama (EU ETS) u budućnosti donose </w:t>
            </w:r>
            <w:r w:rsidRPr="008837FC">
              <w:rPr>
                <w:b/>
                <w:i/>
              </w:rPr>
              <w:t xml:space="preserve">planove </w:t>
            </w:r>
            <w:r w:rsidRPr="008837FC">
              <w:t>zelene tranzicije</w:t>
            </w:r>
            <w:r w:rsidRPr="008837FC">
              <w:rPr>
                <w:b/>
                <w:i/>
              </w:rPr>
              <w:t xml:space="preserve"> u skladu s klimatskim i okolišnim ciljevima Unije te nacionalnim </w:t>
            </w:r>
            <w:r w:rsidRPr="008837FC">
              <w:t>planovima</w:t>
            </w:r>
            <w:r w:rsidRPr="008837FC">
              <w:rPr>
                <w:b/>
                <w:i/>
              </w:rPr>
              <w:t xml:space="preserve"> za klimatsku i energetsku politiku.</w:t>
            </w:r>
            <w:r w:rsidRPr="008837FC">
              <w:t xml:space="preserv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69</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Simona Bonafè, Javi López, César Luena, Manuel Pizarro, Rovana Plumb, Christel Schaldemose, Monika Beňová, Milan Brglez, Sara Cerdas</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lastRenderedPageBreak/>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društva na koja su usmjereni fondovi, subjekti posebne namjene ili platforme za ulaganja potiču se na usklađenost</w:t>
            </w:r>
            <w:r w:rsidRPr="008837FC">
              <w:rPr>
                <w:b/>
                <w:i/>
              </w:rPr>
              <w:t>, u mjeri u kojoj je 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2A5080">
            <w:pPr>
              <w:pStyle w:val="Normal6a"/>
            </w:pPr>
            <w:r w:rsidRPr="008837FC">
              <w:t>–</w:t>
            </w:r>
            <w:r w:rsidRPr="008837FC">
              <w:tab/>
              <w:t xml:space="preserve">društva na koja su usmjereni fondovi, subjekti posebne namjene ili platforme za ulaganja potiču se na usklađenost s minimalnim društvenim i ekološkim mjerama visoke razine u skladu sa smjernicama dobivenima od Upravljačkog odbora </w:t>
            </w:r>
            <w:r w:rsidRPr="008837FC">
              <w:rPr>
                <w:b/>
                <w:i/>
              </w:rPr>
              <w:t>te u skladu s europskim zelenim planom i obvezom ostvarenja klimatske neutralnosti najkasnije do 2050 koja je u njemu sadržana.</w:t>
            </w:r>
            <w:r w:rsidRPr="008837FC">
              <w:t xml:space="preserve">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u budućnosti donesu planove zelene tranzicije koji su </w:t>
            </w:r>
            <w:r w:rsidRPr="008837FC">
              <w:rPr>
                <w:b/>
                <w:i/>
              </w:rPr>
              <w:t>mjerljivi u odnosu na kriterije tehničke provjere predviđene Uredbom (EU) 2020/852.</w:t>
            </w:r>
            <w:r w:rsidRPr="008837FC">
              <w:t xml:space="preserv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70</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8853B9">
        <w:trPr>
          <w:trHeight w:hRule="exact" w:val="240"/>
          <w:jc w:val="center"/>
        </w:trPr>
        <w:tc>
          <w:tcPr>
            <w:tcW w:w="9752" w:type="dxa"/>
            <w:gridSpan w:val="2"/>
          </w:tcPr>
          <w:p w:rsidR="00AE114F" w:rsidRPr="008837FC" w:rsidRDefault="00AE114F" w:rsidP="001A7B45"/>
        </w:tc>
      </w:tr>
      <w:tr w:rsidR="008837FC" w:rsidRPr="008837FC" w:rsidTr="008853B9">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8853B9">
        <w:trPr>
          <w:jc w:val="center"/>
        </w:trPr>
        <w:tc>
          <w:tcPr>
            <w:tcW w:w="4876" w:type="dxa"/>
          </w:tcPr>
          <w:p w:rsidR="00AE114F" w:rsidRPr="008837FC" w:rsidRDefault="009A34F8" w:rsidP="001A7B45">
            <w:pPr>
              <w:pStyle w:val="Normal6a"/>
            </w:pPr>
            <w:r w:rsidRPr="008837FC">
              <w:lastRenderedPageBreak/>
              <w:t>— društva na koja su usmjereni fondovi, subjekti posebne namjene ili platforme za ulaganja potiču se na usklađenost, u mjeri u kojoj je to moguće,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u budućnosti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potiču se na usklađenost, u mjeri u kojoj je to moguće,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u budućnosti donesu planove zelene tranzicije. Društva su </w:t>
            </w:r>
            <w:r w:rsidRPr="008837FC">
              <w:rPr>
                <w:b/>
                <w:i/>
              </w:rPr>
              <w:t xml:space="preserve">obvezna poštovati načela kolektivnog pregovaranja tijekom poslovanju u zemljama u kojima su takva načela važeća. Društva, kao primatelji sredstava, ne isplaćuju bonuse osoblju ili dividendu dioničarima. </w:t>
            </w:r>
            <w:r w:rsidRPr="008837FC">
              <w:t>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71</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Alexandr Vondra</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potiču se na usklađenost, u mjeri u kojoj je to moguće, s minimalnim društvenim i ekološkim </w:t>
            </w:r>
            <w:r w:rsidRPr="008837FC">
              <w:lastRenderedPageBreak/>
              <w:t xml:space="preserve">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u budućnosti donesu planove </w:t>
            </w:r>
            <w:r w:rsidRPr="008837FC">
              <w:rPr>
                <w:b/>
                <w:i/>
              </w:rPr>
              <w:t>zelene tranzicije</w:t>
            </w:r>
            <w:r w:rsidRPr="008837FC">
              <w:t>. Društva se potiče i da napreduju u svojoj digitalnoj transformaciji. Za potrebe ovih tranzicija društva na raspolaganju imaju i tehničku pomoć.</w:t>
            </w:r>
          </w:p>
        </w:tc>
        <w:tc>
          <w:tcPr>
            <w:tcW w:w="4876" w:type="dxa"/>
          </w:tcPr>
          <w:p w:rsidR="00AE114F" w:rsidRPr="008837FC" w:rsidRDefault="009A34F8" w:rsidP="002A5080">
            <w:pPr>
              <w:pStyle w:val="Normal6a"/>
            </w:pPr>
            <w:r w:rsidRPr="008837FC">
              <w:lastRenderedPageBreak/>
              <w:t>—</w:t>
            </w:r>
            <w:r w:rsidRPr="008837FC">
              <w:tab/>
              <w:t xml:space="preserve">društva na koja su usmjereni fondovi, subjekti posebne namjene ili platforme za ulaganja potiču se na usklađenost, u mjeri u kojoj je to moguće, s minimalnim društvenim i ekološkim </w:t>
            </w:r>
            <w:r w:rsidRPr="008837FC">
              <w:lastRenderedPageBreak/>
              <w:t xml:space="preserve">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potiču se da, u budućnosti, donesu planove </w:t>
            </w:r>
            <w:r w:rsidRPr="008837FC">
              <w:rPr>
                <w:b/>
                <w:i/>
              </w:rPr>
              <w:t>odstupanja od takvih aktivnosti prema manje štetnim alternativnim aktivnostima, u skladu s ciljem Pariškog sporazuma u pogledu temperature, što uključuje i prirodni plin kao prijelaznu vrsta goriva.</w:t>
            </w:r>
            <w:r w:rsidRPr="008837FC">
              <w:t xml:space="preserv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72</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Michal Wiezik</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potiču se na</w:t>
            </w:r>
            <w:r w:rsidRPr="008837FC">
              <w:t xml:space="preserve"> usklađenost</w:t>
            </w:r>
            <w:r w:rsidRPr="008837FC">
              <w:rPr>
                <w:b/>
                <w:i/>
              </w:rPr>
              <w:t>, u mjeri u kojoj je 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w:t>
            </w:r>
            <w:r w:rsidRPr="008837FC">
              <w:lastRenderedPageBreak/>
              <w:t xml:space="preserve">uključujući manje stroge odredbe za MSP-ove. Društva s određenom razinom izloženosti unaprijed utvrđenom popisu aktivnosti koje su štetne za okoliš, a posebno sektorima obuhvaćenima Sustavom EU-a za trgovanje emisijama (EU ETS), </w:t>
            </w:r>
            <w:r w:rsidRPr="008837FC">
              <w:rPr>
                <w:b/>
                <w:i/>
              </w:rPr>
              <w:t>potiču se</w:t>
            </w:r>
            <w:r w:rsidRPr="008837FC">
              <w:t xml:space="preserve"> </w:t>
            </w:r>
            <w:r w:rsidRPr="008837FC">
              <w:rPr>
                <w:b/>
                <w:i/>
              </w:rPr>
              <w:t>da</w:t>
            </w:r>
            <w:r w:rsidRPr="008837FC">
              <w:t xml:space="preserve">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1A7B45">
            <w:pPr>
              <w:pStyle w:val="Normal6a"/>
            </w:pPr>
            <w:r w:rsidRPr="008837FC">
              <w:lastRenderedPageBreak/>
              <w:t>—</w:t>
            </w:r>
            <w:r w:rsidRPr="008837FC">
              <w:tab/>
              <w:t>društva na koja su usmjereni fondovi, subjekti posebne namjene ili platforme za ulaganja usklađena su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w:t>
            </w:r>
            <w:r w:rsidRPr="008837FC">
              <w:lastRenderedPageBreak/>
              <w:t xml:space="preserve">ove. Društva s određenom razinom izloženosti unaprijed utvrđenom popisu aktivnosti koje su štetne za okoliš, a posebno sektorima obuhvaćenima Sustavom EU-a za trgovanje emisijama (EU ETS), donose planove zelene tranzicije </w:t>
            </w:r>
            <w:r w:rsidRPr="008837FC">
              <w:rPr>
                <w:b/>
                <w:i/>
              </w:rPr>
              <w:t>i planove djelovanja za donošenje klimatskih ciljeva i dokazivanje usklađenosti svojih poslovnog modela i poslovne aktivnosti s ciljevima utvrđenima u Uredbi (EU) 2018/1999 Europskog parlamenta i Vijeća poglavlju II.</w:t>
            </w:r>
            <w:r w:rsidRPr="008837FC">
              <w:rPr>
                <w:b/>
                <w:i/>
                <w:vertAlign w:val="superscript"/>
              </w:rPr>
              <w:t>1a</w:t>
            </w:r>
            <w:r w:rsidRPr="008837FC">
              <w:t xml:space="preserve"> Društva se potiče i da napreduju u svojoj digitalnoj transformaciji. Za potrebe ovih tranzicija društva na raspolaganju imaju i tehničku pomoć.</w:t>
            </w:r>
          </w:p>
        </w:tc>
      </w:tr>
      <w:tr w:rsidR="008837FC" w:rsidRPr="008837FC" w:rsidTr="001A7B45">
        <w:trPr>
          <w:jc w:val="center"/>
        </w:trPr>
        <w:tc>
          <w:tcPr>
            <w:tcW w:w="4876" w:type="dxa"/>
          </w:tcPr>
          <w:p w:rsidR="00166051" w:rsidRPr="008837FC" w:rsidRDefault="00166051" w:rsidP="001A7B45">
            <w:pPr>
              <w:pStyle w:val="Normal6a"/>
            </w:pPr>
          </w:p>
        </w:tc>
        <w:tc>
          <w:tcPr>
            <w:tcW w:w="4876" w:type="dxa"/>
          </w:tcPr>
          <w:p w:rsidR="00166051" w:rsidRPr="008837FC" w:rsidRDefault="009A34F8" w:rsidP="001A7B45">
            <w:pPr>
              <w:pStyle w:val="Normal6a"/>
            </w:pPr>
            <w:r w:rsidRPr="008837FC">
              <w:t>_________________________</w:t>
            </w:r>
          </w:p>
        </w:tc>
      </w:tr>
      <w:tr w:rsidR="008837FC" w:rsidRPr="008837FC" w:rsidTr="001A7B45">
        <w:trPr>
          <w:jc w:val="center"/>
        </w:trPr>
        <w:tc>
          <w:tcPr>
            <w:tcW w:w="4876" w:type="dxa"/>
          </w:tcPr>
          <w:p w:rsidR="00166051" w:rsidRPr="008837FC" w:rsidRDefault="00166051" w:rsidP="001A7B45">
            <w:pPr>
              <w:pStyle w:val="Normal6a"/>
            </w:pPr>
          </w:p>
        </w:tc>
        <w:tc>
          <w:tcPr>
            <w:tcW w:w="4876" w:type="dxa"/>
          </w:tcPr>
          <w:p w:rsidR="00166051" w:rsidRPr="008837FC" w:rsidRDefault="009A34F8" w:rsidP="001A7B45">
            <w:pPr>
              <w:pStyle w:val="Normal6a"/>
              <w:rPr>
                <w:b/>
                <w:i/>
              </w:rPr>
            </w:pPr>
            <w:r w:rsidRPr="008837FC">
              <w:rPr>
                <w:b/>
                <w:i/>
                <w:vertAlign w:val="superscript"/>
              </w:rPr>
              <w:t>1a</w:t>
            </w:r>
            <w:r w:rsidRPr="008837FC">
              <w:rPr>
                <w:b/>
                <w:i/>
              </w:rPr>
              <w:t xml:space="preserve"> 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str. 1.).</w:t>
            </w:r>
          </w:p>
        </w:tc>
      </w:tr>
    </w:tbl>
    <w:p w:rsidR="00AE114F" w:rsidRPr="008837FC" w:rsidRDefault="009A34F8" w:rsidP="00AE114F">
      <w:pPr>
        <w:pStyle w:val="AmOrLang"/>
      </w:pPr>
      <w:r w:rsidRPr="008837FC">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73</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Delara Burkhardt</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w:t>
            </w:r>
            <w:r w:rsidRPr="008837FC">
              <w:lastRenderedPageBreak/>
              <w:t xml:space="preserve">platforme za ulaganja </w:t>
            </w:r>
            <w:r w:rsidRPr="008837FC">
              <w:rPr>
                <w:b/>
                <w:i/>
              </w:rPr>
              <w:t>potiču se na</w:t>
            </w:r>
            <w:r w:rsidRPr="008837FC">
              <w:t xml:space="preserve"> usklađenost</w:t>
            </w:r>
            <w:r w:rsidRPr="008837FC">
              <w:rPr>
                <w:b/>
                <w:i/>
              </w:rPr>
              <w:t>, u mjeri u kojoj je 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w:t>
            </w:r>
            <w:r w:rsidRPr="008837FC">
              <w:rPr>
                <w:b/>
                <w:i/>
              </w:rPr>
              <w:t>potiču se</w:t>
            </w:r>
            <w:r w:rsidRPr="008837FC">
              <w:t xml:space="preserve"> </w:t>
            </w:r>
            <w:r w:rsidRPr="008837FC">
              <w:rPr>
                <w:b/>
                <w:i/>
              </w:rPr>
              <w:t>da</w:t>
            </w:r>
            <w:r w:rsidRPr="008837FC">
              <w:t xml:space="preserve">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1A7B45">
            <w:pPr>
              <w:pStyle w:val="Normal6a"/>
            </w:pPr>
            <w:r w:rsidRPr="008837FC">
              <w:lastRenderedPageBreak/>
              <w:t>—</w:t>
            </w:r>
            <w:r w:rsidRPr="008837FC">
              <w:tab/>
              <w:t xml:space="preserve">društva na koja su usmjereni fondovi, subjekti posebne namjene ili </w:t>
            </w:r>
            <w:r w:rsidRPr="008837FC">
              <w:lastRenderedPageBreak/>
              <w:t>platforme za ulaganja usklađena su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aktivnosti koje su štetne za okoliš, a posebno sektorima obuhvaćenima Sustavom EU-a za trgovanje emisijama (EU ETS), donose planove zelene tranzicije.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74</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Sardone, Vincenzo Sofo</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1A7B45">
        <w:trPr>
          <w:trHeight w:hRule="exact" w:val="240"/>
          <w:jc w:val="center"/>
        </w:trPr>
        <w:tc>
          <w:tcPr>
            <w:tcW w:w="9752" w:type="dxa"/>
            <w:gridSpan w:val="2"/>
          </w:tcPr>
          <w:p w:rsidR="00AE114F" w:rsidRPr="008837FC" w:rsidRDefault="00AE114F" w:rsidP="001A7B45"/>
        </w:tc>
      </w:tr>
      <w:tr w:rsidR="008837FC" w:rsidRPr="008837FC" w:rsidTr="001A7B45">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1A7B45">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potiču se na</w:t>
            </w:r>
            <w:r w:rsidRPr="008837FC">
              <w:t xml:space="preserve"> usklađenost</w:t>
            </w:r>
            <w:r w:rsidRPr="008837FC">
              <w:rPr>
                <w:b/>
                <w:i/>
              </w:rPr>
              <w:t>, u mjeri u kojoj je to moguće,</w:t>
            </w:r>
            <w:r w:rsidRPr="008837FC">
              <w:t xml:space="preserve">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w:t>
            </w:r>
            <w:r w:rsidRPr="008837FC">
              <w:lastRenderedPageBreak/>
              <w:t>izloženosti unaprijed utvrđenom popisu aktivnosti koje su štetne za okoliš, a posebno sektorima obuhvaćenima Sustavom EU-a za trgovanje emisijama (EU ETS), potiču se da u budućnosti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1A7B45">
            <w:pPr>
              <w:pStyle w:val="Normal6a"/>
            </w:pPr>
            <w:r w:rsidRPr="008837FC">
              <w:lastRenderedPageBreak/>
              <w:t>—</w:t>
            </w:r>
            <w:r w:rsidRPr="008837FC">
              <w:tab/>
              <w:t xml:space="preserve">društva na koja su usmjereni fondovi, subjekti posebne namjene ili platforme za ulaganja usklađena su s minimalnim društvenim i ekološkim mjerama visoke razine u skladu sa smjernicama dobivenima od Upravljačkog odbora. Te smjernice trebale bi uključivati odgovarajuće odredbe za izbjegavanje nepotrebnih administrativnih tereta, uzimajući u obzir veličinu društava i uključujući manje stroge odredbe za MSP-ove. Društva s određenom razinom izloženosti unaprijed utvrđenom popisu </w:t>
            </w:r>
            <w:r w:rsidRPr="008837FC">
              <w:lastRenderedPageBreak/>
              <w:t>aktivnosti koje su štetne za okoliš, a posebno sektorima obuhvaćenima Sustavom EU-a za trgovanje emisijama (EU ETS), potiču se da u budućnosti donesu planove zelene tranzicije.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AE114F" w:rsidRPr="008837FC" w:rsidRDefault="009A34F8" w:rsidP="00AE114F">
      <w:r w:rsidRPr="008837FC">
        <w:rPr>
          <w:rStyle w:val="HideTWBExt"/>
          <w:noProof w:val="0"/>
          <w:color w:val="auto"/>
        </w:rPr>
        <w:t>&lt;/Amend&gt;</w:t>
      </w:r>
    </w:p>
    <w:p w:rsidR="00AE114F" w:rsidRPr="008837FC" w:rsidRDefault="009A34F8" w:rsidP="00AE114F">
      <w:pPr>
        <w:pStyle w:val="AmNumberTabs"/>
      </w:pPr>
      <w:r w:rsidRPr="008837FC">
        <w:rPr>
          <w:rStyle w:val="HideTWBExt"/>
          <w:b w:val="0"/>
          <w:noProof w:val="0"/>
          <w:color w:val="auto"/>
        </w:rPr>
        <w:t>&lt;Amend&gt;</w:t>
      </w:r>
      <w:r w:rsidRPr="008837FC">
        <w:t>Amandman</w:t>
      </w:r>
      <w:r w:rsidRPr="008837FC">
        <w:tab/>
      </w:r>
      <w:r w:rsidRPr="008837FC">
        <w:tab/>
      </w:r>
      <w:r w:rsidRPr="008837FC">
        <w:rPr>
          <w:rStyle w:val="HideTWBExt"/>
          <w:b w:val="0"/>
          <w:noProof w:val="0"/>
          <w:color w:val="auto"/>
        </w:rPr>
        <w:t>&lt;NumAm&gt;</w:t>
      </w:r>
      <w:r w:rsidRPr="008837FC">
        <w:t>75</w:t>
      </w:r>
      <w:r w:rsidRPr="008837FC">
        <w:rPr>
          <w:rStyle w:val="HideTWBExt"/>
          <w:b w:val="0"/>
          <w:noProof w:val="0"/>
          <w:color w:val="auto"/>
        </w:rPr>
        <w:t>&lt;/NumAm&gt;</w:t>
      </w:r>
    </w:p>
    <w:p w:rsidR="00AE114F" w:rsidRPr="008837FC" w:rsidRDefault="009A34F8" w:rsidP="00AE114F">
      <w:pPr>
        <w:pStyle w:val="NormalBold"/>
      </w:pPr>
      <w:r w:rsidRPr="008837FC">
        <w:rPr>
          <w:rStyle w:val="HideTWBExt"/>
          <w:b w:val="0"/>
          <w:noProof w:val="0"/>
          <w:color w:val="auto"/>
        </w:rPr>
        <w:t>&lt;RepeatBlock-By&gt;&lt;Members&gt;</w:t>
      </w:r>
      <w:r w:rsidRPr="008837FC">
        <w:t>Silvia Modig</w:t>
      </w:r>
      <w:r w:rsidRPr="008837FC">
        <w:rPr>
          <w:rStyle w:val="HideTWBExt"/>
          <w:b w:val="0"/>
          <w:noProof w:val="0"/>
          <w:color w:val="auto"/>
        </w:rPr>
        <w:t>&lt;/Members&gt;</w:t>
      </w:r>
    </w:p>
    <w:p w:rsidR="00AE114F" w:rsidRPr="008837FC" w:rsidRDefault="009A34F8" w:rsidP="00AE114F">
      <w:pPr>
        <w:pStyle w:val="NormalBold"/>
      </w:pPr>
      <w:r w:rsidRPr="008837FC">
        <w:rPr>
          <w:rStyle w:val="HideTWBExt"/>
          <w:b w:val="0"/>
          <w:noProof w:val="0"/>
          <w:color w:val="auto"/>
        </w:rPr>
        <w:t>&lt;/RepeatBlock-By&gt;</w:t>
      </w:r>
    </w:p>
    <w:p w:rsidR="00AE114F" w:rsidRPr="008837FC" w:rsidRDefault="009A34F8" w:rsidP="00AE114F">
      <w:pPr>
        <w:pStyle w:val="NormalBold"/>
      </w:pPr>
      <w:r w:rsidRPr="008837FC">
        <w:rPr>
          <w:rStyle w:val="HideTWBExt"/>
          <w:b w:val="0"/>
          <w:noProof w:val="0"/>
          <w:color w:val="auto"/>
        </w:rPr>
        <w:t>&lt;DocAmend&gt;</w:t>
      </w:r>
      <w:r w:rsidRPr="008837FC">
        <w:t>Prijedlog uredbe</w:t>
      </w:r>
      <w:r w:rsidRPr="008837FC">
        <w:rPr>
          <w:rStyle w:val="HideTWBExt"/>
          <w:b w:val="0"/>
          <w:noProof w:val="0"/>
          <w:color w:val="auto"/>
        </w:rPr>
        <w:t>&lt;/DocAmend&gt;</w:t>
      </w:r>
    </w:p>
    <w:p w:rsidR="00AE114F" w:rsidRPr="008837FC" w:rsidRDefault="009A34F8" w:rsidP="00AE114F">
      <w:pPr>
        <w:pStyle w:val="NormalBold"/>
      </w:pPr>
      <w:r w:rsidRPr="008837FC">
        <w:rPr>
          <w:rStyle w:val="HideTWBExt"/>
          <w:b w:val="0"/>
          <w:noProof w:val="0"/>
          <w:color w:val="auto"/>
        </w:rPr>
        <w:t>&lt;Article&gt;</w:t>
      </w:r>
      <w:r w:rsidRPr="008837FC">
        <w:t>Članak 1. stavak 1. točka 31. podtočka 3</w:t>
      </w:r>
      <w:r w:rsidRPr="008837FC">
        <w:rPr>
          <w:rStyle w:val="HideTWBExt"/>
          <w:b w:val="0"/>
          <w:noProof w:val="0"/>
          <w:color w:val="auto"/>
        </w:rPr>
        <w:t>&lt;/Article&gt;</w:t>
      </w:r>
    </w:p>
    <w:p w:rsidR="00AE114F" w:rsidRPr="008837FC" w:rsidRDefault="009A34F8" w:rsidP="00AE114F">
      <w:r w:rsidRPr="008837FC">
        <w:rPr>
          <w:rStyle w:val="HideTWBExt"/>
          <w:noProof w:val="0"/>
          <w:color w:val="auto"/>
        </w:rPr>
        <w:t>&lt;DocAmend2&gt;</w:t>
      </w:r>
      <w:r w:rsidRPr="008837FC">
        <w:t>Uredba (EU) 2015/1017</w:t>
      </w:r>
      <w:r w:rsidRPr="008837FC">
        <w:rPr>
          <w:rStyle w:val="HideTWBExt"/>
          <w:noProof w:val="0"/>
          <w:color w:val="auto"/>
        </w:rPr>
        <w:t>&lt;/DocAmend2&gt;</w:t>
      </w:r>
    </w:p>
    <w:p w:rsidR="00AE114F" w:rsidRPr="008837FC" w:rsidRDefault="009A34F8" w:rsidP="00AE114F">
      <w:r w:rsidRPr="008837FC">
        <w:rPr>
          <w:rStyle w:val="HideTWBExt"/>
          <w:noProof w:val="0"/>
          <w:color w:val="auto"/>
        </w:rPr>
        <w:t>&lt;Article2&gt;</w:t>
      </w:r>
      <w:r w:rsidRPr="008837FC">
        <w:t>Prilog II. – odjeljak 6. – točka d – podtočka 5</w:t>
      </w:r>
      <w:r w:rsidRPr="008837F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37FC" w:rsidRPr="008837FC" w:rsidTr="009A6BDB">
        <w:trPr>
          <w:trHeight w:hRule="exact" w:val="240"/>
          <w:jc w:val="center"/>
        </w:trPr>
        <w:tc>
          <w:tcPr>
            <w:tcW w:w="9752" w:type="dxa"/>
            <w:gridSpan w:val="2"/>
          </w:tcPr>
          <w:p w:rsidR="00AE114F" w:rsidRPr="008837FC" w:rsidRDefault="00AE114F" w:rsidP="001A7B45"/>
        </w:tc>
      </w:tr>
      <w:tr w:rsidR="008837FC" w:rsidRPr="008837FC" w:rsidTr="009A6BDB">
        <w:trPr>
          <w:trHeight w:val="240"/>
          <w:jc w:val="center"/>
        </w:trPr>
        <w:tc>
          <w:tcPr>
            <w:tcW w:w="4876" w:type="dxa"/>
          </w:tcPr>
          <w:p w:rsidR="00AE114F" w:rsidRPr="008837FC" w:rsidRDefault="009A34F8" w:rsidP="001A7B45">
            <w:pPr>
              <w:pStyle w:val="AmColumnHeading"/>
            </w:pPr>
            <w:r w:rsidRPr="008837FC">
              <w:t>Tekst koji je predložila Komisija</w:t>
            </w:r>
          </w:p>
        </w:tc>
        <w:tc>
          <w:tcPr>
            <w:tcW w:w="4876" w:type="dxa"/>
          </w:tcPr>
          <w:p w:rsidR="00AE114F" w:rsidRPr="008837FC" w:rsidRDefault="008837FC" w:rsidP="001A7B45">
            <w:pPr>
              <w:pStyle w:val="AmColumnHeading"/>
            </w:pPr>
            <w:r w:rsidRPr="008837FC">
              <w:t>Izmjena</w:t>
            </w:r>
          </w:p>
        </w:tc>
      </w:tr>
      <w:tr w:rsidR="008837FC" w:rsidRPr="008837FC" w:rsidTr="009A6BDB">
        <w:trPr>
          <w:jc w:val="center"/>
        </w:trPr>
        <w:tc>
          <w:tcPr>
            <w:tcW w:w="4876" w:type="dxa"/>
          </w:tcPr>
          <w:p w:rsidR="00AE114F" w:rsidRPr="008837FC" w:rsidRDefault="009A34F8" w:rsidP="001A7B45">
            <w:pPr>
              <w:pStyle w:val="Normal6a"/>
            </w:pPr>
            <w:r w:rsidRPr="008837FC">
              <w:t>—</w:t>
            </w:r>
            <w:r w:rsidRPr="008837FC">
              <w:tab/>
              <w:t xml:space="preserve">društva na koja su usmjereni fondovi, subjekti posebne namjene ili platforme za ulaganja </w:t>
            </w:r>
            <w:r w:rsidRPr="008837FC">
              <w:rPr>
                <w:b/>
                <w:i/>
              </w:rPr>
              <w:t>potiču se</w:t>
            </w:r>
            <w:r w:rsidRPr="008837FC">
              <w:t xml:space="preserve"> na usklađenost</w:t>
            </w:r>
            <w:r w:rsidRPr="008837FC">
              <w:rPr>
                <w:b/>
                <w:i/>
              </w:rPr>
              <w:t>, u mjeri u kojoj je to moguće,</w:t>
            </w:r>
            <w:r w:rsidRPr="008837FC">
              <w:t xml:space="preserve"> s minimalnim društvenim i ekološkim mjerama visoke razine u skladu sa smjernicama dobivenima od Upravljačkog odbora</w:t>
            </w:r>
            <w:r w:rsidRPr="008837FC">
              <w:rPr>
                <w:b/>
                <w:i/>
              </w:rPr>
              <w:t>. Te smjernice trebale bi uključivati odgovarajuće odredbe za izbjegavanje nepotrebnih administrativnih tereta, uzimajući u obzir veličinu društava i uključujući manje stroge odredbe za MSP-ove.</w:t>
            </w:r>
            <w:r w:rsidRPr="008837FC">
              <w:t xml:space="preserve"> Društva s određenom razinom izloženosti </w:t>
            </w:r>
            <w:r w:rsidRPr="008837FC">
              <w:rPr>
                <w:b/>
                <w:i/>
              </w:rPr>
              <w:t>unaprijed utvrđenom popisu</w:t>
            </w:r>
            <w:r w:rsidRPr="008837FC">
              <w:t xml:space="preserve"> aktivnosti koje su štetne za okoliš, </w:t>
            </w:r>
            <w:r w:rsidRPr="008837FC">
              <w:rPr>
                <w:b/>
                <w:i/>
              </w:rPr>
              <w:t>a posebno sektorima obuhvaćenima Sustavom</w:t>
            </w:r>
            <w:r w:rsidRPr="008837FC">
              <w:t xml:space="preserve"> EU-a </w:t>
            </w:r>
            <w:r w:rsidRPr="008837FC">
              <w:rPr>
                <w:b/>
                <w:i/>
              </w:rPr>
              <w:t>za trgovanje emisijama (EU ETS)</w:t>
            </w:r>
            <w:r w:rsidRPr="008837FC">
              <w:t xml:space="preserve">, </w:t>
            </w:r>
            <w:r w:rsidRPr="008837FC">
              <w:rPr>
                <w:b/>
                <w:i/>
              </w:rPr>
              <w:t>potiču se</w:t>
            </w:r>
            <w:r w:rsidRPr="008837FC">
              <w:t xml:space="preserve"> da </w:t>
            </w:r>
            <w:r w:rsidRPr="008837FC">
              <w:rPr>
                <w:b/>
                <w:i/>
              </w:rPr>
              <w:t>u budućnosti</w:t>
            </w:r>
            <w:r w:rsidRPr="008837FC">
              <w:t xml:space="preserve"> donesu planove zelene tranzicije. Društva se potiče i da napreduju u svojoj digitalnoj transformaciji. Za potrebe ovih tranzicija društva na raspolaganju imaju i tehničku pomoć.</w:t>
            </w:r>
          </w:p>
        </w:tc>
        <w:tc>
          <w:tcPr>
            <w:tcW w:w="4876" w:type="dxa"/>
          </w:tcPr>
          <w:p w:rsidR="00AE114F" w:rsidRPr="008837FC" w:rsidRDefault="009A34F8" w:rsidP="005A1D3F">
            <w:pPr>
              <w:pStyle w:val="Normal6a"/>
            </w:pPr>
            <w:r w:rsidRPr="008837FC">
              <w:t>—</w:t>
            </w:r>
            <w:r w:rsidRPr="008837FC">
              <w:tab/>
              <w:t xml:space="preserve">od društava na koja su usmjereni fondovi, subjekti posebne namjene ili platforme za ulaganja </w:t>
            </w:r>
            <w:r w:rsidRPr="008837FC">
              <w:rPr>
                <w:b/>
                <w:i/>
              </w:rPr>
              <w:t>zahtijeva se</w:t>
            </w:r>
            <w:r w:rsidRPr="008837FC">
              <w:t xml:space="preserve"> usklađenost s minimalnim društvenim i ekološkim mjerama visoke razine u skladu sa smjernicama dobivenima od Upravljačkog odbora</w:t>
            </w:r>
            <w:r w:rsidRPr="008837FC">
              <w:rPr>
                <w:b/>
                <w:i/>
              </w:rPr>
              <w:t>.</w:t>
            </w:r>
            <w:r w:rsidRPr="008837FC">
              <w:t xml:space="preserve"> Od društava s određenom razinom izloženosti aktivnostima koje su štetne za okoliš, </w:t>
            </w:r>
            <w:r w:rsidRPr="008837FC">
              <w:rPr>
                <w:b/>
                <w:i/>
              </w:rPr>
              <w:t>kako su utvrđene u skladu s metodologijom</w:t>
            </w:r>
            <w:r w:rsidRPr="008837FC">
              <w:t xml:space="preserve"> EU-a </w:t>
            </w:r>
            <w:r w:rsidRPr="008837FC">
              <w:rPr>
                <w:b/>
                <w:i/>
              </w:rPr>
              <w:t>Uredbom (EU) 2020/852, zahtijeva se</w:t>
            </w:r>
            <w:r w:rsidRPr="008837FC">
              <w:t xml:space="preserve"> donošenje planova zelene tranzicije.</w:t>
            </w:r>
            <w:r w:rsidRPr="008837FC">
              <w:rPr>
                <w:b/>
                <w:i/>
              </w:rPr>
              <w:t xml:space="preserve"> Ti su planovi vremenski ograničeni i znanstveno utemeljeni, usklađeni s ciljem Pariškog sporazuma u pogledu ograničenja temperature na 1,5°C iznad razine u predindustrijskom razdoblju.</w:t>
            </w:r>
            <w:r w:rsidRPr="008837FC">
              <w:t xml:space="preserve"> Društva se potiče i da napreduju u svojoj digitalnoj transformaciji. Za potrebe ovih tranzicija društva na raspolaganju imaju i tehničku pomoć.</w:t>
            </w:r>
          </w:p>
        </w:tc>
      </w:tr>
    </w:tbl>
    <w:p w:rsidR="00AE114F" w:rsidRPr="008837FC" w:rsidRDefault="009A34F8" w:rsidP="00AE114F">
      <w:pPr>
        <w:pStyle w:val="AmOrLang"/>
      </w:pPr>
      <w:r w:rsidRPr="008837FC">
        <w:lastRenderedPageBreak/>
        <w:t xml:space="preserve">Or. </w:t>
      </w:r>
      <w:r w:rsidRPr="008837FC">
        <w:rPr>
          <w:rStyle w:val="HideTWBExt"/>
          <w:noProof w:val="0"/>
          <w:color w:val="auto"/>
        </w:rPr>
        <w:t>&lt;Original&gt;</w:t>
      </w:r>
      <w:r w:rsidRPr="008837FC">
        <w:rPr>
          <w:rStyle w:val="HideTWBInt"/>
          <w:noProof w:val="0"/>
          <w:color w:val="auto"/>
        </w:rPr>
        <w:t>{EN}</w:t>
      </w:r>
      <w:r w:rsidRPr="008837FC">
        <w:t>en</w:t>
      </w:r>
      <w:r w:rsidRPr="008837FC">
        <w:rPr>
          <w:rStyle w:val="HideTWBExt"/>
          <w:noProof w:val="0"/>
          <w:color w:val="auto"/>
        </w:rPr>
        <w:t>&lt;/Original&gt;</w:t>
      </w:r>
    </w:p>
    <w:p w:rsidR="0002515B" w:rsidRPr="008837FC" w:rsidRDefault="009A34F8" w:rsidP="00AE114F">
      <w:r w:rsidRPr="008837FC">
        <w:rPr>
          <w:rStyle w:val="HideTWBExt"/>
          <w:noProof w:val="0"/>
          <w:color w:val="auto"/>
        </w:rPr>
        <w:t>&lt;/Amend&gt;&lt;/RepeatBlock-Amend&gt;</w:t>
      </w:r>
      <w:bookmarkEnd w:id="0"/>
    </w:p>
    <w:sectPr w:rsidR="0002515B" w:rsidRPr="008837FC" w:rsidSect="007A589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F9" w:rsidRPr="007A589C" w:rsidRDefault="009A34F8">
      <w:r w:rsidRPr="007A589C">
        <w:separator/>
      </w:r>
    </w:p>
  </w:endnote>
  <w:endnote w:type="continuationSeparator" w:id="0">
    <w:p w:rsidR="00FE72F9" w:rsidRPr="007A589C" w:rsidRDefault="009A34F8">
      <w:r w:rsidRPr="007A58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9C" w:rsidRPr="007A589C" w:rsidRDefault="007A589C" w:rsidP="007A589C">
    <w:pPr>
      <w:pStyle w:val="EPFooter"/>
    </w:pPr>
    <w:r w:rsidRPr="007A589C">
      <w:t>PE</w:t>
    </w:r>
    <w:r w:rsidRPr="007A589C">
      <w:rPr>
        <w:rStyle w:val="HideTWBExt"/>
        <w:noProof w:val="0"/>
      </w:rPr>
      <w:t>&lt;NoPE&gt;</w:t>
    </w:r>
    <w:r w:rsidRPr="007A589C">
      <w:t>655.624</w:t>
    </w:r>
    <w:r w:rsidRPr="007A589C">
      <w:rPr>
        <w:rStyle w:val="HideTWBExt"/>
        <w:noProof w:val="0"/>
      </w:rPr>
      <w:t>&lt;/NoPE&gt;&lt;Version&gt;</w:t>
    </w:r>
    <w:r w:rsidRPr="007A589C">
      <w:t>v01-00</w:t>
    </w:r>
    <w:r w:rsidRPr="007A589C">
      <w:rPr>
        <w:rStyle w:val="HideTWBExt"/>
        <w:noProof w:val="0"/>
      </w:rPr>
      <w:t>&lt;/Version&gt;</w:t>
    </w:r>
    <w:r w:rsidRPr="007A589C">
      <w:tab/>
    </w:r>
    <w:r w:rsidRPr="007A589C">
      <w:fldChar w:fldCharType="begin"/>
    </w:r>
    <w:r w:rsidRPr="007A589C">
      <w:instrText xml:space="preserve"> PAGE  \* MERGEFORMAT </w:instrText>
    </w:r>
    <w:r w:rsidRPr="007A589C">
      <w:fldChar w:fldCharType="separate"/>
    </w:r>
    <w:r w:rsidR="008837FC">
      <w:rPr>
        <w:noProof/>
      </w:rPr>
      <w:t>54</w:t>
    </w:r>
    <w:r w:rsidRPr="007A589C">
      <w:fldChar w:fldCharType="end"/>
    </w:r>
    <w:r w:rsidRPr="007A589C">
      <w:t>/</w:t>
    </w:r>
    <w:fldSimple w:instr=" NUMPAGES  \* MERGEFORMAT ">
      <w:r w:rsidR="008837FC">
        <w:rPr>
          <w:noProof/>
        </w:rPr>
        <w:t>54</w:t>
      </w:r>
    </w:fldSimple>
    <w:r w:rsidRPr="007A589C">
      <w:tab/>
    </w:r>
    <w:r w:rsidRPr="007A589C">
      <w:rPr>
        <w:rStyle w:val="HideTWBExt"/>
        <w:noProof w:val="0"/>
      </w:rPr>
      <w:t>&lt;PathFdR&gt;</w:t>
    </w:r>
    <w:r w:rsidRPr="007A589C">
      <w:t>AM\1209830HR.docx</w:t>
    </w:r>
    <w:r w:rsidRPr="007A589C">
      <w:rPr>
        <w:rStyle w:val="HideTWBExt"/>
        <w:noProof w:val="0"/>
      </w:rPr>
      <w:t>&lt;/PathFdR&gt;</w:t>
    </w:r>
  </w:p>
  <w:p w:rsidR="00B2687C" w:rsidRPr="007A589C" w:rsidRDefault="007A589C" w:rsidP="007A589C">
    <w:pPr>
      <w:pStyle w:val="EPFooter2"/>
    </w:pPr>
    <w:r w:rsidRPr="007A589C">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9C" w:rsidRPr="007A589C" w:rsidRDefault="007A589C" w:rsidP="007A589C">
    <w:pPr>
      <w:pStyle w:val="EPFooter"/>
    </w:pPr>
    <w:r w:rsidRPr="007A589C">
      <w:rPr>
        <w:rStyle w:val="HideTWBExt"/>
        <w:noProof w:val="0"/>
      </w:rPr>
      <w:t>&lt;PathFdR&gt;</w:t>
    </w:r>
    <w:r w:rsidRPr="007A589C">
      <w:t>AM\1209830HR.docx</w:t>
    </w:r>
    <w:r w:rsidRPr="007A589C">
      <w:rPr>
        <w:rStyle w:val="HideTWBExt"/>
        <w:noProof w:val="0"/>
      </w:rPr>
      <w:t>&lt;/PathFdR&gt;</w:t>
    </w:r>
    <w:r w:rsidRPr="007A589C">
      <w:tab/>
    </w:r>
    <w:r w:rsidRPr="007A589C">
      <w:fldChar w:fldCharType="begin"/>
    </w:r>
    <w:r w:rsidRPr="007A589C">
      <w:instrText xml:space="preserve"> PAGE  \* MERGEFORMAT </w:instrText>
    </w:r>
    <w:r w:rsidRPr="007A589C">
      <w:fldChar w:fldCharType="separate"/>
    </w:r>
    <w:r w:rsidR="008837FC">
      <w:rPr>
        <w:noProof/>
      </w:rPr>
      <w:t>53</w:t>
    </w:r>
    <w:r w:rsidRPr="007A589C">
      <w:fldChar w:fldCharType="end"/>
    </w:r>
    <w:r w:rsidRPr="007A589C">
      <w:t>/</w:t>
    </w:r>
    <w:fldSimple w:instr=" NUMPAGES  \* MERGEFORMAT ">
      <w:r w:rsidR="008837FC">
        <w:rPr>
          <w:noProof/>
        </w:rPr>
        <w:t>54</w:t>
      </w:r>
    </w:fldSimple>
    <w:r w:rsidRPr="007A589C">
      <w:tab/>
      <w:t>PE</w:t>
    </w:r>
    <w:r w:rsidRPr="007A589C">
      <w:rPr>
        <w:rStyle w:val="HideTWBExt"/>
        <w:noProof w:val="0"/>
      </w:rPr>
      <w:t>&lt;NoPE&gt;</w:t>
    </w:r>
    <w:r w:rsidRPr="007A589C">
      <w:t>655.624</w:t>
    </w:r>
    <w:r w:rsidRPr="007A589C">
      <w:rPr>
        <w:rStyle w:val="HideTWBExt"/>
        <w:noProof w:val="0"/>
      </w:rPr>
      <w:t>&lt;/NoPE&gt;&lt;Version&gt;</w:t>
    </w:r>
    <w:r w:rsidRPr="007A589C">
      <w:t>v01-00</w:t>
    </w:r>
    <w:r w:rsidRPr="007A589C">
      <w:rPr>
        <w:rStyle w:val="HideTWBExt"/>
        <w:noProof w:val="0"/>
      </w:rPr>
      <w:t>&lt;/Version&gt;</w:t>
    </w:r>
  </w:p>
  <w:p w:rsidR="00B2687C" w:rsidRPr="007A589C" w:rsidRDefault="007A589C" w:rsidP="007A589C">
    <w:pPr>
      <w:pStyle w:val="EPFooter2"/>
    </w:pPr>
    <w:r w:rsidRPr="007A589C">
      <w:tab/>
    </w:r>
    <w:r w:rsidRPr="007A589C">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9C" w:rsidRPr="007A589C" w:rsidRDefault="007A589C" w:rsidP="007A589C">
    <w:pPr>
      <w:pStyle w:val="EPFooter"/>
    </w:pPr>
    <w:r w:rsidRPr="007A589C">
      <w:rPr>
        <w:rStyle w:val="HideTWBExt"/>
        <w:noProof w:val="0"/>
      </w:rPr>
      <w:t>&lt;PathFdR&gt;</w:t>
    </w:r>
    <w:r w:rsidRPr="007A589C">
      <w:t>AM\1209830HR.docx</w:t>
    </w:r>
    <w:r w:rsidRPr="007A589C">
      <w:rPr>
        <w:rStyle w:val="HideTWBExt"/>
        <w:noProof w:val="0"/>
      </w:rPr>
      <w:t>&lt;/PathFdR&gt;</w:t>
    </w:r>
    <w:r w:rsidRPr="007A589C">
      <w:tab/>
    </w:r>
    <w:r w:rsidRPr="007A589C">
      <w:tab/>
      <w:t>PE</w:t>
    </w:r>
    <w:r w:rsidRPr="007A589C">
      <w:rPr>
        <w:rStyle w:val="HideTWBExt"/>
        <w:noProof w:val="0"/>
      </w:rPr>
      <w:t>&lt;NoPE&gt;</w:t>
    </w:r>
    <w:r w:rsidRPr="007A589C">
      <w:t>655.624</w:t>
    </w:r>
    <w:r w:rsidRPr="007A589C">
      <w:rPr>
        <w:rStyle w:val="HideTWBExt"/>
        <w:noProof w:val="0"/>
      </w:rPr>
      <w:t>&lt;/NoPE&gt;&lt;Version&gt;</w:t>
    </w:r>
    <w:r w:rsidRPr="007A589C">
      <w:t>v01-00</w:t>
    </w:r>
    <w:r w:rsidRPr="007A589C">
      <w:rPr>
        <w:rStyle w:val="HideTWBExt"/>
        <w:noProof w:val="0"/>
      </w:rPr>
      <w:t>&lt;/Version&gt;</w:t>
    </w:r>
  </w:p>
  <w:p w:rsidR="00B2687C" w:rsidRPr="007A589C" w:rsidRDefault="007A589C" w:rsidP="007A589C">
    <w:pPr>
      <w:pStyle w:val="EPFooter2"/>
    </w:pPr>
    <w:r w:rsidRPr="007A589C">
      <w:t>HR</w:t>
    </w:r>
    <w:r w:rsidRPr="007A589C">
      <w:tab/>
    </w:r>
    <w:r w:rsidRPr="007A589C">
      <w:rPr>
        <w:b w:val="0"/>
        <w:i/>
        <w:color w:val="C0C0C0"/>
        <w:sz w:val="22"/>
      </w:rPr>
      <w:t>Ujedinjena u raznolikosti</w:t>
    </w:r>
    <w:r w:rsidRPr="007A589C">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F9" w:rsidRPr="007A589C" w:rsidRDefault="009A34F8">
      <w:r w:rsidRPr="007A589C">
        <w:separator/>
      </w:r>
    </w:p>
  </w:footnote>
  <w:footnote w:type="continuationSeparator" w:id="0">
    <w:p w:rsidR="00FE72F9" w:rsidRPr="007A589C" w:rsidRDefault="009A34F8">
      <w:r w:rsidRPr="007A58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FC" w:rsidRDefault="0088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FC" w:rsidRDefault="00883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FC" w:rsidRDefault="0088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01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06166"/>
    <w:multiLevelType w:val="multilevel"/>
    <w:tmpl w:val="39B41F04"/>
    <w:name w:val="0,5329554"/>
    <w:lvl w:ilvl="0">
      <w:start w:val="1"/>
      <w:numFmt w:val="decimal"/>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CVA" w:val="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8246 HideTWBExt;}}{\*\rsidtbl \rsid24658\rsid358857\rsid735077\rsid787282\rsid2892074\rsid3622648\rsid4666813\rsid5708216\rsid6641733\rsid7553164\rsid8465581\rsid8681905\rsid8724649_x000d__x000a_\rsid9636012\rsid9708692\rsid9862312\rsid10968246\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6824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86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8692 \chftnsepc _x000d__x000a_\par }}{\*\aftnsep \ltrpar \pard\plain \ltrpar\ql \li0\ri0\widctlpar\wrapdefault\aspalpha\aspnum\faauto\adjustright\rin0\lin0\itap0 \rtlch\fcs1 \af0\afs20\alang1025 \ltrch\fcs0 \fs24\lang2057\langfe2057\cgrid\langnp2057\langfenp2057 {\rtlch\fcs1 \af0 _x000d__x000a_\ltrch\fcs0 \insrsid9708692 \chftnsep _x000d__x000a_\par }}{\*\aftnsepc \ltrpar \pard\plain \ltrpar\ql \li0\ri0\widctlpar\wrapdefault\aspalpha\aspnum\faauto\adjustright\rin0\lin0\itap0 \rtlch\fcs1 \af0\afs20\alang1025 \ltrch\fcs0 \fs24\lang2057\langfe2057\cgrid\langnp2057\langfenp2057 {\rtlch\fcs1 \af0 _x000d__x000a_\ltrch\fcs0 \insrsid97086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968246 \rtlch\fcs1 \af0\afs20\alang1025 \ltrch\fcs0 \fs24\lang2057\langfe2057\cgrid\langnp2057\langfenp2057 {\rtlch\fcs1 \af0 \ltrch\fcs0 _x000d__x000a_\cs15\v\f1\fs20\cf9\insrsid10968246\charrsid12784134 {\*\bkmkstart EndA}&lt;&lt;&lt;}{\rtlch\fcs1 \af0 \ltrch\fcs0 \insrsid10968246\charrsid12784134 #@&gt;ZOTHAMA&lt;@#}{\rtlch\fcs1 \af0 \ltrch\fcs0 \cs15\v\f1\fs20\cf9\insrsid10968246\charrsid12784134 _x000d__x000a_&lt;/RepeatBlock-AmendA&gt;}{\rtlch\fcs1 \af0 \ltrch\fcs0 \insrsid10968246\charrsid1278413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2_x000d__x000a_f5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9374 HideTWBExt;}}{\*\rsidtbl \rsid24658\rsid229374\rsid358857\rsid735077\rsid787282\rsid2892074\rsid3622648\rsid4666813\rsid5708216\rsid6641733\rsid7553164\rsid8465581\rsid8681905_x000d__x000a_\rsid8724649\rsid9636012\rsid9862312\rsid1051123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937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51123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11232 \chftnsepc _x000d__x000a_\par }}{\*\aftnsep \ltrpar \pard\plain \ltrpar\ql \li0\ri0\widctlpar\wrapdefault\aspalpha\aspnum\faauto\adjustright\rin0\lin0\itap0 \rtlch\fcs1 \af0\afs20\alang1025 \ltrch\fcs0 \fs24\lang2057\langfe2057\cgrid\langnp2057\langfenp2057 {\rtlch\fcs1 \af0 _x000d__x000a_\ltrch\fcs0 \insrsid10511232 \chftnsep _x000d__x000a_\par }}{\*\aftnsepc \ltrpar \pard\plain \ltrpar\ql \li0\ri0\widctlpar\wrapdefault\aspalpha\aspnum\faauto\adjustright\rin0\lin0\itap0 \rtlch\fcs1 \af0\afs20\alang1025 \ltrch\fcs0 \fs24\lang2057\langfe2057\cgrid\langnp2057\langfenp2057 {\rtlch\fcs1 \af0 _x000d__x000a_\ltrch\fcs0 \insrsid1051123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29374\charrsid12784134 {\*\bkmkstart EndB}&lt;&lt;&lt;}{\rtlch\fcs1 \af0 \ltrch\fcs0 \insrsid229374\charrsid12784134 #@&gt;ZOTHAMB&lt;@#}{\rtlch\fcs1 \af0 \ltrch\fcs0 \cs15\v\f1\fs20\cf9\insrsid229374\charrsid1278413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9_x000d__x000a_75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sideLoop"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2470 HideTWBExt;}}{\*\rsidtbl \rsid24658\rsid358857\rsid735077\rsid787282\rsid1577781\rsid2892074\rsid3622648\rsid4666813\rsid5708216\rsid6502470\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0247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77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7781 \chftnsepc _x000d__x000a_\par }}{\*\aftnsep \ltrpar \pard\plain \ltrpar\ql \li0\ri0\widctlpar\wrapdefault\aspalpha\aspnum\faauto\adjustright\rin0\lin0\itap0 \rtlch\fcs1 \af0\afs20\alang1025 \ltrch\fcs0 \fs24\lang2057\langfe2057\cgrid\langnp2057\langfenp2057 {\rtlch\fcs1 \af0 _x000d__x000a_\ltrch\fcs0 \insrsid1577781 \chftnsep _x000d__x000a_\par }}{\*\aftnsepc \ltrpar \pard\plain \ltrpar\ql \li0\ri0\widctlpar\wrapdefault\aspalpha\aspnum\faauto\adjustright\rin0\lin0\itap0 \rtlch\fcs1 \af0\afs20\alang1025 \ltrch\fcs0 \fs24\lang2057\langfe2057\cgrid\langnp2057\langfenp2057 {\rtlch\fcs1 \af0 _x000d__x000a_\ltrch\fcs0 \insrsid15777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6502470\charrsid1278413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f_x000d__x000a_f91b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6112 HideTWBExt;}}{\*\rsidtbl \rsid24658\rsid358857\rsid735077\rsid787282\rsid2892074\rsid3622648\rsid4666813\rsid5708216\rsid6641733\rsid7553164\rsid8465581\rsid8681905\rsid8724649_x000d__x000a_\rsid9584078\rsid9636012\rsid9862312\rsid11215221\rsid11366112\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6611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840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84078 \chftnsepc _x000d__x000a_\par }}{\*\aftnsep \ltrpar \pard\plain \ltrpar\ql \li0\ri0\widctlpar\wrapdefault\aspalpha\aspnum\faauto\adjustright\rin0\lin0\itap0 \rtlch\fcs1 \af0\afs20\alang1025 \ltrch\fcs0 \fs24\lang2057\langfe2057\cgrid\langnp2057\langfenp2057 {\rtlch\fcs1 \af0 _x000d__x000a_\ltrch\fcs0 \insrsid9584078 \chftnsep _x000d__x000a_\par }}{\*\aftnsepc \ltrpar \pard\plain \ltrpar\ql \li0\ri0\widctlpar\wrapdefault\aspalpha\aspnum\faauto\adjustright\rin0\lin0\itap0 \rtlch\fcs1 \af0\afs20\alang1025 \ltrch\fcs0 \fs24\lang2057\langfe2057\cgrid\langnp2057\langfenp2057 {\rtlch\fcs1 \af0 _x000d__x000a_\ltrch\fcs0 \insrsid95840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366112\charrsid1278413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7c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B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000603 HideTWBInt;}}{\*\rsidtbl \rsid24658\rsid223860\rsid735077\rsid1000603\rsid1718133\rsid2892074_x000d__x000a_\rsid3565327\rsid4666813\rsid6641733\rsid7823322\rsid9636012\rsid10377208\rsid11215221\rsid11549030\rsid12154954\rsid14380676\rsid14382809\rsid14424199\rsid15204470\rsid15285974\rsid15950462\rsid16324206\rsid16662270}{\mmathPr\mmathFont34\mbrkBin0_x000d__x000a_\mbrkBinSub0\msmallFrac0\mdispDef1\mlMargin0\mrMargin0\mdefJc1\mwrapIndent1440\mintLim0\mnaryLim1}{\info{\author RIHANI Isabelle}{\operator RIHANI Isabelle}{\creatim\yr2020\mo7\dy16\hr18\min10}{\revtim\yr2020\mo7\dy16\hr18\min10}{\version1}{\edmins0}_x000d__x000a_{\nofpages1}{\nofwords2}{\nofchars16}{\nofcharsws1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00603\newtblstyruls\nogrowautofit\usenormstyforlist\noindnmbrts\felnbrelev\nocxsptable\indrlsweleven\noafcnsttbl\afelev\utinl\hwelev\spltpgpar\notcvasp\notbrkcnstfrctbl\notvatxbx\krnprsnet\cachedcolbal _x000d__x000a_\nouicompat \fet0{\*\wgrffmtfilter 013f}\nofeaturethrottle1\ilfomacatclnup0{\*\template C:\\Users\\irihani\\AppData\\Local\\Temp\\Blank1.dotx}{\*\ftnsep \ltrpar \pard\plain \ltrpar_x000d__x000a_\ql \li0\ri0\widctlpar\wrapdefault\aspalpha\aspnum\faauto\adjustright\rin0\lin0\itap0 \rtlch\fcs1 \af0\afs20\alang1025 \ltrch\fcs0 \fs24\lang2057\langfe2057\cgrid\langnp2057\langfenp2057 {\rtlch\fcs1 \af0 \ltrch\fcs0 \insrsid14380676 \chftnsep _x000d__x000a_\par }}{\*\ftnsepc \ltrpar \pard\plain \ltrpar\ql \li0\ri0\widctlpar\wrapdefault\aspalpha\aspnum\faauto\adjustright\rin0\lin0\itap0 \rtlch\fcs1 \af0\afs20\alang1025 \ltrch\fcs0 \fs24\lang2057\langfe2057\cgrid\langnp2057\langfenp2057 {\rtlch\fcs1 \af0 _x000d__x000a_\ltrch\fcs0 \insrsid14380676 \chftnsepc _x000d__x000a_\par }}{\*\aftnsep \ltrpar \pard\plain \ltrpar\ql \li0\ri0\widctlpar\wrapdefault\aspalpha\aspnum\faauto\adjustright\rin0\lin0\itap0 \rtlch\fcs1 \af0\afs20\alang1025 \ltrch\fcs0 \fs24\lang2057\langfe2057\cgrid\langnp2057\langfenp2057 {\rtlch\fcs1 \af0 _x000d__x000a_\ltrch\fcs0 \insrsid14380676 \chftnsep _x000d__x000a_\par }}{\*\aftnsepc \ltrpar \pard\plain \ltrpar\ql \li0\ri0\widctlpar\wrapdefault\aspalpha\aspnum\faauto\adjustright\rin0\lin0\itap0 \rtlch\fcs1 \af0\afs20\alang1025 \ltrch\fcs0 \fs24\lang2057\langfe2057\cgrid\langnp2057\langfenp2057 {\rtlch\fcs1 \af0 _x000d__x000a_\ltrch\fcs0 \insrsid1438067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000603\charrsid3871830 {\*\bkmkstart ReplaceBookmark}#}{\rtlch\fcs1 \af1 \ltrch\fcs0 _x000d__x000a_\cs17\v\f1\fs20\cf15\insrsid1000603\charrsid3871830 &gt;&gt;&gt;CVAR@@AmendA}{\rtlch\fcs1 \af0 \ltrch\fcs0 \insrsid1000603\charrsid3871830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9_x000d__x000a_179d8b5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05488 HideTWBExt;}{\*\cs18 \additive \v\f1\fs20\cf15 _x000d__x000a_\spriority0 \styrsid805488 HideTWBInt;}{\s19\ql \li0\ri0\sa120\nowidctlpar\wrapdefault\aspalpha\aspnum\faauto\adjustright\rin0\lin0\itap0 \rtlch\fcs1 \af0\afs20\alang1025 \ltrch\fcs0 \fs24\lang2057\langfe2057\cgrid\langnp2057\langfenp2057 _x000d__x000a_\sbasedon0 \snext19 \spriority0 \styrsid805488 Normal6a;}{\s20\ql \li0\ri0\nowidctlpar\wrapdefault\aspalpha\aspnum\faauto\adjustright\rin0\lin0\itap0 \rtlch\fcs1 \af0\afs20\alang1025 \ltrch\fcs0 \b\fs24\lang2057\langfe2057\cgrid\langnp2057\langfenp2057 _x000d__x000a_\sbasedon0 \snext20 \spriority0 \styrsid805488 NormalBold;}{\s21\qr \li0\ri0\sb240\sa240\nowidctlpar\wrapdefault\aspalpha\aspnum\faauto\adjustright\rin0\lin0\itap0 \rtlch\fcs1 \af0\afs20\alang1025 \ltrch\fcs0 _x000d__x000a_\fs24\lang2057\langfe2057\cgrid\langnp2057\langfenp2057 \sbasedon0 \snext21 \spriority0 \styrsid805488 AmOrLang;}{\s22\qc \li0\ri0\sa240\nowidctlpar\wrapdefault\aspalpha\aspnum\faauto\adjustright\rin0\lin0\itap0 \rtlch\fcs1 \af0\afs20\alang1025 _x000d__x000a_\ltrch\fcs0 \i\fs24\lang2057\langfe2057\cgrid\langnp2057\langfenp2057 \sbasedon0 \snext22 \spriority0 \styrsid805488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805488 AmNumberTabs;}}{\*\rsidtbl \rsid24658\rsid223860\rsid735077\rsid805488\rsid1718133\rsid2892074\rsid3565327\rsid4666813\rsid6641733_x000d__x000a_\rsid7823322\rsid9636012\rsid9841037\rsid10377208\rsid11215221\rsid11549030\rsid12154954\rsid14382809\rsid14424199\rsid15204470\rsid15285974\rsid15950462\rsid16324206\rsid16662270}{\mmathPr\mmathFont34\mbrkBin0\mbrkBinSub0\msmallFrac0\mdispDef1\mlMargin0_x000d__x000a_\mrMargin0\mdefJc1\mwrapIndent1440\mintLim0\mnaryLim1}{\info{\author RIHANI Isabelle}{\operator RIHANI Isabelle}{\creatim\yr2020\mo7\dy16\hr18\min10}{\revtim\yr2020\mo7\dy16\hr18\min10}{\version1}{\edmins0}{\nofpages1}{\nofwords71}{\nofchars399}_x000d__x000a_{\nofcharsws46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05488\newtblstyruls\nogrowautofit\usenormstyforlist\noindnmbrts\felnbrelev\nocxsptable\indrlsweleven\noafcnsttbl\afelev\utinl\hwelev\spltpgpar\notcvasp\notbrkcnstfrctbl\notvatxbx\krnprsnet\cachedcolbal \nouicompat \fet0_x000d__x000a_{\*\wgrffmtfilter 013f}\nofeaturethrottle1\ilfomacatclnup0{\*\template C:\\Users\\irihani\\AppData\\Local\\Temp\\Blank1.dotx}{\*\ftnsep \ltrpar \pard\plain \ltrpar\ql \li0\ri0\widctlpar\wrapdefault\aspalpha\aspnum\faauto\adjustright\rin0\lin0\itap0 _x000d__x000a_\rtlch\fcs1 \af0\afs20\alang1025 \ltrch\fcs0 \fs24\lang2057\langfe2057\cgrid\langnp2057\langfenp2057 {\rtlch\fcs1 \af0 \ltrch\fcs0 \insrsid9841037 \chftnsep _x000d__x000a_\par }}{\*\ftnsepc \ltrpar \pard\plain \ltrpar\ql \li0\ri0\widctlpar\wrapdefault\aspalpha\aspnum\faauto\adjustright\rin0\lin0\itap0 \rtlch\fcs1 \af0\afs20\alang1025 \ltrch\fcs0 \fs24\lang2057\langfe2057\cgrid\langnp2057\langfenp2057 {\rtlch\fcs1 \af0 _x000d__x000a_\ltrch\fcs0 \insrsid9841037 \chftnsepc _x000d__x000a_\par }}{\*\aftnsep \ltrpar \pard\plain \ltrpar\ql \li0\ri0\widctlpar\wrapdefault\aspalpha\aspnum\faauto\adjustright\rin0\lin0\itap0 \rtlch\fcs1 \af0\afs20\alang1025 \ltrch\fcs0 \fs24\lang2057\langfe2057\cgrid\langnp2057\langfenp2057 {\rtlch\fcs1 \af0 _x000d__x000a_\ltrch\fcs0 \insrsid9841037 \chftnsep _x000d__x000a_\par }}{\*\aftnsepc \ltrpar \pard\plain \ltrpar\ql \li0\ri0\widctlpar\wrapdefault\aspalpha\aspnum\faauto\adjustright\rin0\lin0\itap0 \rtlch\fcs1 \af0\afs20\alang1025 \ltrch\fcs0 \fs24\lang2057\langfe2057\cgrid\langnp2057\langfenp2057 {\rtlch\fcs1 \af0 _x000d__x000a_\ltrch\fcs0 \insrsid984103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805488 \rtlch\fcs1 _x000d__x000a_\af0\afs20\alang1025 \ltrch\fcs0 \b\fs24\lang2057\langfe2057\cgrid\langnp2057\langfenp2057 {\rtlch\fcs1 \af0 \ltrch\fcs0 \cs17\b0\v\fs20\cf9\loch\af1\hich\af1\dbch\af31501\insrsid805488\charrsid3871830 {\*\bkmkstart restart}\hich\af1\dbch\af31501\loch\f1 _x000d__x000a_&lt;}{\rtlch\fcs1 \af0 \ltrch\fcs0 \cs17\b0\v\fs20\cf9\lang1024\langfe1024\loch\af1\hich\af1\dbch\af31501\noproof\insrsid805488 \hich\af1\dbch\af31501\loch\f1 Amend}{\rtlch\fcs1 \af0 \ltrch\fcs0 _x000d__x000a_\cs17\b0\v\fs20\cf9\loch\af1\hich\af1\dbch\af31501\insrsid805488\charrsid3871830 \hich\af1\dbch\af31501\loch\f1 &gt;}{\rtlch\fcs1 \af0 \ltrch\fcs0 \insrsid805488\charrsid3871830 Amendment\tab \tab }{\rtlch\fcs1 \af0 \ltrch\fcs0 _x000d__x000a_\cs17\b0\v\fs20\cf9\loch\af1\hich\af1\dbch\af31501\insrsid805488\charrsid3871830 \hich\af1\dbch\af31501\loch\f1 &lt;}{\rtlch\fcs1 \af0 \ltrch\fcs0 \cs17\b0\v\fs20\cf9\lang1024\langfe1024\loch\af1\hich\af1\dbch\af31501\noproof\insrsid805488 _x000d__x000a_\hich\af1\dbch\af31501\loch\f1 NumAm&gt;}{\rtlch\fcs1 \af0 \ltrch\fcs0 \insrsid805488\charrsid3871830 #}{\rtlch\fcs1 \af1 \ltrch\fcs0 \cs18\v\f1\fs20\cf15\insrsid805488\charrsid3871830 ENMIENDA@NRAM@}{\rtlch\fcs1 \af0 \ltrch\fcs0 _x000d__x000a_\insrsid805488\charrsid3871830 #}{\rtlch\fcs1 \af0 \ltrch\fcs0 \cs17\b0\v\fs20\cf9\loch\af1\hich\af1\dbch\af31501\insrsid805488\charrsid3871830 \hich\af1\dbch\af31501\loch\f1 &lt;/}{\rtlch\fcs1 \af0 \ltrch\fcs0 _x000d__x000a_\cs17\b0\v\fs20\cf9\lang1024\langfe1024\loch\af1\hich\af1\dbch\af31501\noproof\insrsid805488 \hich\af1\dbch\af31501\loch\f1 NumAm&gt;}{\rtlch\fcs1 \af0 \ltrch\fcs0 \insrsid805488\charrsid3871830 _x000d__x000a_\par }\pard\plain \ltrpar\s20\ql \li0\ri0\nowidctlpar\wrapdefault\aspalpha\aspnum\faauto\adjustright\rin0\lin0\itap0\pararsid805488 \rtlch\fcs1 \af0\afs20\alang1025 \ltrch\fcs0 \b\fs24\lang2057\langfe2057\cgrid\langnp2057\langfenp2057 {\rtlch\fcs1 \af0 _x000d__x000a_\ltrch\fcs0 \cs17\b0\v\fs20\cf9\loch\af1\hich\af1\dbch\af31501\insrsid805488\charrsid3871830 \hich\af1\dbch\af31501\loch\f1 &lt;RepeatBlock-By&gt;}{\rtlch\fcs1 \af0 \ltrch\fcs0 \insrsid805488\charrsid3871830 #}{\rtlch\fcs1 \af1 \ltrch\fcs0 _x000d__x000a_\cs18\v\f1\fs20\cf15\insrsid805488\charrsid3871830 (MOD@InsideLoop()}{\rtlch\fcs1 \af0 \ltrch\fcs0 \insrsid805488\charrsid3871830 ##}{\rtlch\fcs1 \af1 \ltrch\fcs0 \cs18\v\f1\fs20\cf15\insrsid805488\charrsid3871830 &gt;&gt;&gt;@[ZMEMBERSMSG]@}{\rtlch\fcs1 \af0 _x000d__x000a_\ltrch\fcs0 \insrsid805488\charrsid3871830 #}{\rtlch\fcs1 \af0 \ltrch\fcs0 \cs17\b0\v\fs20\cf9\loch\af1\hich\af1\dbch\af31501\insrsid805488\charrsid3871830 \hich\af1\dbch\af31501\loch\f1 &lt;Members&gt;}{\rtlch\fcs1 \af0 \ltrch\fcs0 _x000d__x000a_\insrsid805488\charrsid3871830 #}{\rtlch\fcs1 \af1 \ltrch\fcs0 \cs18\v\f1\fs20\cf15\insrsid805488\charrsid3871830 (MOD@InsideLoop(\'a7)}{\rtlch\fcs1 \af0 \ltrch\fcs0 \insrsid805488\charrsid3871830 #}{\rtlch\fcs1 \af0 \ltrch\fcs0 _x000d__x000a_\cf10\insrsid805488\charrsid3811057 \u9668\'3f}{\rtlch\fcs1 \af0 \ltrch\fcs0 \insrsid805488\charrsid3871830 #}{\rtlch\fcs1 \af1 \ltrch\fcs0 \cs18\v\f1\fs20\cf15\insrsid805488\charrsid3871830 TVTMEMBERS\'a7@MEMBERS@}{\rtlch\fcs1 \af0 \ltrch\fcs0 _x000d__x000a_\insrsid805488\charrsid3871830 #}{\rtlch\fcs1 \af0 \ltrch\fcs0 \cf10\insrsid805488\charrsid3811057 \u9658\'3f}{\rtlch\fcs1 \af0 \ltrch\fcs0 \cs17\b0\v\fs20\cf9\loch\af1\hich\af1\dbch\af31501\insrsid805488\charrsid3871830 \hich\af1\dbch\af31501\loch\f1 _x000d__x000a_&lt;/Members&gt;}{\rtlch\fcs1 \af0 \ltrch\fcs0 \insrsid805488\charrsid3871830 _x000d__x000a_\par }\pard\plain \ltrpar\ql \li0\ri0\widctlpar\wrapdefault\aspalpha\aspnum\faauto\adjustright\rin0\lin0\itap0\pararsid805488 \rtlch\fcs1 \af0\afs20\alang1025 \ltrch\fcs0 \fs24\lang2057\langfe2057\cgrid\langnp2057\langfenp2057 {\rtlch\fcs1 \af0 \ltrch\fcs0 _x000d__x000a_\cs17\v\fs20\cf9\loch\af1\hich\af1\dbch\af31501\insrsid805488\charrsid3871830 \hich\af1\dbch\af31501\loch\f1 &lt;AuNomDe&gt;&lt;OptDel&gt;}{\rtlch\fcs1 \af0 \ltrch\fcs0 \insrsid805488\charrsid3871830 #}{\rtlch\fcs1 \af1 \ltrch\fcs0 _x000d__x000a_\cs18\v\f1\fs20\cf15\insrsid805488\charrsid3871830 MNU[ONBEHALFYES][NOTAPP]@CHOICE@}{\rtlch\fcs1 \af0 \ltrch\fcs0 \insrsid805488\charrsid3871830 #}{\rtlch\fcs1 \af0 \ltrch\fcs0 \cs17\v\fs20\cf9\loch\af1\hich\af1\dbch\af31501\insrsid805488\charrsid3871830 _x000d__x000a_\hich\af1\dbch\af31501\loch\f1 &lt;/OptDel&gt;&lt;/AuNomDe&gt;}{\rtlch\fcs1 \af0 \ltrch\fcs0 \insrsid805488\charrsid3871830 _x000d__x000a_\par &lt;&lt;&lt;}{\rtlch\fcs1 \af0 \ltrch\fcs0 \cs17\v\fs20\cf9\loch\af1\hich\af1\dbch\af31501\insrsid805488\charrsid3871830 \hich\af1\dbch\af31501\loch\f1 &lt;/RepeatBlock-By&gt;}{\rtlch\fcs1 \af0 \ltrch\fcs0 \insrsid805488\charrsid3871830 _x000d__x000a_\par }\pard\plain \ltrpar\s20\ql \li0\ri0\nowidctlpar\wrapdefault\aspalpha\aspnum\faauto\adjustright\rin0\lin0\itap0\pararsid805488 \rtlch\fcs1 \af0\afs20\alang1025 \ltrch\fcs0 \b\fs24\lang2057\langfe2057\cgrid\langnp2057\langfenp2057 {\rtlch\fcs1 \af0 _x000d__x000a_\ltrch\fcs0 \cs17\b0\v\fs20\cf9\loch\af1\hich\af1\dbch\af31501\insrsid805488\charrsid3871830 \hich\af1\dbch\af31501\loch\f1 &lt;DocAmend&gt;}{\rtlch\fcs1 \af0 \ltrch\fcs0 \insrsid805488\charrsid3871830 Draft legislative resolution}{\rtlch\fcs1 \af0 \ltrch\fcs0 _x000d__x000a_\cs17\b0\v\fs20\cf9\loch\af1\hich\af1\dbch\af31501\insrsid805488\charrsid3871830 \hich\af1\dbch\af31501\loch\f1 &lt;/DocAmend&gt;}{\rtlch\fcs1 \af0 \ltrch\fcs0 \insrsid805488\charrsid3871830 _x000d__x000a_\par }{\rtlch\fcs1 \af0 \ltrch\fcs0 \cs17\b0\v\fs20\cf9\loch\af1\hich\af1\dbch\af31501\insrsid805488\charrsid3871830 \hich\af1\dbch\af31501\loch\f1 &lt;Article&gt;}{\rtlch\fcs1 \af0 \ltrch\fcs0 \cf10\insrsid805488\charrsid3811057 \u9668\'3f}{\rtlch\fcs1 \af0 _x000d__x000a_\ltrch\fcs0 \insrsid805488\charrsid3871830 #}{\rtlch\fcs1 \af1 \ltrch\fcs0 \cs18\v\f1\fs20\cf15\insrsid805488\charrsid3871830 TVTRESPART@RESPART@}{\rtlch\fcs1 \af0 \ltrch\fcs0 \insrsid805488\charrsid3871830 #}{\rtlch\fcs1 \af0 \ltrch\fcs0 _x000d__x000a_\cf10\insrsid805488\charrsid3811057 \u9658\'3f}{\rtlch\fcs1 \af0 \ltrch\fcs0 \cs17\b0\v\fs20\cf9\loch\af1\hich\af1\dbch\af31501\insrsid805488\charrsid3871830 \hich\af1\dbch\af31501\loch\f1 &lt;/Article&gt;}{\rtlch\fcs1 \af0 \ltrch\fcs0 _x000d__x000a_\insrsid805488\charrsid3871830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05488\charrsid3871830 \cell }\pard\plain \ltrpar\ql \li0\ri0\widctlpar\intbl\wrapdefault\aspalpha\aspnum\faauto\adjustright\rin0\lin0 \rtlch\fcs1 _x000d__x000a_\af0\afs20\alang1025 \ltrch\fcs0 \fs24\lang2057\langfe2057\cgrid\langnp2057\langfenp2057 {\rtlch\fcs1 \af0 \ltrch\fcs0 \insrsid805488\charrsid387183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4786594 \rtlch\fcs1 \af0\afs20\alang1025 \ltrch\fcs0 \i\fs24\lang2057\langfe2057\cgrid\langnp2057\langfenp2057 {_x000d__x000a_\rtlch\fcs1 \af0 \ltrch\fcs0 \insrsid805488\charrsid3871830 Draft legislative resolution\cell Amendment\cell }\pard\plain \ltrpar\ql \li0\ri0\widctlpar\intbl\wrapdefault\aspalpha\aspnum\faauto\adjustright\rin0\lin0 \rtlch\fcs1 \af0\afs20\alang1025 _x000d__x000a_\ltrch\fcs0 \fs24\lang2057\langfe2057\cgrid\langnp2057\langfenp2057 {\rtlch\fcs1 \af0 \ltrch\fcs0 \insrsid805488\charrsid387183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805488\charrsid3871830 ##\cell }\pard \ltrpar\s19\ql \li0\ri0\sa120\nowidctlpar\intbl\wrapdefault\aspalpha\aspnum\faauto\adjustright\rin0\lin0\pararsid4786594 {\rtlch\fcs1 \af0 \ltrch\fcs0 \insrsid805488\charrsid3871830 ##}{\rtlch\fcs1 \af0\afs24 _x000d__x000a_\ltrch\fcs0 \insrsid805488\charrsid3871830 \cell }\pard\plain \ltrpar\ql \li0\ri0\widctlpar\intbl\wrapdefault\aspalpha\aspnum\faauto\adjustright\rin0\lin0 \rtlch\fcs1 \af0\afs20\alang1025 \ltrch\fcs0 _x000d__x000a_\fs24\lang2057\langfe2057\cgrid\langnp2057\langfenp2057 {\rtlch\fcs1 \af0 \ltrch\fcs0 \insrsid805488\charrsid387183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805488 \rtlch\fcs1 \af0\afs20\alang1025 \ltrch\fcs0 \fs24\lang2057\langfe2057\cgrid\langnp2057\langfenp2057 {\rtlch\fcs1 \af0 \ltrch\fcs0 _x000d__x000a_\insrsid805488\charrsid3871830 Or. }{\rtlch\fcs1 \af0 \ltrch\fcs0 \cs17\v\fs20\cf9\loch\af1\hich\af1\dbch\af31501\insrsid805488\charrsid3871830 \hich\af1\dbch\af31501\loch\f1 &lt;Original&gt;}{\rtlch\fcs1 \af0 \ltrch\fcs0 \insrsid805488\charrsid3871830 #}{_x000d__x000a_\rtlch\fcs1 \af1 \ltrch\fcs0 \cs18\v\f1\fs20\cf15\insrsid805488\charrsid3871830 KEY(MAIN/LANGMIN)sh@ORLANGMSG@}{\rtlch\fcs1 \af0 \ltrch\fcs0 \insrsid805488\charrsid3871830 #}{\rtlch\fcs1 \af0 \ltrch\fcs0 _x000d__x000a_\cs17\v\fs20\cf9\loch\af1\hich\af1\dbch\af31501\insrsid805488\charrsid3871830 \hich\af1\dbch\af31501\loch\f1 &lt;/Original&gt;}{\rtlch\fcs1 \af0 \ltrch\fcs0 \insrsid805488\charrsid3871830 _x000d__x000a_\par }\pard\plain \ltrpar\ql \li0\ri0\widctlpar\wrapdefault\aspalpha\aspnum\faauto\adjustright\rin0\lin0\itap0\pararsid805488 \rtlch\fcs1 \af0\afs20\alang1025 \ltrch\fcs0 \fs24\lang2057\langfe2057\cgrid\langnp2057\langfenp2057 {\rtlch\fcs1 \af0 \ltrch\fcs0 _x000d__x000a_\cs17\v\fs20\cf9\loch\af1\hich\af1\dbch\af31501\insrsid805488\charrsid3871830 \hich\af1\dbch\af31501\loch\f1 &lt;/}{\rtlch\fcs1 \af0 \ltrch\fcs0 \cs17\v\fs20\cf9\lang1024\langfe1024\loch\af1\hich\af1\dbch\af31501\noproof\insrsid805488 _x000d__x000a_\hich\af1\dbch\af31501\loch\f1 Amend}{\rtlch\fcs1 \af0 \ltrch\fcs0 \cs17\v\fs20\cf9\loch\af1\hich\af1\dbch\af31501\insrsid805488\charrsid3871830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d_x000d__x000a_919d8b5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4430 HideTWBExt;}{\s16\ql \li0\ri0\sa120\nowidctlpar\wrapdefault\aspalpha\aspnum\faauto\adjustright\rin0\lin0\itap0 \rtlch\fcs1 \af0\afs20\alang1025 \ltrch\fcs0 _x000d__x000a_\fs24\lang2057\langfe2057\cgrid\langnp2057\langfenp2057 \sbasedon0 \snext16 \spriority0 \styrsid8814430 Normal6a;}{\s17\ql \li0\ri0\nowidctlpar\wrapdefault\aspalpha\aspnum\faauto\adjustright\rin0\lin0\itap0 \rtlch\fcs1 \af0\afs20\alang1025 \ltrch\fcs0 _x000d__x000a_\b\fs24\lang2057\langfe2057\cgrid\langnp2057\langfenp2057 \sbasedon0 \snext17 \spriority0 \styrsid8814430 NormalBold;}{\s18\qr \li0\ri0\sb240\sa240\nowidctlpar\wrapdefault\aspalpha\aspnum\faauto\adjustright\rin0\lin0\itap0 \rtlch\fcs1 _x000d__x000a_\af0\afs20\alang1025 \ltrch\fcs0 \fs24\lang2057\langfe2057\cgrid\langnp2057\langfenp2057 \sbasedon0 \snext18 \spriority0 \styrsid8814430 AmOrLang;}{\s19\qc \li0\ri0\sa240\nowidctlpar\wrapdefault\aspalpha\aspnum\faauto\adjustright\rin0\lin0\itap0 _x000d__x000a_\rtlch\fcs1 \af0\afs20\alang1025 \ltrch\fcs0 \i\fs24\lang2057\langfe2057\cgrid\langnp2057\langfenp2057 \sbasedon0 \snext19 \spriority0 \styrsid8814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8814430 AmNumberTabs;}}{\*\rsidtbl \rsid24658\rsid358857\rsid735077\rsid787282\rsid2892074\rsid3622648\rsid4666813\rsid5708216\rsid6641733_x000d__x000a_\rsid7553164\rsid8465581\rsid8681905\rsid8724649\rsid8814430\rsid9636012\rsid9862312\rsid11215221\rsid11280678\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48}{\nofchars279}{\*\company European Parliament}{\nofcharsws32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4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2806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80678 \chftnsepc _x000d__x000a_\par }}{\*\aftnsep \ltrpar \pard\plain \ltrpar\ql \li0\ri0\widctlpar\wrapdefault\aspalpha\aspnum\faauto\adjustright\rin0\lin0\itap0 \rtlch\fcs1 \af0\afs20\alang1025 \ltrch\fcs0 \fs24\lang2057\langfe2057\cgrid\langnp2057\langfenp2057 {\rtlch\fcs1 \af0 _x000d__x000a_\ltrch\fcs0 \insrsid11280678 \chftnsep _x000d__x000a_\par }}{\*\aftnsepc \ltrpar \pard\plain \ltrpar\ql \li0\ri0\widctlpar\wrapdefault\aspalpha\aspnum\faauto\adjustright\rin0\lin0\itap0 \rtlch\fcs1 \af0\afs20\alang1025 \ltrch\fcs0 \fs24\lang2057\langfe2057\cgrid\langnp2057\langfenp2057 {\rtlch\fcs1 \af0 _x000d__x000a_\ltrch\fcs0 \insrsid112806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8814430 \rtlch\fcs1 \af0\afs20\alang1025 \ltrch\fcs0 \b\fs24\lang2057\langfe2057\cgrid\langnp2057\langfenp2057 {\rtlch\fcs1 \af0 \ltrch\fcs0 \cs15\b0\v\f1\fs20\cf9\insrsid8814430\charrsid12784134 {\*\bkmkstart restartA}&lt;AmendA&gt;}{_x000d__x000a_\rtlch\fcs1 \af0 \ltrch\fcs0 \insrsid8814430\charrsid12784134 [ZAMENDMENT]\tab \tab }{\rtlch\fcs1 \af0 \ltrch\fcs0 \cs15\b0\v\f1\fs20\cf9\insrsid8814430\charrsid12784134 &lt;NumAmA&gt;}{\rtlch\fcs1 \af0 \ltrch\fcs0 \insrsid8814430\charrsid12784134 [ZNRAM]}{_x000d__x000a_\rtlch\fcs1 \af0 \ltrch\fcs0 \cs15\b0\v\f1\fs20\cf9\insrsid8814430\charrsid12784134 &lt;/NumAmA&gt;}{\rtlch\fcs1 \af0 \ltrch\fcs0 \insrsid8814430\charrsid12784134 _x000d__x000a_\par }\pard\plain \ltrpar\s17\ql \li0\ri0\nowidctlpar\wrapdefault\aspalpha\aspnum\faauto\adjustright\rin0\lin0\itap0\pararsid8814430 \rtlch\fcs1 \af0\afs20\alang1025 \ltrch\fcs0 \b\fs24\lang2057\langfe2057\cgrid\langnp2057\langfenp2057 {\rtlch\fcs1 \af0 _x000d__x000a_\ltrch\fcs0 \cs15\b0\v\f1\fs20\cf9\lang1024\langfe1024\noproof\insrsid8814430\charrsid14699840 &lt;RepeatBlock-By&gt;}{\rtlch\fcs1 \af0 \ltrch\fcs0 \lang1024\langfe1024\noproof\insrsid8814430\charrsid14699840 [RepeatMembers]}{\rtlch\fcs1 \af0 \ltrch\fcs0 _x000d__x000a_\cs15\b0\v\f1\fs20\cf9\lang1024\langfe1024\noproof\insrsid8814430\charrsid14699840 &lt;Members&gt;}{\rtlch\fcs1 \af0 \ltrch\fcs0 \insrsid8814430\charrsid14699840 [ZMEMBERS]}{\rtlch\fcs1 \af0 \ltrch\fcs0 _x000d__x000a_\cs15\b0\v\f1\fs20\cf9\lang1024\langfe1024\noproof\insrsid8814430\charrsid14699840 &lt;/Members&gt;}{\rtlch\fcs1 \af0 \ltrch\fcs0 \insrsid8814430\charrsid14699840 _x000d__x000a_\par }\pard\plain \ltrpar\ql \li0\ri0\widctlpar\wrapdefault\aspalpha\aspnum\faauto\adjustright\rin0\lin0\itap0\pararsid8814430 \rtlch\fcs1 \af0\afs20\alang1025 \ltrch\fcs0 \fs24\lang2057\langfe2057\cgrid\langnp2057\langfenp2057 {\rtlch\fcs1 \af0 \ltrch\fcs0 _x000d__x000a_\cs15\v\f1\fs20\cf9\lang1024\langfe1024\noproof\langnp1043\insrsid8814430\charrsid6110050 &lt;AuNomDe&gt;&lt;OptDel&gt;}{\rtlch\fcs1 \af0 \ltrch\fcs0 \lang1024\langfe1024\noproof\langnp1043\insrsid8814430\charrsid6110050 [ZONBEHALF]}{\rtlch\fcs1 \af0 \ltrch\fcs0 _x000d__x000a_\cs15\v\f1\fs20\cf9\lang1024\langfe1024\noproof\langnp1043\insrsid8814430\charrsid6110050 &lt;/OptDel&gt;&lt;/AuNomDe&gt;}{\rtlch\fcs1 \af0 \ltrch\fcs0 \lang1043\langfe2057\langnp1043\insrsid8814430\charrsid6110050 _x000d__x000a_\par }{\rtlch\fcs1 \af0 \ltrch\fcs0 \insrsid8814430\charrsid14699840 &lt;&lt;&lt;}{\rtlch\fcs1 \af0 \ltrch\fcs0 \cs15\v\f1\fs20\cf9\lang1024\langfe1024\noproof\insrsid8814430\charrsid14699840 &lt;/RepeatBlock-By&gt;}{\rtlch\fcs1 \af0 \ltrch\fcs0 _x000d__x000a_\insrsid8814430\charrsid14699840 _x000d__x000a_\par }\pard\plain \ltrpar\s17\ql \li0\ri0\nowidctlpar\wrapdefault\aspalpha\aspnum\faauto\adjustright\rin0\lin0\itap0\pararsid8814430 \rtlch\fcs1 \af0\afs20\alang1025 \ltrch\fcs0 \b\fs24\lang2057\langfe2057\cgrid\langnp2057\langfenp2057 {\rtlch\fcs1 \af0 _x000d__x000a_\ltrch\fcs0 \cs15\b0\v\f1\fs20\cf9\insrsid8814430\charrsid12784134 &lt;DocAmend&gt;}{\rtlch\fcs1 \af0 \ltrch\fcs0 \insrsid8814430\charrsid12784134 [ZRESOLUTION]}{\rtlch\fcs1 \af0 \ltrch\fcs0 \cs15\b0\v\f1\fs20\cf9\insrsid8814430\charrsid12784134 &lt;/DocAmend&gt;}{_x000d__x000a_\rtlch\fcs1 \af0 \ltrch\fcs0 \insrsid8814430\charrsid12784134 _x000d__x000a_\par }{\rtlch\fcs1 \af0 \ltrch\fcs0 \cs15\b0\v\f1\fs20\cf9\lang1024\langfe1024\noproof\insrsid8814430\charrsid8741043 &lt;Article&gt;}{\rtlch\fcs1 \af0 \ltrch\fcs0 \insrsid8814430\charrsid8741043 [ZRESPART]}{\rtlch\fcs1 \af0 \ltrch\fcs0 _x000d__x000a_\cs15\b0\v\f1\fs20\cf9\lang1024\langfe1024\noproof\insrsid8814430\charrsid8741043 &lt;/Article&gt;}{\rtlch\fcs1 \af0 \ltrch\fcs0 \insrsid8814430\charrsid8741043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814430\charrsid12784134 \cell }\pard\plain \ltrpar\ql \li0\ri0\widctlpar\intbl\wrapdefault\aspalpha\aspnum\faauto\adjustright\rin0\lin0 \rtlch\fcs1 _x000d__x000a_\af0\afs20\alang1025 \ltrch\fcs0 \fs24\lang2057\langfe2057\cgrid\langnp2057\langfenp2057 {\rtlch\fcs1 \af0 \ltrch\fcs0 \insrsid8814430\charrsid12784134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4786594 \rtlch\fcs1 \af0\afs20\alang1025 \ltrch\fcs0 \i\fs24\lang2057\langfe2057\cgrid\langnp2057\langfenp2057 {_x000d__x000a_\rtlch\fcs1 \af0 \ltrch\fcs0 \insrsid8814430\charrsid12784134 [ZLEFTA]\cell [ZRIGHT]\cell }\pard\plain \ltrpar\ql \li0\ri0\widctlpar\intbl\wrapdefault\aspalpha\aspnum\faauto\adjustright\rin0\lin0 \rtlch\fcs1 \af0\afs20\alang1025 \ltrch\fcs0 _x000d__x000a_\fs24\lang2057\langfe2057\cgrid\langnp2057\langfenp2057 {\rtlch\fcs1 \af0 \ltrch\fcs0 \insrsid8814430\charrsid1278413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814430\charrsid12784134 [ZTEXTL]\cell }\pard \ltrpar\s16\ql \li0\ri0\sa120\nowidctlpar\intbl\wrapdefault\aspalpha\aspnum\faauto\adjustright\rin0\lin0\pararsid4786594 {\rtlch\fcs1 \af0 \ltrch\fcs0 \insrsid8814430\charrsid12784134 [ZTEXTR]}{_x000d__x000a_\rtlch\fcs1 \af0\afs24 \ltrch\fcs0 \insrsid8814430\charrsid12784134 \cell }\pard\plain \ltrpar\ql \li0\ri0\widctlpar\intbl\wrapdefault\aspalpha\aspnum\faauto\adjustright\rin0\lin0 \rtlch\fcs1 \af0\afs20\alang1025 \ltrch\fcs0 _x000d__x000a_\fs24\lang2057\langfe2057\cgrid\langnp2057\langfenp2057 {\rtlch\fcs1 \af0 \ltrch\fcs0 \insrsid8814430\charrsid1278413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8814430 \rtlch\fcs1 \af0\afs20\alang1025 \ltrch\fcs0 \fs24\lang2057\langfe2057\cgrid\langnp2057\langfenp2057 {\rtlch\fcs1 \af0 \ltrch\fcs0 _x000d__x000a_\insrsid8814430\charrsid12784134 Or. }{\rtlch\fcs1 \af0 \ltrch\fcs0 \cs15\v\f1\fs20\cf9\insrsid8814430\charrsid12784134 &lt;Original&gt;}{\rtlch\fcs1 \af0 \ltrch\fcs0 \insrsid8814430\charrsid12784134 [ZORLANG]}{\rtlch\fcs1 \af0 \ltrch\fcs0 _x000d__x000a_\cs15\v\f1\fs20\cf9\insrsid8814430\charrsid12784134 &lt;/Original&gt;}{\rtlch\fcs1 \af0 \ltrch\fcs0 \insrsid8814430\charrsid12784134 _x000d__x000a_\par }\pard\plain \ltrpar\ql \li0\ri0\widctlpar\wrapdefault\aspalpha\aspnum\faauto\adjustright\rin0\lin0\itap0\pararsid8814430 \rtlch\fcs1 \af0\afs20\alang1025 \ltrch\fcs0 \fs24\lang2057\langfe2057\cgrid\langnp2057\langfenp2057 {\rtlch\fcs1 \af0 \ltrch\fcs0 _x000d__x000a_\cs15\v\f1\fs20\cf9\insrsid8814430\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f4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65326 HideTWBExt;}{\s16\ql \li0\ri0\sa120\nowidctlpar\wrapdefault\aspalpha\aspnum\faauto\adjustright\rin0\lin0\itap0 \rtlch\fcs1 \af0\afs20\alang1025 \ltrch\fcs0 _x000d__x000a_\fs24\lang2057\langfe2057\cgrid\langnp2057\langfenp2057 \sbasedon0 \snext16 \spriority0 \styrsid12065326 Normal6a;}{\s17\ql \li0\ri0\nowidctlpar\wrapdefault\aspalpha\aspnum\faauto\adjustright\rin0\lin0\itap0 \rtlch\fcs1 \af0\afs20\alang1025 \ltrch\fcs0 _x000d__x000a_\b\fs24\lang2057\langfe2057\cgrid\langnp2057\langfenp2057 \sbasedon0 \snext17 \spriority0 \styrsid12065326 NormalBold;}{\s18\ql \li0\ri0\sa240\nowidctlpar\wrapdefault\aspalpha\aspnum\faauto\adjustright\rin0\lin0\itap0 \rtlch\fcs1 \af0\afs20\alang1025 _x000d__x000a_\ltrch\fcs0 \i\fs24\lang2057\langfe2057\cgrid\langnp2057\langfenp2057 \sbasedon0 \snext18 \spriority0 \styrsid12065326 AmJustText;}{\s19\qc \li0\ri0\sb240\sa240\nowidctlpar\wrapdefault\aspalpha\aspnum\faauto\adjustright\rin0\lin0\itap0 \rtlch\fcs1 _x000d__x000a_\af0\afs20\alang1025 \ltrch\fcs0 \i\fs24\lang2057\langfe2057\cgrid\langnp2057\langfenp2057 \sbasedon0 \snext19 \spriority0 \styrsid12065326 AmCrossRef;}{_x000d__x000a_\s20\qc \li0\ri0\sb240\sa240\keepn\nowidctlpar\wrapdefault\aspalpha\aspnum\faauto\adjustright\rin0\lin0\itap0 \rtlch\fcs1 \af0\afs20\alang1025 \ltrch\fcs0 \i\fs24\lang2057\langfe2057\cgrid\langnp2057\langfenp2057 _x000d__x000a_\sbasedon0 \snext18 \spriority0 \styrsid12065326 AmJustTitle;}{\s21\qr \li0\ri0\sb240\sa240\nowidctlpar\wrapdefault\aspalpha\aspnum\faauto\adjustright\rin0\lin0\itap0 \rtlch\fcs1 \af0\afs20\alang1025 \ltrch\fcs0 _x000d__x000a_\fs24\lang2057\langfe2057\cgrid\langnp2057\langfenp2057 \sbasedon0 \snext21 \spriority0 \styrsid12065326 AmOrLang;}{\s22\qc \li0\ri0\sa240\nowidctlpar\wrapdefault\aspalpha\aspnum\faauto\adjustright\rin0\lin0\itap0 \rtlch\fcs1 \af0\afs20\alang1025 _x000d__x000a_\ltrch\fcs0 \i\fs24\lang2057\langfe2057\cgrid\langnp2057\langfenp2057 \sbasedon0 \snext22 \spriority0 \styrsid12065326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065326 AmNumberTabs;}}{\*\rsidtbl \rsid24658\rsid358857\rsid735077\rsid787282\rsid2892074\rsid3622648\rsid3883069\rsid4666813\rsid5708216_x000d__x000a_\rsid6641733\rsid7553164\rsid8465581\rsid8681905\rsid8724649\rsid9636012\rsid9862312\rsid11215221\rsid11370291\rsid11434737\rsid11607138\rsid11824949\rsid12065326\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78}{\nofchars447}{\*\company European Parliament}{\nofcharsws52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6532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8830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83069 \chftnsepc _x000d__x000a_\par }}{\*\aftnsep \ltrpar \pard\plain \ltrpar\ql \li0\ri0\widctlpar\wrapdefault\aspalpha\aspnum\faauto\adjustright\rin0\lin0\itap0 \rtlch\fcs1 \af0\afs20\alang1025 \ltrch\fcs0 \fs24\lang2057\langfe2057\cgrid\langnp2057\langfenp2057 {\rtlch\fcs1 \af0 _x000d__x000a_\ltrch\fcs0 \insrsid3883069 \chftnsep _x000d__x000a_\par }}{\*\aftnsepc \ltrpar \pard\plain \ltrpar\ql \li0\ri0\widctlpar\wrapdefault\aspalpha\aspnum\faauto\adjustright\rin0\lin0\itap0 \rtlch\fcs1 \af0\afs20\alang1025 \ltrch\fcs0 \fs24\lang2057\langfe2057\cgrid\langnp2057\langfenp2057 {\rtlch\fcs1 \af0 _x000d__x000a_\ltrch\fcs0 \insrsid388306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065326 \rtlch\fcs1 \af0\afs20\alang1025 \ltrch\fcs0 \b\fs24\lang2057\langfe2057\cgrid\langnp2057\langfenp2057 {\rtlch\fcs1 \af0 \ltrch\fcs0 \cs15\b0\v\f1\fs20\cf9\insrsid12065326\charrsid12784134 {\*\bkmkstart restartB}&lt;AmendB&gt;}{_x000d__x000a_\rtlch\fcs1 \af0 \ltrch\fcs0 \insrsid12065326\charrsid12784134 [ZAMENDMENT]\tab \tab }{\rtlch\fcs1 \af0 \ltrch\fcs0 \cs15\b0\v\f1\fs20\cf9\insrsid12065326\charrsid12784134 &lt;NumAmB&gt;}{\rtlch\fcs1 \af0 \ltrch\fcs0 \insrsid12065326\charrsid12784134 [ZNRAM]}{_x000d__x000a_\rtlch\fcs1 \af0 \ltrch\fcs0 \cs15\b0\v\f1\fs20\cf9\insrsid12065326\charrsid12784134 &lt;/NumAmB&gt;}{\rtlch\fcs1 \af0 \ltrch\fcs0 \insrsid12065326\charrsid12784134 _x000d__x000a_\par }\pard\plain \ltrpar\s17\ql \li0\ri0\nowidctlpar\wrapdefault\aspalpha\aspnum\faauto\adjustright\rin0\lin0\itap0\pararsid12065326 \rtlch\fcs1 \af0\afs20\alang1025 \ltrch\fcs0 \b\fs24\lang2057\langfe2057\cgrid\langnp2057\langfenp2057 {\rtlch\fcs1 \af0 _x000d__x000a_\ltrch\fcs0 \cs15\b0\v\f1\fs20\cf9\lang1024\langfe1024\noproof\insrsid12065326\charrsid14699840 &lt;RepeatBlock-By&gt;}{\rtlch\fcs1 \af0 \ltrch\fcs0 \lang1024\langfe1024\noproof\insrsid12065326\charrsid14699840 [RepeatMembers]}{\rtlch\fcs1 \af0 \ltrch\fcs0 _x000d__x000a_\cs15\b0\v\f1\fs20\cf9\lang1024\langfe1024\noproof\insrsid12065326\charrsid14699840 &lt;Members&gt;}{\rtlch\fcs1 \af0 \ltrch\fcs0 \insrsid12065326\charrsid14699840 [ZMEMBERS]}{\rtlch\fcs1 \af0 \ltrch\fcs0 _x000d__x000a_\cs15\b0\v\f1\fs20\cf9\lang1024\langfe1024\noproof\insrsid12065326\charrsid14699840 &lt;/Members&gt;}{\rtlch\fcs1 \af0 \ltrch\fcs0 \insrsid12065326\charrsid14699840 _x000d__x000a_\par }\pard\plain \ltrpar\ql \li0\ri0\widctlpar\wrapdefault\aspalpha\aspnum\faauto\adjustright\rin0\lin0\itap0\pararsid12065326 \rtlch\fcs1 \af0\afs20\alang1025 \ltrch\fcs0 \fs24\lang2057\langfe2057\cgrid\langnp2057\langfenp2057 {\rtlch\fcs1 \af0 \ltrch\fcs0 _x000d__x000a_\cs15\v\f1\fs20\cf9\lang1024\langfe1024\noproof\langnp1043\insrsid12065326\charrsid6110050 &lt;AuNomDe&gt;&lt;OptDel&gt;}{\rtlch\fcs1 \af0 \ltrch\fcs0 \lang1024\langfe1024\noproof\langnp1043\insrsid12065326\charrsid6110050 [ZONBEHALF]}{\rtlch\fcs1 \af0 \ltrch\fcs0 _x000d__x000a_\cs15\v\f1\fs20\cf9\lang1024\langfe1024\noproof\langnp1043\insrsid12065326\charrsid6110050 &lt;/OptDel&gt;&lt;/AuNomDe&gt;}{\rtlch\fcs1 \af0 \ltrch\fcs0 \lang1043\langfe2057\langnp1043\insrsid12065326\charrsid6110050 _x000d__x000a_\par }{\rtlch\fcs1 \af0 \ltrch\fcs0 \insrsid12065326\charrsid14699840 &lt;&lt;&lt;}{\rtlch\fcs1 \af0 \ltrch\fcs0 \cs15\v\f1\fs20\cf9\lang1024\langfe1024\noproof\insrsid12065326\charrsid14699840 &lt;/RepeatBlock-By&gt;}{\rtlch\fcs1 \af0 \ltrch\fcs0 _x000d__x000a_\insrsid12065326\charrsid14699840 _x000d__x000a_\par }\pard\plain \ltrpar\s17\ql \li0\ri0\nowidctlpar\wrapdefault\aspalpha\aspnum\faauto\adjustright\rin0\lin0\itap0\pararsid12065326 \rtlch\fcs1 \af0\afs20\alang1025 \ltrch\fcs0 \b\fs24\lang2057\langfe2057\cgrid\langnp2057\langfenp2057 {\rtlch\fcs1 \af0 _x000d__x000a_\ltrch\fcs0 \cs15\b0\v\f1\fs20\cf9\insrsid12065326\charrsid12784134 &lt;DocAmend&gt;}{\rtlch\fcs1 \af0 \ltrch\fcs0 \insrsid12065326\charrsid12784134 [}{\rtlch\fcs1 \af0 \ltrch\fcs0 \insrsid12065326 ZAMDOC}{\rtlch\fcs1 \af0 \ltrch\fcs0 _x000d__x000a_\insrsid12065326\charrsid12784134 ]}{\rtlch\fcs1 \af0 \ltrch\fcs0 \cs15\b0\v\f1\fs20\cf9\insrsid12065326\charrsid12784134 &lt;/DocAmend&gt;}{\rtlch\fcs1 \af0 \ltrch\fcs0 \insrsid12065326\charrsid12784134 _x000d__x000a_\par }\pard \ltrpar\s17\ql \li0\ri0\keepn\nowidctlpar\wrapdefault\aspalpha\aspnum\faauto\adjustright\rin0\lin0\itap0\pararsid12065326 {\rtlch\fcs1 \af0 \ltrch\fcs0 \cs15\b0\v\f1\fs20\cf9\insrsid12065326\charrsid12784134 &lt;Article&gt;}{\rtlch\fcs1 \af0 \ltrch\fcs0 _x000d__x000a_\insrsid12065326\charrsid12784134 [ZAMPART]}{\rtlch\fcs1 \af0 \ltrch\fcs0 \cs15\b0\v\f1\fs20\cf9\insrsid12065326\charrsid12784134 &lt;/Article&gt;}{\rtlch\fcs1 \af0 \ltrch\fcs0 \insrsid12065326\charrsid12784134 _x000d__x000a_\par }\pard\plain \ltrpar\ql \li0\ri0\keepn\widctlpar\wrapdefault\aspalpha\aspnum\faauto\adjustright\rin0\lin0\itap0\pararsid12065326 \rtlch\fcs1 \af0\afs20\alang1025 \ltrch\fcs0 \fs24\lang2057\langfe2057\cgrid\langnp2057\langfenp2057 {\rtlch\fcs1 \af0 _x000d__x000a_\ltrch\fcs0 \cs15\v\f1\fs20\cf9\lang1043\langfe2057\langnp1043\insrsid12065326\charrsid6110050 &lt;DocAmend2&gt;&lt;OptDel&gt;}{\rtlch\fcs1 \af0 \ltrch\fcs0 \lang1043\langfe2057\langnp1043\insrsid12065326\charrsid6110050 [ZNRACT]}{\rtlch\fcs1 \af0 \ltrch\fcs0 _x000d__x000a_\cs15\v\f1\fs20\cf9\lang1043\langfe2057\langnp1043\insrsid12065326\charrsid6110050 &lt;/OptDel&gt;&lt;/DocAmend2&gt;}{\rtlch\fcs1 \af0 \ltrch\fcs0 \lang1043\langfe2057\langnp1043\insrsid12065326\charrsid6110050 _x000d__x000a_\par }\pard \ltrpar\ql \li0\ri0\widctlpar\wrapdefault\aspalpha\aspnum\faauto\adjustright\rin0\lin0\itap0\pararsid12065326 {\rtlch\fcs1 \af0 \ltrch\fcs0 \cs15\v\f1\fs20\cf9\lang1036\langfe2057\langnp1036\insrsid12065326\charrsid6110050 &lt;Article2&gt;&lt;OptDel&gt;}{_x000d__x000a_\rtlch\fcs1 \af0 \ltrch\fcs0 \lang1036\langfe2057\langnp1036\insrsid12065326\charrsid6110050 [ZACTPART]}{\rtlch\fcs1 \af0 \ltrch\fcs0 \cs15\v\f1\fs20\cf9\lang1036\langfe2057\langnp1036\insrsid12065326\charrsid6110050 &lt;/OptDel&gt;&lt;/Article2&gt;}{\rtlch\fcs1 _x000d__x000a_\af0 \ltrch\fcs0 \lang1036\langfe2057\langnp1036\insrsid12065326\charrsid6110050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lang1036\langfe2057\langnp1036\insrsid12065326\charrsid6110050 \cell }\pard\plain \ltrpar_x000d__x000a_\ql \li0\ri0\widctlpar\intbl\wrapdefault\aspalpha\aspnum\faauto\adjustright\rin0\lin0 \rtlch\fcs1 \af0\afs20\alang1025 \ltrch\fcs0 \fs24\lang2057\langfe2057\cgrid\langnp2057\langfenp2057 {\rtlch\fcs1 \af0 \ltrch\fcs0 \insrsid12065326\charrsid6035183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4786594 \rtlch\fcs1 \af0\afs20\alang1025 \ltrch\fcs0 \i\fs24\lang2057\langfe2057\cgrid\langnp2057\langfenp2057 {\rtlch\fcs1 \af0 \ltrch\fcs0 _x000d__x000a_\insrsid12065326\charrsid12784134 [ZLEFTB]\cell [ZRIGHT]\cell }\pard\plain \ltrpar\ql \li0\ri0\widctlpar\intbl\wrapdefault\aspalpha\aspnum\faauto\adjustright\rin0\lin0 \rtlch\fcs1 \af0\afs20\alang1025 \ltrch\fcs0 _x000d__x000a_\fs24\lang2057\langfe2057\cgrid\langnp2057\langfenp2057 {\rtlch\fcs1 \af0 \ltrch\fcs0 \insrsid12065326\charrsid1278413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2065326\charrsid12784134 [ZTEXTL]\cell }\pard \ltrpar\s16\ql \li0\ri0\sa120\nowidctlpar\intbl\wrapdefault\aspalpha\aspnum\faauto\adjustright\rin0\lin0\pararsid4786594 {\rtlch\fcs1 \af0 \ltrch\fcs0 \insrsid12065326\charrsid12784134 [ZTEXTR]}{_x000d__x000a_\rtlch\fcs1 \af0\afs24 \ltrch\fcs0 \insrsid12065326\charrsid12784134 \cell }\pard\plain \ltrpar\ql \li0\ri0\widctlpar\intbl\wrapdefault\aspalpha\aspnum\faauto\adjustright\rin0\lin0 \rtlch\fcs1 \af0\afs20\alang1025 \ltrch\fcs0 _x000d__x000a_\fs24\lang2057\langfe2057\cgrid\langnp2057\langfenp2057 {\rtlch\fcs1 \af0 \ltrch\fcs0 \insrsid12065326\charrsid1278413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2065326 \rtlch\fcs1 \af0\afs20\alang1025 \ltrch\fcs0 \fs24\lang2057\langfe2057\cgrid\langnp2057\langfenp2057 {\rtlch\fcs1 \af0 \ltrch\fcs0 _x000d__x000a_\insrsid12065326\charrsid12784134 Or. }{\rtlch\fcs1 \af0 \ltrch\fcs0 \cs15\v\f1\fs20\cf9\insrsid12065326\charrsid12784134 &lt;Original&gt;}{\rtlch\fcs1 \af0 \ltrch\fcs0 \insrsid12065326\charrsid12784134 [ZORLANG]}{\rtlch\fcs1 \af0 \ltrch\fcs0 _x000d__x000a_\cs15\v\f1\fs20\cf9\insrsid12065326\charrsid12784134 &lt;/Original&gt;}{\rtlch\fcs1 \af0 \ltrch\fcs0 \insrsid12065326\charrsid12784134 _x000d__x000a_\par }\pard\plain \ltrpar\s19\qc \li0\ri0\sb240\sa240\nowidctlpar\wrapdefault\aspalpha\aspnum\faauto\adjustright\rin0\lin0\itap0\pararsid12065326 \rtlch\fcs1 \af0\afs20\alang1025 \ltrch\fcs0 \i\fs24\lang2057\langfe2057\cgrid\langnp2057\langfenp2057 {_x000d__x000a_\rtlch\fcs1 \af0 \ltrch\fcs0 \cs15\i0\v\f1\fs20\cf9\insrsid12065326\charrsid12784134 &lt;OptDel&gt;}{\rtlch\fcs1 \af0 \ltrch\fcs0 \insrsid12065326\charrsid12784134 [ZCROSSREF]}{\rtlch\fcs1 \af0 \ltrch\fcs0 _x000d__x000a_\cs15\i0\v\f1\fs20\cf9\insrsid12065326\charrsid12784134 &lt;/OptDel&gt;}{\rtlch\fcs1 \af0 \ltrch\fcs0 \insrsid12065326\charrsid12784134 _x000d__x000a_\par }\pard\plain \ltrpar\s20\qc \li0\ri0\sb240\sa240\keepn\nowidctlpar\wrapdefault\aspalpha\aspnum\faauto\adjustright\rin0\lin0\itap0\pararsid12065326 \rtlch\fcs1 \af0\afs20\alang1025 \ltrch\fcs0 \i\fs24\lang2057\langfe2057\cgrid\langnp2057\langfenp2057 {_x000d__x000a_\rtlch\fcs1 \af0 \ltrch\fcs0 \cs15\i0\v\f1\fs20\cf9\insrsid12065326\charrsid12784134 &lt;TitreJust&gt;}{\rtlch\fcs1 \af0 \ltrch\fcs0 \insrsid12065326\charrsid12784134 [ZJUSTIFICATION]}{\rtlch\fcs1 \af0 \ltrch\fcs0 _x000d__x000a_\cs15\i0\v\f1\fs20\cf9\insrsid12065326\charrsid12784134 &lt;/TitreJust&gt;}{\rtlch\fcs1 \af0 \ltrch\fcs0 \insrsid12065326\charrsid12784134 _x000d__x000a_\par }\pard\plain \ltrpar\s18\ql \li0\ri0\sa240\nowidctlpar\wrapdefault\aspalpha\aspnum\faauto\adjustright\rin0\lin0\itap0\pararsid12065326 \rtlch\fcs1 \af0\afs20\alang1025 \ltrch\fcs0 \i\fs24\lang2057\langfe2057\cgrid\langnp2057\langfenp2057 {\rtlch\fcs1 _x000d__x000a_\af0 \ltrch\fcs0 \cs15\i0\v\f1\fs20\cf9\insrsid12065326\charrsid12784134 &lt;OptDelPrev&gt;}{\rtlch\fcs1 \af0 \ltrch\fcs0 \insrsid12065326\charrsid12784134 [ZTEXTJUST]}{\rtlch\fcs1 \af0 \ltrch\fcs0 \cs15\i0\v\f1\fs20\cf9\insrsid12065326\charrsid12784134 _x000d__x000a_&lt;/OptDelPrev&gt;}{\rtlch\fcs1 \af0 \ltrch\fcs0 \insrsid12065326\charrsid12784134 _x000d__x000a_\par }\pard\plain \ltrpar\ql \li0\ri0\widctlpar\wrapdefault\aspalpha\aspnum\faauto\adjustright\rin0\lin0\itap0\pararsid12065326 \rtlch\fcs1 \af0\afs20\alang1025 \ltrch\fcs0 \fs24\lang2057\langfe2057\cgrid\langnp2057\langfenp2057 {\rtlch\fcs1 \af0 \ltrch\fcs0 _x000d__x000a_\cs15\v\f1\fs20\cf9\insrsid12065326\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5_x000d__x000a_791e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4430 HideTWBExt;}{\s16\ql \li0\ri0\sa120\nowidctlpar\wrapdefault\aspalpha\aspnum\faauto\adjustright\rin0\lin0\itap0 \rtlch\fcs1 \af0\afs20\alang1025 \ltrch\fcs0 _x000d__x000a_\fs24\lang2057\langfe2057\cgrid\langnp2057\langfenp2057 \sbasedon0 \snext16 \spriority0 \styrsid8814430 Normal6a;}{\s17\ql \li0\ri0\nowidctlpar\wrapdefault\aspalpha\aspnum\faauto\adjustright\rin0\lin0\itap0 \rtlch\fcs1 \af0\afs20\alang1025 \ltrch\fcs0 _x000d__x000a_\b\fs24\lang2057\langfe2057\cgrid\langnp2057\langfenp2057 \sbasedon0 \snext17 \spriority0 \styrsid8814430 NormalBold;}{\s18\qr \li0\ri0\sb240\sa240\nowidctlpar\wrapdefault\aspalpha\aspnum\faauto\adjustright\rin0\lin0\itap0 \rtlch\fcs1 _x000d__x000a_\af0\afs20\alang1025 \ltrch\fcs0 \fs24\lang2057\langfe2057\cgrid\langnp2057\langfenp2057 \sbasedon0 \snext18 \spriority0 \styrsid8814430 AmOrLang;}{\s19\qc \li0\ri0\sa240\nowidctlpar\wrapdefault\aspalpha\aspnum\faauto\adjustright\rin0\lin0\itap0 _x000d__x000a_\rtlch\fcs1 \af0\afs20\alang1025 \ltrch\fcs0 \i\fs24\lang2057\langfe2057\cgrid\langnp2057\langfenp2057 \sbasedon0 \snext19 \spriority0 \styrsid8814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8814430 AmNumberTabs;}}{\*\rsidtbl \rsid24658\rsid358857\rsid735077\rsid787282\rsid2892074\rsid3622648\rsid4666813\rsid5708216\rsid6641733_x000d__x000a_\rsid7553164\rsid8465581\rsid8681905\rsid8724649\rsid8814430\rsid9636012\rsid9862312\rsid11215221\rsid11280678\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48}{\nofchars279}{\*\company European Parliament}{\nofcharsws32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4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2806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80678 \chftnsepc _x000d__x000a_\par }}{\*\aftnsep \ltrpar \pard\plain \ltrpar\ql \li0\ri0\widctlpar\wrapdefault\aspalpha\aspnum\faauto\adjustright\rin0\lin0\itap0 \rtlch\fcs1 \af0\afs20\alang1025 \ltrch\fcs0 \fs24\lang2057\langfe2057\cgrid\langnp2057\langfenp2057 {\rtlch\fcs1 \af0 _x000d__x000a_\ltrch\fcs0 \insrsid11280678 \chftnsep _x000d__x000a_\par }}{\*\aftnsepc \ltrpar \pard\plain \ltrpar\ql \li0\ri0\widctlpar\wrapdefault\aspalpha\aspnum\faauto\adjustright\rin0\lin0\itap0 \rtlch\fcs1 \af0\afs20\alang1025 \ltrch\fcs0 \fs24\lang2057\langfe2057\cgrid\langnp2057\langfenp2057 {\rtlch\fcs1 \af0 _x000d__x000a_\ltrch\fcs0 \insrsid112806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8814430 \rtlch\fcs1 \af0\afs20\alang1025 \ltrch\fcs0 \b\fs24\lang2057\langfe2057\cgrid\langnp2057\langfenp2057 {\rtlch\fcs1 \af0 \ltrch\fcs0 \cs15\b0\v\f1\fs20\cf9\insrsid8814430\charrsid12784134 {\*\bkmkstart restartA}&lt;AmendA&gt;}{_x000d__x000a_\rtlch\fcs1 \af0 \ltrch\fcs0 \insrsid8814430\charrsid12784134 [ZAMENDMENT]\tab \tab }{\rtlch\fcs1 \af0 \ltrch\fcs0 \cs15\b0\v\f1\fs20\cf9\insrsid8814430\charrsid12784134 &lt;NumAmA&gt;}{\rtlch\fcs1 \af0 \ltrch\fcs0 \insrsid8814430\charrsid12784134 [ZNRAM]}{_x000d__x000a_\rtlch\fcs1 \af0 \ltrch\fcs0 \cs15\b0\v\f1\fs20\cf9\insrsid8814430\charrsid12784134 &lt;/NumAmA&gt;}{\rtlch\fcs1 \af0 \ltrch\fcs0 \insrsid8814430\charrsid12784134 _x000d__x000a_\par }\pard\plain \ltrpar\s17\ql \li0\ri0\nowidctlpar\wrapdefault\aspalpha\aspnum\faauto\adjustright\rin0\lin0\itap0\pararsid8814430 \rtlch\fcs1 \af0\afs20\alang1025 \ltrch\fcs0 \b\fs24\lang2057\langfe2057\cgrid\langnp2057\langfenp2057 {\rtlch\fcs1 \af0 _x000d__x000a_\ltrch\fcs0 \cs15\b0\v\f1\fs20\cf9\lang1024\langfe1024\noproof\insrsid8814430\charrsid14699840 &lt;RepeatBlock-By&gt;}{\rtlch\fcs1 \af0 \ltrch\fcs0 \lang1024\langfe1024\noproof\insrsid8814430\charrsid14699840 [RepeatMembers]}{\rtlch\fcs1 \af0 \ltrch\fcs0 _x000d__x000a_\cs15\b0\v\f1\fs20\cf9\lang1024\langfe1024\noproof\insrsid8814430\charrsid14699840 &lt;Members&gt;}{\rtlch\fcs1 \af0 \ltrch\fcs0 \insrsid8814430\charrsid14699840 [ZMEMBERS]}{\rtlch\fcs1 \af0 \ltrch\fcs0 _x000d__x000a_\cs15\b0\v\f1\fs20\cf9\lang1024\langfe1024\noproof\insrsid8814430\charrsid14699840 &lt;/Members&gt;}{\rtlch\fcs1 \af0 \ltrch\fcs0 \insrsid8814430\charrsid14699840 _x000d__x000a_\par }\pard\plain \ltrpar\ql \li0\ri0\widctlpar\wrapdefault\aspalpha\aspnum\faauto\adjustright\rin0\lin0\itap0\pararsid8814430 \rtlch\fcs1 \af0\afs20\alang1025 \ltrch\fcs0 \fs24\lang2057\langfe2057\cgrid\langnp2057\langfenp2057 {\rtlch\fcs1 \af0 \ltrch\fcs0 _x000d__x000a_\cs15\v\f1\fs20\cf9\lang1024\langfe1024\noproof\langnp1043\insrsid8814430\charrsid6110050 &lt;AuNomDe&gt;&lt;OptDel&gt;}{\rtlch\fcs1 \af0 \ltrch\fcs0 \lang1024\langfe1024\noproof\langnp1043\insrsid8814430\charrsid6110050 [ZONBEHALF]}{\rtlch\fcs1 \af0 \ltrch\fcs0 _x000d__x000a_\cs15\v\f1\fs20\cf9\lang1024\langfe1024\noproof\langnp1043\insrsid8814430\charrsid6110050 &lt;/OptDel&gt;&lt;/AuNomDe&gt;}{\rtlch\fcs1 \af0 \ltrch\fcs0 \lang1043\langfe2057\langnp1043\insrsid8814430\charrsid6110050 _x000d__x000a_\par }{\rtlch\fcs1 \af0 \ltrch\fcs0 \insrsid8814430\charrsid14699840 &lt;&lt;&lt;}{\rtlch\fcs1 \af0 \ltrch\fcs0 \cs15\v\f1\fs20\cf9\lang1024\langfe1024\noproof\insrsid8814430\charrsid14699840 &lt;/RepeatBlock-By&gt;}{\rtlch\fcs1 \af0 \ltrch\fcs0 _x000d__x000a_\insrsid8814430\charrsid14699840 _x000d__x000a_\par }\pard\plain \ltrpar\s17\ql \li0\ri0\nowidctlpar\wrapdefault\aspalpha\aspnum\faauto\adjustright\rin0\lin0\itap0\pararsid8814430 \rtlch\fcs1 \af0\afs20\alang1025 \ltrch\fcs0 \b\fs24\lang2057\langfe2057\cgrid\langnp2057\langfenp2057 {\rtlch\fcs1 \af0 _x000d__x000a_\ltrch\fcs0 \cs15\b0\v\f1\fs20\cf9\insrsid8814430\charrsid12784134 &lt;DocAmend&gt;}{\rtlch\fcs1 \af0 \ltrch\fcs0 \insrsid8814430\charrsid12784134 [ZRESOLUTION]}{\rtlch\fcs1 \af0 \ltrch\fcs0 \cs15\b0\v\f1\fs20\cf9\insrsid8814430\charrsid12784134 &lt;/DocAmend&gt;}{_x000d__x000a_\rtlch\fcs1 \af0 \ltrch\fcs0 \insrsid8814430\charrsid12784134 _x000d__x000a_\par }{\rtlch\fcs1 \af0 \ltrch\fcs0 \cs15\b0\v\f1\fs20\cf9\lang1024\langfe1024\noproof\insrsid8814430\charrsid8741043 &lt;Article&gt;}{\rtlch\fcs1 \af0 \ltrch\fcs0 \insrsid8814430\charrsid8741043 [ZRESPART]}{\rtlch\fcs1 \af0 \ltrch\fcs0 _x000d__x000a_\cs15\b0\v\f1\fs20\cf9\lang1024\langfe1024\noproof\insrsid8814430\charrsid8741043 &lt;/Article&gt;}{\rtlch\fcs1 \af0 \ltrch\fcs0 \insrsid8814430\charrsid8741043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814430\charrsid12784134 \cell }\pard\plain \ltrpar\ql \li0\ri0\widctlpar\intbl\wrapdefault\aspalpha\aspnum\faauto\adjustright\rin0\lin0 \rtlch\fcs1 _x000d__x000a_\af0\afs20\alang1025 \ltrch\fcs0 \fs24\lang2057\langfe2057\cgrid\langnp2057\langfenp2057 {\rtlch\fcs1 \af0 \ltrch\fcs0 \insrsid8814430\charrsid12784134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4786594 \rtlch\fcs1 \af0\afs20\alang1025 \ltrch\fcs0 \i\fs24\lang2057\langfe2057\cgrid\langnp2057\langfenp2057 {_x000d__x000a_\rtlch\fcs1 \af0 \ltrch\fcs0 \insrsid8814430\charrsid12784134 [ZLEFTA]\cell [ZRIGHT]\cell }\pard\plain \ltrpar\ql \li0\ri0\widctlpar\intbl\wrapdefault\aspalpha\aspnum\faauto\adjustright\rin0\lin0 \rtlch\fcs1 \af0\afs20\alang1025 \ltrch\fcs0 _x000d__x000a_\fs24\lang2057\langfe2057\cgrid\langnp2057\langfenp2057 {\rtlch\fcs1 \af0 \ltrch\fcs0 \insrsid8814430\charrsid1278413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814430\charrsid12784134 [ZTEXTL]\cell }\pard \ltrpar\s16\ql \li0\ri0\sa120\nowidctlpar\intbl\wrapdefault\aspalpha\aspnum\faauto\adjustright\rin0\lin0\pararsid4786594 {\rtlch\fcs1 \af0 \ltrch\fcs0 \insrsid8814430\charrsid12784134 [ZTEXTR]}{_x000d__x000a_\rtlch\fcs1 \af0\afs24 \ltrch\fcs0 \insrsid8814430\charrsid12784134 \cell }\pard\plain \ltrpar\ql \li0\ri0\widctlpar\intbl\wrapdefault\aspalpha\aspnum\faauto\adjustright\rin0\lin0 \rtlch\fcs1 \af0\afs20\alang1025 \ltrch\fcs0 _x000d__x000a_\fs24\lang2057\langfe2057\cgrid\langnp2057\langfenp2057 {\rtlch\fcs1 \af0 \ltrch\fcs0 \insrsid8814430\charrsid1278413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8814430 \rtlch\fcs1 \af0\afs20\alang1025 \ltrch\fcs0 \fs24\lang2057\langfe2057\cgrid\langnp2057\langfenp2057 {\rtlch\fcs1 \af0 \ltrch\fcs0 _x000d__x000a_\insrsid8814430\charrsid12784134 Or. }{\rtlch\fcs1 \af0 \ltrch\fcs0 \cs15\v\f1\fs20\cf9\insrsid8814430\charrsid12784134 &lt;Original&gt;}{\rtlch\fcs1 \af0 \ltrch\fcs0 \insrsid8814430\charrsid12784134 [ZORLANG]}{\rtlch\fcs1 \af0 \ltrch\fcs0 _x000d__x000a_\cs15\v\f1\fs20\cf9\insrsid8814430\charrsid12784134 &lt;/Original&gt;}{\rtlch\fcs1 \af0 \ltrch\fcs0 \insrsid8814430\charrsid12784134 _x000d__x000a_\par }\pard\plain \ltrpar\ql \li0\ri0\widctlpar\wrapdefault\aspalpha\aspnum\faauto\adjustright\rin0\lin0\itap0\pararsid8814430 \rtlch\fcs1 \af0\afs20\alang1025 \ltrch\fcs0 \fs24\lang2057\langfe2057\cgrid\langnp2057\langfenp2057 {\rtlch\fcs1 \af0 \ltrch\fcs0 _x000d__x000a_\cs15\v\f1\fs20\cf9\insrsid8814430\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f4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Opinion"/>
    <w:docVar w:name="strSubDir" w:val="1209"/>
    <w:docVar w:name="TXTLANGUE" w:val="EN"/>
    <w:docVar w:name="TXTLANGUEMIN" w:val="en"/>
    <w:docVar w:name="TXTNRFIRSTAM" w:val="1"/>
    <w:docVar w:name="TXTNRLASTAM" w:val="1"/>
    <w:docVar w:name="TXTNRPE" w:val="655.624"/>
    <w:docVar w:name="TXTPEorAP" w:val="PE"/>
    <w:docVar w:name="TXTROUTE" w:val="AM\1209830EN.docx"/>
    <w:docVar w:name="TXTVERSION" w:val="01-00"/>
  </w:docVars>
  <w:rsids>
    <w:rsidRoot w:val="003B1456"/>
    <w:rsid w:val="0001050A"/>
    <w:rsid w:val="00012D8D"/>
    <w:rsid w:val="0002515B"/>
    <w:rsid w:val="00037B5F"/>
    <w:rsid w:val="00054741"/>
    <w:rsid w:val="0005499A"/>
    <w:rsid w:val="00062FFD"/>
    <w:rsid w:val="000661B4"/>
    <w:rsid w:val="000748A5"/>
    <w:rsid w:val="00075B6B"/>
    <w:rsid w:val="000909D2"/>
    <w:rsid w:val="00090CC1"/>
    <w:rsid w:val="000B0781"/>
    <w:rsid w:val="000B6F4F"/>
    <w:rsid w:val="000D1D3D"/>
    <w:rsid w:val="000D347A"/>
    <w:rsid w:val="000D6C61"/>
    <w:rsid w:val="000D7579"/>
    <w:rsid w:val="000E146A"/>
    <w:rsid w:val="000F29BA"/>
    <w:rsid w:val="000F2A80"/>
    <w:rsid w:val="00102646"/>
    <w:rsid w:val="00122C95"/>
    <w:rsid w:val="001264FD"/>
    <w:rsid w:val="00146CF4"/>
    <w:rsid w:val="00151372"/>
    <w:rsid w:val="00166051"/>
    <w:rsid w:val="00166CCB"/>
    <w:rsid w:val="00182A41"/>
    <w:rsid w:val="00191477"/>
    <w:rsid w:val="00194D18"/>
    <w:rsid w:val="001A37BB"/>
    <w:rsid w:val="001A4802"/>
    <w:rsid w:val="001A7B45"/>
    <w:rsid w:val="001B1603"/>
    <w:rsid w:val="001B761C"/>
    <w:rsid w:val="001C0A2D"/>
    <w:rsid w:val="001C2054"/>
    <w:rsid w:val="001D32AE"/>
    <w:rsid w:val="001D3D7E"/>
    <w:rsid w:val="001F0FDD"/>
    <w:rsid w:val="0020383A"/>
    <w:rsid w:val="00223694"/>
    <w:rsid w:val="00231EA7"/>
    <w:rsid w:val="00241725"/>
    <w:rsid w:val="0025435E"/>
    <w:rsid w:val="002662FF"/>
    <w:rsid w:val="00280EA6"/>
    <w:rsid w:val="00282B07"/>
    <w:rsid w:val="002A1C82"/>
    <w:rsid w:val="002A5080"/>
    <w:rsid w:val="002B6A7B"/>
    <w:rsid w:val="003003A7"/>
    <w:rsid w:val="00323287"/>
    <w:rsid w:val="00371436"/>
    <w:rsid w:val="003743DE"/>
    <w:rsid w:val="00380322"/>
    <w:rsid w:val="003A59D0"/>
    <w:rsid w:val="003B1456"/>
    <w:rsid w:val="003B259D"/>
    <w:rsid w:val="003B50B1"/>
    <w:rsid w:val="003C2429"/>
    <w:rsid w:val="003D466C"/>
    <w:rsid w:val="003D6201"/>
    <w:rsid w:val="003E59F3"/>
    <w:rsid w:val="003F3B0C"/>
    <w:rsid w:val="003F448D"/>
    <w:rsid w:val="00422BB2"/>
    <w:rsid w:val="00426B8B"/>
    <w:rsid w:val="004313EB"/>
    <w:rsid w:val="00441413"/>
    <w:rsid w:val="00441D7D"/>
    <w:rsid w:val="004441B8"/>
    <w:rsid w:val="00445A06"/>
    <w:rsid w:val="00461E32"/>
    <w:rsid w:val="00475889"/>
    <w:rsid w:val="004839DB"/>
    <w:rsid w:val="00487ADD"/>
    <w:rsid w:val="004909A2"/>
    <w:rsid w:val="00495E20"/>
    <w:rsid w:val="004B1428"/>
    <w:rsid w:val="004C48D5"/>
    <w:rsid w:val="004C4DDA"/>
    <w:rsid w:val="00525FEB"/>
    <w:rsid w:val="0053230C"/>
    <w:rsid w:val="00543E25"/>
    <w:rsid w:val="00566CCE"/>
    <w:rsid w:val="00571479"/>
    <w:rsid w:val="005867E9"/>
    <w:rsid w:val="00590C5E"/>
    <w:rsid w:val="005A1D3F"/>
    <w:rsid w:val="005B4017"/>
    <w:rsid w:val="005C092D"/>
    <w:rsid w:val="005C16EF"/>
    <w:rsid w:val="005D3B62"/>
    <w:rsid w:val="0061473C"/>
    <w:rsid w:val="00616736"/>
    <w:rsid w:val="006337D4"/>
    <w:rsid w:val="00647309"/>
    <w:rsid w:val="00660A75"/>
    <w:rsid w:val="0066168A"/>
    <w:rsid w:val="00665DDA"/>
    <w:rsid w:val="006843AD"/>
    <w:rsid w:val="006A2838"/>
    <w:rsid w:val="006B6438"/>
    <w:rsid w:val="006D65FE"/>
    <w:rsid w:val="006E28CB"/>
    <w:rsid w:val="006F4B73"/>
    <w:rsid w:val="00702F62"/>
    <w:rsid w:val="0070402D"/>
    <w:rsid w:val="00706049"/>
    <w:rsid w:val="007152AF"/>
    <w:rsid w:val="00715FB7"/>
    <w:rsid w:val="0072015E"/>
    <w:rsid w:val="00737E51"/>
    <w:rsid w:val="00776DE8"/>
    <w:rsid w:val="00780029"/>
    <w:rsid w:val="0079060C"/>
    <w:rsid w:val="007A589C"/>
    <w:rsid w:val="007B1C61"/>
    <w:rsid w:val="007B576B"/>
    <w:rsid w:val="007C6582"/>
    <w:rsid w:val="007C71DE"/>
    <w:rsid w:val="007E3349"/>
    <w:rsid w:val="007F0633"/>
    <w:rsid w:val="00806B05"/>
    <w:rsid w:val="00850579"/>
    <w:rsid w:val="008556D1"/>
    <w:rsid w:val="008560B3"/>
    <w:rsid w:val="008837FC"/>
    <w:rsid w:val="008853B9"/>
    <w:rsid w:val="008911DB"/>
    <w:rsid w:val="00891220"/>
    <w:rsid w:val="00892ECE"/>
    <w:rsid w:val="008933E8"/>
    <w:rsid w:val="008936FF"/>
    <w:rsid w:val="00894041"/>
    <w:rsid w:val="008B2E7F"/>
    <w:rsid w:val="008B7C14"/>
    <w:rsid w:val="008C602C"/>
    <w:rsid w:val="008D786A"/>
    <w:rsid w:val="008E4B81"/>
    <w:rsid w:val="008E666D"/>
    <w:rsid w:val="008E6A30"/>
    <w:rsid w:val="008F0DDD"/>
    <w:rsid w:val="00904AD5"/>
    <w:rsid w:val="0091035D"/>
    <w:rsid w:val="00917E37"/>
    <w:rsid w:val="009209DB"/>
    <w:rsid w:val="00930AFA"/>
    <w:rsid w:val="009334CD"/>
    <w:rsid w:val="0093679B"/>
    <w:rsid w:val="0094225C"/>
    <w:rsid w:val="00944091"/>
    <w:rsid w:val="00966038"/>
    <w:rsid w:val="009A0E25"/>
    <w:rsid w:val="009A34F8"/>
    <w:rsid w:val="009A65D8"/>
    <w:rsid w:val="009A6BDB"/>
    <w:rsid w:val="009B56AA"/>
    <w:rsid w:val="009B6DA6"/>
    <w:rsid w:val="009C2BB2"/>
    <w:rsid w:val="00A15973"/>
    <w:rsid w:val="00A25834"/>
    <w:rsid w:val="00A46736"/>
    <w:rsid w:val="00A507FC"/>
    <w:rsid w:val="00A5426B"/>
    <w:rsid w:val="00A67B1C"/>
    <w:rsid w:val="00A70F73"/>
    <w:rsid w:val="00A75CB3"/>
    <w:rsid w:val="00A849CD"/>
    <w:rsid w:val="00A93D13"/>
    <w:rsid w:val="00AA6AC6"/>
    <w:rsid w:val="00AB74D6"/>
    <w:rsid w:val="00AE114F"/>
    <w:rsid w:val="00AE1E45"/>
    <w:rsid w:val="00AE3E28"/>
    <w:rsid w:val="00AE4459"/>
    <w:rsid w:val="00AF2819"/>
    <w:rsid w:val="00AF3BFA"/>
    <w:rsid w:val="00AF4B51"/>
    <w:rsid w:val="00AF7FD1"/>
    <w:rsid w:val="00B004F5"/>
    <w:rsid w:val="00B163E9"/>
    <w:rsid w:val="00B2687C"/>
    <w:rsid w:val="00B36BED"/>
    <w:rsid w:val="00B41B4D"/>
    <w:rsid w:val="00B4207B"/>
    <w:rsid w:val="00B6765E"/>
    <w:rsid w:val="00B74BA9"/>
    <w:rsid w:val="00B77A45"/>
    <w:rsid w:val="00B8066A"/>
    <w:rsid w:val="00B81212"/>
    <w:rsid w:val="00B85286"/>
    <w:rsid w:val="00B90B7F"/>
    <w:rsid w:val="00BA200E"/>
    <w:rsid w:val="00BB0A1E"/>
    <w:rsid w:val="00BC1B1F"/>
    <w:rsid w:val="00BD3259"/>
    <w:rsid w:val="00BE1BF6"/>
    <w:rsid w:val="00BF382D"/>
    <w:rsid w:val="00C07453"/>
    <w:rsid w:val="00C10F61"/>
    <w:rsid w:val="00C11527"/>
    <w:rsid w:val="00C31206"/>
    <w:rsid w:val="00C35E35"/>
    <w:rsid w:val="00C41E32"/>
    <w:rsid w:val="00C456FF"/>
    <w:rsid w:val="00C62F56"/>
    <w:rsid w:val="00C752F3"/>
    <w:rsid w:val="00C92798"/>
    <w:rsid w:val="00CA6734"/>
    <w:rsid w:val="00CB1BAC"/>
    <w:rsid w:val="00CB34F1"/>
    <w:rsid w:val="00CB5C89"/>
    <w:rsid w:val="00CC6472"/>
    <w:rsid w:val="00CE796C"/>
    <w:rsid w:val="00CF0A47"/>
    <w:rsid w:val="00D100D1"/>
    <w:rsid w:val="00D13EC2"/>
    <w:rsid w:val="00D14FCE"/>
    <w:rsid w:val="00D53B16"/>
    <w:rsid w:val="00D547E0"/>
    <w:rsid w:val="00D60FD0"/>
    <w:rsid w:val="00D64E40"/>
    <w:rsid w:val="00D677D5"/>
    <w:rsid w:val="00D67A2E"/>
    <w:rsid w:val="00D72D6C"/>
    <w:rsid w:val="00D751AE"/>
    <w:rsid w:val="00D755F1"/>
    <w:rsid w:val="00D82B82"/>
    <w:rsid w:val="00D82D47"/>
    <w:rsid w:val="00DA3847"/>
    <w:rsid w:val="00DA63CB"/>
    <w:rsid w:val="00DB429F"/>
    <w:rsid w:val="00DB512A"/>
    <w:rsid w:val="00DC4160"/>
    <w:rsid w:val="00DC6A1B"/>
    <w:rsid w:val="00DE35D3"/>
    <w:rsid w:val="00DE672F"/>
    <w:rsid w:val="00DE6A23"/>
    <w:rsid w:val="00E02DF0"/>
    <w:rsid w:val="00E15531"/>
    <w:rsid w:val="00E15A86"/>
    <w:rsid w:val="00E1691A"/>
    <w:rsid w:val="00E25DC5"/>
    <w:rsid w:val="00E332A6"/>
    <w:rsid w:val="00E471BE"/>
    <w:rsid w:val="00E56A1B"/>
    <w:rsid w:val="00E57464"/>
    <w:rsid w:val="00E57F50"/>
    <w:rsid w:val="00E71321"/>
    <w:rsid w:val="00E71826"/>
    <w:rsid w:val="00E72729"/>
    <w:rsid w:val="00E842E0"/>
    <w:rsid w:val="00E87D4A"/>
    <w:rsid w:val="00EA1E95"/>
    <w:rsid w:val="00EB44D6"/>
    <w:rsid w:val="00EB7F6A"/>
    <w:rsid w:val="00EC391A"/>
    <w:rsid w:val="00EF03A3"/>
    <w:rsid w:val="00F13954"/>
    <w:rsid w:val="00F16621"/>
    <w:rsid w:val="00F27170"/>
    <w:rsid w:val="00F31F0E"/>
    <w:rsid w:val="00F420A0"/>
    <w:rsid w:val="00F42C46"/>
    <w:rsid w:val="00F57ABD"/>
    <w:rsid w:val="00F66D47"/>
    <w:rsid w:val="00F83AF7"/>
    <w:rsid w:val="00F85528"/>
    <w:rsid w:val="00F91F78"/>
    <w:rsid w:val="00F92B49"/>
    <w:rsid w:val="00F979FF"/>
    <w:rsid w:val="00FA192C"/>
    <w:rsid w:val="00FC7406"/>
    <w:rsid w:val="00FD66C5"/>
    <w:rsid w:val="00FE03B4"/>
    <w:rsid w:val="00FE72F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1CAF2"/>
  <w15:chartTrackingRefBased/>
  <w15:docId w15:val="{7AA6DCE8-E2F4-4422-8D75-01440953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77"/>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5D3B62"/>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Pr>
      <w:rFonts w:ascii="Arial" w:hAnsi="Arial" w:cs="Arial"/>
      <w:noProof/>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E02DF0"/>
    <w:pPr>
      <w:spacing w:before="80" w:after="80"/>
    </w:pPr>
    <w:rPr>
      <w:rFonts w:ascii="Arial Narrow" w:hAnsi="Arial Narrow" w:cs="Arial"/>
      <w:b/>
      <w:sz w:val="32"/>
      <w:szCs w:val="22"/>
    </w:rPr>
  </w:style>
  <w:style w:type="paragraph" w:customStyle="1" w:styleId="CoverNormal24a">
    <w:name w:val="CoverNormal24a"/>
    <w:basedOn w:val="Normal"/>
    <w:rsid w:val="00012D8D"/>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4909A2"/>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590C5E"/>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C456FF"/>
    <w:pPr>
      <w:tabs>
        <w:tab w:val="center" w:pos="4513"/>
        <w:tab w:val="right" w:pos="9026"/>
      </w:tabs>
    </w:pPr>
  </w:style>
  <w:style w:type="paragraph" w:customStyle="1" w:styleId="CoverDocType24a">
    <w:name w:val="CoverDocType24a"/>
    <w:basedOn w:val="Normal"/>
    <w:rsid w:val="00944091"/>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8E666D"/>
    <w:pPr>
      <w:spacing w:after="240"/>
      <w:jc w:val="center"/>
    </w:pPr>
    <w:rPr>
      <w:i/>
    </w:rPr>
  </w:style>
  <w:style w:type="paragraph" w:customStyle="1" w:styleId="AmNumberTabs">
    <w:name w:val="AmNumberTabs"/>
    <w:basedOn w:val="Normal"/>
    <w:rsid w:val="00C62F5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E666D"/>
    <w:pPr>
      <w:ind w:left="1417"/>
    </w:pPr>
    <w:rPr>
      <w:b/>
    </w:rPr>
  </w:style>
  <w:style w:type="table" w:styleId="TableGrid">
    <w:name w:val="Table Grid"/>
    <w:basedOn w:val="TableNormal"/>
    <w:rsid w:val="00C3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31206"/>
    <w:pPr>
      <w:jc w:val="center"/>
    </w:pPr>
    <w:rPr>
      <w:rFonts w:ascii="Arial" w:hAnsi="Arial" w:cs="Arial"/>
      <w:i/>
      <w:sz w:val="22"/>
      <w:szCs w:val="22"/>
    </w:rPr>
  </w:style>
  <w:style w:type="paragraph" w:customStyle="1" w:styleId="LineTop">
    <w:name w:val="LineTop"/>
    <w:basedOn w:val="Normal"/>
    <w:next w:val="Normal"/>
    <w:rsid w:val="00C3120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3120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2DF0"/>
    <w:pPr>
      <w:spacing w:after="80"/>
    </w:pPr>
    <w:rPr>
      <w:rFonts w:ascii="Arial" w:hAnsi="Arial" w:cs="Arial"/>
      <w:sz w:val="20"/>
      <w:szCs w:val="22"/>
    </w:rPr>
  </w:style>
  <w:style w:type="paragraph" w:customStyle="1" w:styleId="EPLogo">
    <w:name w:val="EPLogo"/>
    <w:basedOn w:val="Normal"/>
    <w:qFormat/>
    <w:rsid w:val="00E02DF0"/>
    <w:pPr>
      <w:jc w:val="right"/>
    </w:pPr>
  </w:style>
  <w:style w:type="paragraph" w:customStyle="1" w:styleId="EPFooter">
    <w:name w:val="EPFooter"/>
    <w:basedOn w:val="Normal"/>
    <w:rsid w:val="00012D8D"/>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C456FF"/>
    <w:rPr>
      <w:sz w:val="24"/>
    </w:rPr>
  </w:style>
  <w:style w:type="paragraph" w:styleId="Footer">
    <w:name w:val="footer"/>
    <w:basedOn w:val="Normal"/>
    <w:link w:val="FooterChar"/>
    <w:semiHidden/>
    <w:rsid w:val="00AE114F"/>
    <w:pPr>
      <w:tabs>
        <w:tab w:val="center" w:pos="4513"/>
        <w:tab w:val="right" w:pos="9026"/>
      </w:tabs>
    </w:pPr>
  </w:style>
  <w:style w:type="character" w:customStyle="1" w:styleId="FooterChar">
    <w:name w:val="Footer Char"/>
    <w:basedOn w:val="DefaultParagraphFont"/>
    <w:link w:val="Footer"/>
    <w:semiHidden/>
    <w:rsid w:val="00AE114F"/>
    <w:rPr>
      <w:sz w:val="24"/>
    </w:rPr>
  </w:style>
  <w:style w:type="paragraph" w:customStyle="1" w:styleId="NormalBold12b">
    <w:name w:val="NormalBold12b"/>
    <w:basedOn w:val="Normal"/>
    <w:rsid w:val="00AE114F"/>
    <w:pPr>
      <w:spacing w:before="240"/>
    </w:pPr>
    <w:rPr>
      <w:b/>
    </w:rPr>
  </w:style>
  <w:style w:type="paragraph" w:customStyle="1" w:styleId="Normal2">
    <w:name w:val="Normal2"/>
    <w:basedOn w:val="Normal"/>
    <w:qFormat/>
    <w:rsid w:val="00AE114F"/>
    <w:pPr>
      <w:spacing w:line="120" w:lineRule="auto"/>
    </w:pPr>
    <w:rPr>
      <w:sz w:val="4"/>
    </w:rPr>
  </w:style>
  <w:style w:type="paragraph" w:customStyle="1" w:styleId="NormalItalic6a">
    <w:name w:val="NormalItalic6a"/>
    <w:basedOn w:val="Normal6a"/>
    <w:qFormat/>
    <w:rsid w:val="00AE114F"/>
    <w:rPr>
      <w:i/>
    </w:rPr>
  </w:style>
  <w:style w:type="character" w:customStyle="1" w:styleId="NormalBI">
    <w:name w:val="NormalBI"/>
    <w:basedOn w:val="DefaultParagraphFont"/>
    <w:uiPriority w:val="1"/>
    <w:qFormat/>
    <w:rsid w:val="00AE114F"/>
    <w:rPr>
      <w:rFonts w:ascii="Times New Roman" w:hAnsi="Times New Roman"/>
      <w:b/>
      <w:i/>
      <w:sz w:val="24"/>
    </w:rPr>
  </w:style>
  <w:style w:type="paragraph" w:customStyle="1" w:styleId="NormalBoldItalic6a">
    <w:name w:val="NormalBoldItalic6a"/>
    <w:basedOn w:val="Normal6a"/>
    <w:qFormat/>
    <w:rsid w:val="00AE114F"/>
    <w:rPr>
      <w:b/>
      <w:i/>
    </w:rPr>
  </w:style>
  <w:style w:type="paragraph" w:customStyle="1" w:styleId="NormalBoldItalicCenter6a">
    <w:name w:val="NormalBoldItalicCenter6a"/>
    <w:basedOn w:val="Normal6a"/>
    <w:qFormat/>
    <w:rsid w:val="00AE114F"/>
    <w:pPr>
      <w:jc w:val="center"/>
    </w:pPr>
    <w:rPr>
      <w:b/>
      <w:i/>
    </w:rPr>
  </w:style>
  <w:style w:type="paragraph" w:customStyle="1" w:styleId="EPFooter2Landscape">
    <w:name w:val="EPFooter2Landscape"/>
    <w:qFormat/>
    <w:rsid w:val="00AE114F"/>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AE114F"/>
    <w:rPr>
      <w:rFonts w:ascii="Arial" w:hAnsi="Arial"/>
      <w:b w:val="0"/>
      <w:i/>
      <w:color w:val="C0C0C0"/>
      <w:sz w:val="22"/>
    </w:rPr>
  </w:style>
  <w:style w:type="character" w:customStyle="1" w:styleId="Bold">
    <w:name w:val="Bold"/>
    <w:uiPriority w:val="1"/>
    <w:qFormat/>
    <w:rsid w:val="00AE114F"/>
    <w:rPr>
      <w:b/>
    </w:rPr>
  </w:style>
  <w:style w:type="character" w:customStyle="1" w:styleId="Italic">
    <w:name w:val="Italic"/>
    <w:uiPriority w:val="1"/>
    <w:qFormat/>
    <w:rsid w:val="00AE114F"/>
    <w:rPr>
      <w:i/>
    </w:rPr>
  </w:style>
  <w:style w:type="character" w:customStyle="1" w:styleId="BoldItalic">
    <w:name w:val="BoldItalic"/>
    <w:uiPriority w:val="1"/>
    <w:qFormat/>
    <w:rsid w:val="00AE114F"/>
    <w:rPr>
      <w:b/>
      <w:i/>
    </w:rPr>
  </w:style>
  <w:style w:type="character" w:customStyle="1" w:styleId="Underline">
    <w:name w:val="Underline"/>
    <w:uiPriority w:val="1"/>
    <w:qFormat/>
    <w:rsid w:val="00AE114F"/>
    <w:rPr>
      <w:u w:val="single"/>
    </w:rPr>
  </w:style>
  <w:style w:type="character" w:customStyle="1" w:styleId="Sub">
    <w:name w:val="Sub"/>
    <w:uiPriority w:val="1"/>
    <w:qFormat/>
    <w:rsid w:val="00AE114F"/>
    <w:rPr>
      <w:vertAlign w:val="subscript"/>
    </w:rPr>
  </w:style>
  <w:style w:type="character" w:customStyle="1" w:styleId="Sup">
    <w:name w:val="Sup"/>
    <w:uiPriority w:val="1"/>
    <w:qFormat/>
    <w:rsid w:val="00AE114F"/>
    <w:rPr>
      <w:vertAlign w:val="superscript"/>
    </w:rPr>
  </w:style>
  <w:style w:type="character" w:customStyle="1" w:styleId="SupBoldItalic">
    <w:name w:val="SupBoldItalic"/>
    <w:uiPriority w:val="1"/>
    <w:qFormat/>
    <w:rsid w:val="00AE114F"/>
    <w:rPr>
      <w:b/>
      <w:i/>
      <w:vertAlign w:val="superscript"/>
    </w:rPr>
  </w:style>
  <w:style w:type="character" w:customStyle="1" w:styleId="SubBoldItalic">
    <w:name w:val="SubBoldItalic"/>
    <w:uiPriority w:val="1"/>
    <w:qFormat/>
    <w:rsid w:val="00AE114F"/>
    <w:rPr>
      <w:b/>
      <w:i/>
      <w:vertAlign w:val="subscript"/>
    </w:rPr>
  </w:style>
  <w:style w:type="paragraph" w:customStyle="1" w:styleId="EPFooterLandscape">
    <w:name w:val="EPFooterLandscape"/>
    <w:qFormat/>
    <w:rsid w:val="00AE114F"/>
    <w:pPr>
      <w:tabs>
        <w:tab w:val="center" w:pos="6804"/>
        <w:tab w:val="right" w:pos="15026"/>
      </w:tabs>
    </w:pPr>
    <w:rPr>
      <w:sz w:val="22"/>
    </w:rPr>
  </w:style>
  <w:style w:type="paragraph" w:styleId="ListNumber">
    <w:name w:val="List Number"/>
    <w:basedOn w:val="Normal"/>
    <w:unhideWhenUsed/>
    <w:rsid w:val="00AE114F"/>
    <w:pPr>
      <w:widowControl/>
      <w:numPr>
        <w:numId w:val="41"/>
      </w:numPr>
      <w:spacing w:before="120" w:after="120"/>
      <w:jc w:val="both"/>
    </w:pPr>
    <w:rPr>
      <w:szCs w:val="22"/>
      <w:lang w:eastAsia="de-DE"/>
    </w:rPr>
  </w:style>
  <w:style w:type="paragraph" w:customStyle="1" w:styleId="ListNumberLevel2">
    <w:name w:val="List Number (Level 2)"/>
    <w:basedOn w:val="Normal"/>
    <w:rsid w:val="00AE114F"/>
    <w:pPr>
      <w:widowControl/>
      <w:numPr>
        <w:ilvl w:val="1"/>
        <w:numId w:val="41"/>
      </w:numPr>
      <w:spacing w:before="120" w:after="120"/>
      <w:jc w:val="both"/>
    </w:pPr>
    <w:rPr>
      <w:szCs w:val="22"/>
      <w:lang w:eastAsia="de-DE"/>
    </w:rPr>
  </w:style>
  <w:style w:type="paragraph" w:customStyle="1" w:styleId="ListNumberLevel3">
    <w:name w:val="List Number (Level 3)"/>
    <w:basedOn w:val="Normal"/>
    <w:rsid w:val="00AE114F"/>
    <w:pPr>
      <w:widowControl/>
      <w:numPr>
        <w:ilvl w:val="2"/>
        <w:numId w:val="41"/>
      </w:numPr>
      <w:spacing w:before="120" w:after="120"/>
      <w:jc w:val="both"/>
    </w:pPr>
    <w:rPr>
      <w:szCs w:val="22"/>
      <w:lang w:eastAsia="de-DE"/>
    </w:rPr>
  </w:style>
  <w:style w:type="paragraph" w:customStyle="1" w:styleId="ListNumberLevel4">
    <w:name w:val="List Number (Level 4)"/>
    <w:basedOn w:val="Normal"/>
    <w:rsid w:val="00AE114F"/>
    <w:pPr>
      <w:widowControl/>
      <w:numPr>
        <w:ilvl w:val="3"/>
        <w:numId w:val="41"/>
      </w:numPr>
      <w:spacing w:before="120" w:after="120"/>
      <w:jc w:val="both"/>
    </w:pPr>
    <w:rPr>
      <w:szCs w:val="22"/>
      <w:lang w:eastAsia="de-DE"/>
    </w:rPr>
  </w:style>
  <w:style w:type="paragraph" w:styleId="BalloonText">
    <w:name w:val="Balloon Text"/>
    <w:basedOn w:val="Normal"/>
    <w:link w:val="BalloonTextChar"/>
    <w:semiHidden/>
    <w:unhideWhenUsed/>
    <w:rsid w:val="001A7B45"/>
    <w:rPr>
      <w:rFonts w:ascii="Segoe UI" w:hAnsi="Segoe UI" w:cs="Segoe UI"/>
      <w:sz w:val="18"/>
      <w:szCs w:val="18"/>
    </w:rPr>
  </w:style>
  <w:style w:type="character" w:customStyle="1" w:styleId="BalloonTextChar">
    <w:name w:val="Balloon Text Char"/>
    <w:basedOn w:val="DefaultParagraphFont"/>
    <w:link w:val="BalloonText"/>
    <w:semiHidden/>
    <w:rsid w:val="001A7B45"/>
    <w:rPr>
      <w:rFonts w:ascii="Segoe UI" w:hAnsi="Segoe UI" w:cs="Segoe UI"/>
      <w:sz w:val="18"/>
      <w:szCs w:val="18"/>
    </w:rPr>
  </w:style>
  <w:style w:type="character" w:styleId="CommentReference">
    <w:name w:val="annotation reference"/>
    <w:basedOn w:val="DefaultParagraphFont"/>
    <w:rsid w:val="0091035D"/>
    <w:rPr>
      <w:sz w:val="16"/>
      <w:szCs w:val="16"/>
    </w:rPr>
  </w:style>
  <w:style w:type="paragraph" w:styleId="CommentText">
    <w:name w:val="annotation text"/>
    <w:basedOn w:val="Normal"/>
    <w:link w:val="CommentTextChar"/>
    <w:rsid w:val="0091035D"/>
    <w:rPr>
      <w:sz w:val="20"/>
    </w:rPr>
  </w:style>
  <w:style w:type="character" w:customStyle="1" w:styleId="CommentTextChar">
    <w:name w:val="Comment Text Char"/>
    <w:basedOn w:val="DefaultParagraphFont"/>
    <w:link w:val="CommentText"/>
    <w:rsid w:val="0091035D"/>
  </w:style>
  <w:style w:type="paragraph" w:styleId="CommentSubject">
    <w:name w:val="annotation subject"/>
    <w:basedOn w:val="CommentText"/>
    <w:next w:val="CommentText"/>
    <w:link w:val="CommentSubjectChar"/>
    <w:semiHidden/>
    <w:unhideWhenUsed/>
    <w:rsid w:val="0091035D"/>
    <w:rPr>
      <w:b/>
      <w:bCs/>
    </w:rPr>
  </w:style>
  <w:style w:type="character" w:customStyle="1" w:styleId="CommentSubjectChar">
    <w:name w:val="Comment Subject Char"/>
    <w:basedOn w:val="CommentTextChar"/>
    <w:link w:val="CommentSubject"/>
    <w:semiHidden/>
    <w:rsid w:val="0091035D"/>
    <w:rPr>
      <w:b/>
      <w:bCs/>
    </w:rPr>
  </w:style>
  <w:style w:type="paragraph" w:styleId="Revision">
    <w:name w:val="Revision"/>
    <w:hidden/>
    <w:uiPriority w:val="99"/>
    <w:semiHidden/>
    <w:rsid w:val="000D7579"/>
    <w:rPr>
      <w:sz w:val="24"/>
    </w:rPr>
  </w:style>
  <w:style w:type="character" w:customStyle="1" w:styleId="num">
    <w:name w:val="num"/>
    <w:basedOn w:val="DefaultParagraphFont"/>
    <w:rsid w:val="000F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388C-1BFC-4089-B83E-27613574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15795</Words>
  <Characters>95092</Characters>
  <Application>Microsoft Office Word</Application>
  <DocSecurity>0</DocSecurity>
  <Lines>3657</Lines>
  <Paragraphs>1232</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109655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RIHANI Isabelle</dc:creator>
  <cp:lastModifiedBy>BLAZI Sanja</cp:lastModifiedBy>
  <cp:revision>2</cp:revision>
  <cp:lastPrinted>2007-06-22T14:02:00Z</cp:lastPrinted>
  <dcterms:created xsi:type="dcterms:W3CDTF">2020-08-04T08:54:00Z</dcterms:created>
  <dcterms:modified xsi:type="dcterms:W3CDTF">2020-08-04T08:54:00Z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1209830</vt:lpwstr>
  </property>
  <property fmtid="{D5CDD505-2E9C-101B-9397-08002B2CF9AE}" pid="3" name="&lt;Model&gt;">
    <vt:lpwstr>AM_Com_LegOpinion</vt:lpwstr>
  </property>
  <property fmtid="{D5CDD505-2E9C-101B-9397-08002B2CF9AE}" pid="4" name="&lt;ModelCod&gt;">
    <vt:lpwstr>\\eiciBRUpr1\pdocep$\DocEP\DOCS\General\AM\AM_Leg\AM_Com_Leg\AM_Com_LegOpinion.dotx(17/04/2020 19:26:13)</vt:lpwstr>
  </property>
  <property fmtid="{D5CDD505-2E9C-101B-9397-08002B2CF9AE}" pid="5" name="&lt;ModelTra&gt;">
    <vt:lpwstr>\\eiciBRUpr1\pdocep$\DocEP\TRANSFIL\EN\AM_Com_LegOpinion.EN(24/04/2020 11:00:00)</vt:lpwstr>
  </property>
  <property fmtid="{D5CDD505-2E9C-101B-9397-08002B2CF9AE}" pid="6" name="&lt;Type&gt;">
    <vt:lpwstr>AM</vt:lpwstr>
  </property>
  <property fmtid="{D5CDD505-2E9C-101B-9397-08002B2CF9AE}" pid="7" name="CheckDocument">
    <vt:lpwstr>OK - 2020/07/23 12:50</vt:lpwstr>
  </property>
  <property fmtid="{D5CDD505-2E9C-101B-9397-08002B2CF9AE}" pid="8" name="Created with">
    <vt:lpwstr>9.9.0 Build [20200302]</vt:lpwstr>
  </property>
  <property fmtid="{D5CDD505-2E9C-101B-9397-08002B2CF9AE}" pid="9" name="FooterPath">
    <vt:lpwstr>AM\1209830HR.docx</vt:lpwstr>
  </property>
  <property fmtid="{D5CDD505-2E9C-101B-9397-08002B2CF9AE}" pid="10" name="LastEdited with">
    <vt:lpwstr>9.9.0 Build [20200302]</vt:lpwstr>
  </property>
  <property fmtid="{D5CDD505-2E9C-101B-9397-08002B2CF9AE}" pid="11" name="PE number">
    <vt:lpwstr>655.624</vt:lpwstr>
  </property>
  <property fmtid="{D5CDD505-2E9C-101B-9397-08002B2CF9AE}" pid="12" name="SendToEpades">
    <vt:lpwstr>OK(AMNUM) - 2020/07/20 09:39</vt:lpwstr>
  </property>
  <property fmtid="{D5CDD505-2E9C-101B-9397-08002B2CF9AE}" pid="13" name="SubscribeElise">
    <vt:lpwstr/>
  </property>
  <property fmtid="{D5CDD505-2E9C-101B-9397-08002B2CF9AE}" pid="14" name="SDLStudio">
    <vt:lpwstr/>
  </property>
  <property fmtid="{D5CDD505-2E9C-101B-9397-08002B2CF9AE}" pid="15" name="&lt;Extension&gt;">
    <vt:lpwstr>HR</vt:lpwstr>
  </property>
  <property fmtid="{D5CDD505-2E9C-101B-9397-08002B2CF9AE}" pid="16" name="Bookout">
    <vt:lpwstr>OK - 2020/08/04 10:53</vt:lpwstr>
  </property>
</Properties>
</file>