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247EE7" w14:paraId="790BB0C7" w14:textId="77777777" w:rsidTr="006F7907">
        <w:trPr>
          <w:trHeight w:hRule="exact" w:val="1418"/>
        </w:trPr>
        <w:tc>
          <w:tcPr>
            <w:tcW w:w="6804" w:type="dxa"/>
            <w:shd w:val="clear" w:color="auto" w:fill="auto"/>
            <w:vAlign w:val="center"/>
          </w:tcPr>
          <w:p w14:paraId="7B3976C8" w14:textId="77777777" w:rsidR="006F7907" w:rsidRPr="00247EE7" w:rsidRDefault="002B422E" w:rsidP="00FD1DEF">
            <w:pPr>
              <w:pStyle w:val="EPName"/>
            </w:pPr>
            <w:bookmarkStart w:id="0" w:name="_GoBack"/>
            <w:bookmarkEnd w:id="0"/>
            <w:r w:rsidRPr="00247EE7">
              <w:t>European Parliament</w:t>
            </w:r>
          </w:p>
          <w:p w14:paraId="668EC2C7" w14:textId="77777777" w:rsidR="006F7907" w:rsidRPr="00247EE7" w:rsidRDefault="00754BA0" w:rsidP="00754BA0">
            <w:pPr>
              <w:pStyle w:val="EPTerm"/>
              <w:rPr>
                <w:rStyle w:val="HideTWBExt"/>
              </w:rPr>
            </w:pPr>
            <w:r w:rsidRPr="00247EE7">
              <w:t>2019-2024</w:t>
            </w:r>
          </w:p>
        </w:tc>
        <w:tc>
          <w:tcPr>
            <w:tcW w:w="2268" w:type="dxa"/>
            <w:shd w:val="clear" w:color="auto" w:fill="auto"/>
          </w:tcPr>
          <w:p w14:paraId="0DD32A55" w14:textId="77777777" w:rsidR="006F7907" w:rsidRPr="00247EE7" w:rsidRDefault="00823E6B" w:rsidP="00896BB4">
            <w:pPr>
              <w:pStyle w:val="EPLogo"/>
            </w:pPr>
            <w:r w:rsidRPr="00247EE7">
              <w:rPr>
                <w:noProof/>
              </w:rPr>
              <w:drawing>
                <wp:inline distT="0" distB="0" distL="0" distR="0" wp14:anchorId="496BD7E3" wp14:editId="4945FB7A">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089C172" w14:textId="77777777" w:rsidR="00461601" w:rsidRPr="00247EE7" w:rsidRDefault="00461601" w:rsidP="00461601">
      <w:pPr>
        <w:pStyle w:val="LineTop"/>
      </w:pPr>
    </w:p>
    <w:p w14:paraId="4FCF15B2" w14:textId="77777777" w:rsidR="00461601" w:rsidRPr="00247EE7" w:rsidRDefault="00461601" w:rsidP="00461601">
      <w:pPr>
        <w:pStyle w:val="EPBody"/>
      </w:pPr>
      <w:r w:rsidRPr="00247EE7">
        <w:rPr>
          <w:rStyle w:val="HideTWBExt"/>
          <w:i w:val="0"/>
          <w:szCs w:val="20"/>
        </w:rPr>
        <w:t>&lt;Commission&gt;</w:t>
      </w:r>
      <w:r w:rsidR="00754BA0" w:rsidRPr="00247EE7">
        <w:rPr>
          <w:rStyle w:val="HideTWBInt"/>
          <w:i w:val="0"/>
          <w:szCs w:val="20"/>
        </w:rPr>
        <w:t>{ENVI}</w:t>
      </w:r>
      <w:r w:rsidR="00754BA0" w:rsidRPr="00247EE7">
        <w:t>Committee on the Environment, Public Health and Food Safety</w:t>
      </w:r>
      <w:r w:rsidRPr="00247EE7">
        <w:rPr>
          <w:rStyle w:val="HideTWBExt"/>
          <w:i w:val="0"/>
          <w:szCs w:val="20"/>
        </w:rPr>
        <w:t>&lt;/Commission&gt;</w:t>
      </w:r>
    </w:p>
    <w:p w14:paraId="56801AFD" w14:textId="77777777" w:rsidR="00461601" w:rsidRPr="00247EE7" w:rsidRDefault="00461601" w:rsidP="00461601">
      <w:pPr>
        <w:pStyle w:val="LineBottom"/>
      </w:pPr>
    </w:p>
    <w:p w14:paraId="0B984723" w14:textId="360CF389" w:rsidR="00793EA9" w:rsidRPr="00247EE7" w:rsidRDefault="00793EA9">
      <w:pPr>
        <w:pStyle w:val="CoverReference"/>
        <w:rPr>
          <w:sz w:val="20"/>
        </w:rPr>
      </w:pPr>
      <w:r w:rsidRPr="00247EE7">
        <w:rPr>
          <w:rStyle w:val="HideTWBExt"/>
          <w:b w:val="0"/>
        </w:rPr>
        <w:t>&lt;RefProc&gt;</w:t>
      </w:r>
      <w:r w:rsidR="00754BA0" w:rsidRPr="00247EE7">
        <w:rPr>
          <w:szCs w:val="24"/>
        </w:rPr>
        <w:t>2019/010</w:t>
      </w:r>
      <w:r w:rsidR="000A00F1" w:rsidRPr="00247EE7">
        <w:rPr>
          <w:szCs w:val="24"/>
        </w:rPr>
        <w:t>1</w:t>
      </w:r>
      <w:r w:rsidRPr="00247EE7">
        <w:rPr>
          <w:rStyle w:val="HideTWBExt"/>
          <w:b w:val="0"/>
        </w:rPr>
        <w:t>&lt;/RefProc&gt;&lt;RefTypeProc&gt;</w:t>
      </w:r>
      <w:r w:rsidRPr="00247EE7">
        <w:rPr>
          <w:szCs w:val="24"/>
        </w:rPr>
        <w:t>(COD)</w:t>
      </w:r>
      <w:r w:rsidRPr="00247EE7">
        <w:rPr>
          <w:rStyle w:val="HideTWBExt"/>
          <w:b w:val="0"/>
        </w:rPr>
        <w:t>&lt;/RefTypeProc&gt;</w:t>
      </w:r>
    </w:p>
    <w:p w14:paraId="6BEDBA6A" w14:textId="77777777" w:rsidR="00793EA9" w:rsidRPr="00247EE7" w:rsidRDefault="00793EA9">
      <w:pPr>
        <w:pStyle w:val="CoverDate"/>
        <w:rPr>
          <w:szCs w:val="24"/>
          <w:lang w:val="fr-FR"/>
        </w:rPr>
      </w:pPr>
      <w:r w:rsidRPr="00247EE7">
        <w:rPr>
          <w:rStyle w:val="HideTWBExt"/>
          <w:lang w:val="fr-FR"/>
        </w:rPr>
        <w:t>&lt;Date&gt;</w:t>
      </w:r>
      <w:r w:rsidR="00FE70C9" w:rsidRPr="00247EE7">
        <w:rPr>
          <w:rStyle w:val="HideTWBInt"/>
          <w:lang w:val="fr-FR"/>
        </w:rPr>
        <w:t>{18</w:t>
      </w:r>
      <w:r w:rsidR="00754BA0" w:rsidRPr="00247EE7">
        <w:rPr>
          <w:rStyle w:val="HideTWBInt"/>
          <w:lang w:val="fr-FR"/>
        </w:rPr>
        <w:t>/12/2019}</w:t>
      </w:r>
      <w:r w:rsidR="0078565F" w:rsidRPr="00247EE7">
        <w:rPr>
          <w:rStyle w:val="HideTWBInt"/>
          <w:lang w:val="fr-FR"/>
        </w:rPr>
        <w:t xml:space="preserve"> </w:t>
      </w:r>
      <w:r w:rsidR="00FE70C9" w:rsidRPr="00247EE7">
        <w:rPr>
          <w:szCs w:val="24"/>
          <w:lang w:val="fr-FR"/>
        </w:rPr>
        <w:t>18</w:t>
      </w:r>
      <w:r w:rsidR="00754BA0" w:rsidRPr="00247EE7">
        <w:rPr>
          <w:szCs w:val="24"/>
          <w:lang w:val="fr-FR"/>
        </w:rPr>
        <w:t>.12.2019</w:t>
      </w:r>
      <w:r w:rsidRPr="00247EE7">
        <w:rPr>
          <w:rStyle w:val="HideTWBExt"/>
          <w:lang w:val="fr-FR"/>
        </w:rPr>
        <w:t>&lt;/Date&gt;</w:t>
      </w:r>
    </w:p>
    <w:p w14:paraId="1A157743" w14:textId="77777777" w:rsidR="00793EA9" w:rsidRPr="00247EE7" w:rsidRDefault="00793EA9">
      <w:pPr>
        <w:pStyle w:val="CoverDocType"/>
        <w:rPr>
          <w:lang w:val="fr-FR"/>
        </w:rPr>
      </w:pPr>
      <w:r w:rsidRPr="00247EE7">
        <w:rPr>
          <w:rStyle w:val="HideTWBExt"/>
          <w:b w:val="0"/>
          <w:lang w:val="fr-FR"/>
        </w:rPr>
        <w:t>&lt;RefProcLect&gt;</w:t>
      </w:r>
      <w:r w:rsidRPr="00247EE7">
        <w:rPr>
          <w:lang w:val="fr-FR"/>
        </w:rPr>
        <w:t>***I</w:t>
      </w:r>
      <w:r w:rsidRPr="00247EE7">
        <w:rPr>
          <w:rStyle w:val="HideTWBExt"/>
          <w:b w:val="0"/>
          <w:lang w:val="fr-FR"/>
        </w:rPr>
        <w:t>&lt;/RefProcLect&gt;</w:t>
      </w:r>
    </w:p>
    <w:p w14:paraId="448CF778" w14:textId="77777777" w:rsidR="00793EA9" w:rsidRPr="00247EE7" w:rsidRDefault="00793EA9">
      <w:pPr>
        <w:pStyle w:val="CoverDocType24a"/>
        <w:rPr>
          <w:lang w:val="fr-FR"/>
        </w:rPr>
      </w:pPr>
      <w:r w:rsidRPr="00247EE7">
        <w:rPr>
          <w:rStyle w:val="HideTWBExt"/>
          <w:b w:val="0"/>
          <w:lang w:val="fr-FR"/>
        </w:rPr>
        <w:t>&lt;TitreType&gt;</w:t>
      </w:r>
      <w:r w:rsidR="002B422E" w:rsidRPr="00247EE7">
        <w:rPr>
          <w:lang w:val="fr-FR"/>
        </w:rPr>
        <w:t>DRAFT REPORT</w:t>
      </w:r>
      <w:r w:rsidRPr="00247EE7">
        <w:rPr>
          <w:rStyle w:val="HideTWBExt"/>
          <w:b w:val="0"/>
          <w:lang w:val="fr-FR"/>
        </w:rPr>
        <w:t>&lt;/TitreType&gt;</w:t>
      </w:r>
    </w:p>
    <w:p w14:paraId="6EFE7DEC" w14:textId="77777777" w:rsidR="00793EA9" w:rsidRPr="00247EE7" w:rsidRDefault="00793EA9">
      <w:pPr>
        <w:pStyle w:val="CoverNormal"/>
      </w:pPr>
      <w:r w:rsidRPr="00247EE7">
        <w:rPr>
          <w:rStyle w:val="HideTWBExt"/>
        </w:rPr>
        <w:t>&lt;Titre&gt;</w:t>
      </w:r>
      <w:r w:rsidR="002B422E" w:rsidRPr="00247EE7">
        <w:t xml:space="preserve">on the proposal for a </w:t>
      </w:r>
      <w:r w:rsidR="00754BA0" w:rsidRPr="00247EE7">
        <w:t xml:space="preserve">regulation </w:t>
      </w:r>
      <w:r w:rsidR="002B422E" w:rsidRPr="00247EE7">
        <w:t xml:space="preserve">of the European Parliament and of the Council </w:t>
      </w:r>
      <w:r w:rsidR="00754BA0" w:rsidRPr="00247EE7">
        <w:t>amending Regulation (EC) No 715/2007 on type approval of motor vehicles with respect to emissions from light passenger and commercial vehicles (Euro 5 and Euro 6) and on access to vehicle repair and maintenance information</w:t>
      </w:r>
      <w:r w:rsidRPr="00247EE7">
        <w:rPr>
          <w:rStyle w:val="HideTWBExt"/>
        </w:rPr>
        <w:t>&lt;/Titre&gt;</w:t>
      </w:r>
    </w:p>
    <w:p w14:paraId="3431C3F1" w14:textId="29E791FB" w:rsidR="00793EA9" w:rsidRPr="00247EE7" w:rsidRDefault="00793EA9">
      <w:pPr>
        <w:pStyle w:val="CoverNormal24a"/>
        <w:rPr>
          <w:lang w:val="pt-PT"/>
        </w:rPr>
      </w:pPr>
      <w:r w:rsidRPr="00247EE7">
        <w:rPr>
          <w:rStyle w:val="HideTWBExt"/>
          <w:lang w:val="pt-PT"/>
        </w:rPr>
        <w:t>&lt;DocRef&gt;</w:t>
      </w:r>
      <w:r w:rsidR="002B422E" w:rsidRPr="00247EE7">
        <w:rPr>
          <w:lang w:val="pt-PT"/>
        </w:rPr>
        <w:t>(COM</w:t>
      </w:r>
      <w:r w:rsidR="00754BA0" w:rsidRPr="00247EE7">
        <w:rPr>
          <w:lang w:val="pt-PT"/>
        </w:rPr>
        <w:t>(2019)</w:t>
      </w:r>
      <w:r w:rsidR="00EE39FD" w:rsidRPr="00247EE7">
        <w:rPr>
          <w:lang w:val="pt-PT"/>
        </w:rPr>
        <w:t>0208</w:t>
      </w:r>
      <w:r w:rsidR="002B422E" w:rsidRPr="00247EE7">
        <w:rPr>
          <w:lang w:val="pt-PT"/>
        </w:rPr>
        <w:t xml:space="preserve"> </w:t>
      </w:r>
      <w:r w:rsidR="00754BA0" w:rsidRPr="00247EE7">
        <w:rPr>
          <w:lang w:val="pt-PT"/>
        </w:rPr>
        <w:t>–</w:t>
      </w:r>
      <w:r w:rsidR="002B422E" w:rsidRPr="00247EE7">
        <w:rPr>
          <w:lang w:val="pt-PT"/>
        </w:rPr>
        <w:t xml:space="preserve"> </w:t>
      </w:r>
      <w:r w:rsidR="00754BA0" w:rsidRPr="00247EE7">
        <w:rPr>
          <w:lang w:val="pt-PT"/>
        </w:rPr>
        <w:t>C9</w:t>
      </w:r>
      <w:r w:rsidR="00754BA0" w:rsidRPr="00247EE7">
        <w:rPr>
          <w:lang w:val="pt-PT"/>
        </w:rPr>
        <w:noBreakHyphen/>
        <w:t>0009/2019</w:t>
      </w:r>
      <w:r w:rsidR="002B422E" w:rsidRPr="00247EE7">
        <w:rPr>
          <w:lang w:val="pt-PT"/>
        </w:rPr>
        <w:t xml:space="preserve"> </w:t>
      </w:r>
      <w:r w:rsidR="00754BA0" w:rsidRPr="00247EE7">
        <w:rPr>
          <w:lang w:val="pt-PT"/>
        </w:rPr>
        <w:t>–</w:t>
      </w:r>
      <w:r w:rsidR="002B422E" w:rsidRPr="00247EE7">
        <w:rPr>
          <w:lang w:val="pt-PT"/>
        </w:rPr>
        <w:t xml:space="preserve"> </w:t>
      </w:r>
      <w:r w:rsidR="00754BA0" w:rsidRPr="00247EE7">
        <w:rPr>
          <w:lang w:val="pt-PT"/>
        </w:rPr>
        <w:t>2019/010</w:t>
      </w:r>
      <w:r w:rsidR="000A00F1" w:rsidRPr="00247EE7">
        <w:rPr>
          <w:lang w:val="pt-PT"/>
        </w:rPr>
        <w:t>1</w:t>
      </w:r>
      <w:r w:rsidR="002B422E" w:rsidRPr="00247EE7">
        <w:rPr>
          <w:lang w:val="pt-PT"/>
        </w:rPr>
        <w:t>(COD))</w:t>
      </w:r>
      <w:r w:rsidRPr="00247EE7">
        <w:rPr>
          <w:rStyle w:val="HideTWBExt"/>
          <w:lang w:val="pt-PT"/>
        </w:rPr>
        <w:t>&lt;/DocRef&gt;</w:t>
      </w:r>
    </w:p>
    <w:p w14:paraId="7436BC1B" w14:textId="77777777" w:rsidR="00793EA9" w:rsidRPr="00247EE7" w:rsidRDefault="00793EA9">
      <w:pPr>
        <w:pStyle w:val="CoverNormal24a"/>
      </w:pPr>
      <w:r w:rsidRPr="00247EE7">
        <w:rPr>
          <w:rStyle w:val="HideTWBExt"/>
        </w:rPr>
        <w:t>&lt;Commission&gt;</w:t>
      </w:r>
      <w:r w:rsidR="00754BA0" w:rsidRPr="00247EE7">
        <w:rPr>
          <w:rStyle w:val="HideTWBInt"/>
        </w:rPr>
        <w:t>{ENVI}</w:t>
      </w:r>
      <w:r w:rsidR="00754BA0" w:rsidRPr="00247EE7">
        <w:t>Committee on the Environment, Public Health and Food Safety</w:t>
      </w:r>
      <w:r w:rsidRPr="00247EE7">
        <w:rPr>
          <w:rStyle w:val="HideTWBExt"/>
        </w:rPr>
        <w:t>&lt;/Commission&gt;</w:t>
      </w:r>
    </w:p>
    <w:p w14:paraId="72DB438D" w14:textId="77777777" w:rsidR="00793EA9" w:rsidRPr="00247EE7" w:rsidRDefault="002B422E">
      <w:pPr>
        <w:pStyle w:val="CoverNormal24a"/>
        <w:rPr>
          <w:lang w:val="fr-FR"/>
        </w:rPr>
      </w:pPr>
      <w:r w:rsidRPr="00247EE7">
        <w:rPr>
          <w:lang w:val="fr-FR"/>
        </w:rPr>
        <w:t>Rapporteur:</w:t>
      </w:r>
      <w:r w:rsidR="00793EA9" w:rsidRPr="00247EE7">
        <w:rPr>
          <w:lang w:val="fr-FR"/>
        </w:rPr>
        <w:t xml:space="preserve"> </w:t>
      </w:r>
      <w:r w:rsidR="00793EA9" w:rsidRPr="00247EE7">
        <w:rPr>
          <w:rStyle w:val="HideTWBExt"/>
          <w:lang w:val="fr-FR"/>
        </w:rPr>
        <w:t>&lt;Depute&gt;</w:t>
      </w:r>
      <w:r w:rsidR="00754BA0" w:rsidRPr="00247EE7">
        <w:rPr>
          <w:lang w:val="fr-FR"/>
        </w:rPr>
        <w:t>Esther de Lange</w:t>
      </w:r>
      <w:r w:rsidR="00793EA9" w:rsidRPr="00247EE7">
        <w:rPr>
          <w:rStyle w:val="HideTWBExt"/>
          <w:lang w:val="fr-FR"/>
        </w:rPr>
        <w:t>&lt;/Depute&gt;</w:t>
      </w:r>
    </w:p>
    <w:p w14:paraId="60BB8037" w14:textId="77777777" w:rsidR="001C5B44" w:rsidRPr="00247EE7" w:rsidRDefault="001C5B44" w:rsidP="001C5B44">
      <w:pPr>
        <w:pStyle w:val="CoverNormal"/>
        <w:rPr>
          <w:lang w:val="fr-FR"/>
        </w:rPr>
      </w:pPr>
    </w:p>
    <w:p w14:paraId="1432B1E6" w14:textId="5524FC9E" w:rsidR="00754BA0" w:rsidRPr="00247EE7" w:rsidRDefault="00793EA9" w:rsidP="00894923">
      <w:pPr>
        <w:rPr>
          <w:lang w:val="fr-FR"/>
        </w:rPr>
      </w:pPr>
      <w:r w:rsidRPr="00247EE7">
        <w:rPr>
          <w:lang w:val="fr-FR"/>
        </w:rPr>
        <w:br w:type="page"/>
      </w:r>
      <w:r w:rsidR="00803B8D" w:rsidRPr="00247EE7">
        <w:lastRenderedPageBreak/>
        <w:fldChar w:fldCharType="begin"/>
      </w:r>
      <w:r w:rsidR="00803B8D" w:rsidRPr="00247EE7">
        <w:rPr>
          <w:lang w:val="fr-FR"/>
        </w:rPr>
        <w:instrText xml:space="preserve"> TITLE  \* MERGEFORMAT </w:instrText>
      </w:r>
      <w:r w:rsidR="00803B8D" w:rsidRPr="00247EE7">
        <w:fldChar w:fldCharType="separate"/>
      </w:r>
      <w:r w:rsidR="000947AF">
        <w:rPr>
          <w:lang w:val="fr-FR"/>
        </w:rPr>
        <w:t>PR_COD_1amCom</w:t>
      </w:r>
      <w:r w:rsidR="00803B8D" w:rsidRPr="00247EE7">
        <w:fldChar w:fldCharType="end"/>
      </w:r>
    </w:p>
    <w:p w14:paraId="77DF77F4" w14:textId="77777777" w:rsidR="00754BA0" w:rsidRPr="00247EE7" w:rsidRDefault="00754BA0" w:rsidP="00894923">
      <w:pPr>
        <w:rPr>
          <w:lang w:val="fr-FR"/>
        </w:rPr>
      </w:pPr>
    </w:p>
    <w:p w14:paraId="5309BCB5" w14:textId="77777777" w:rsidR="00754BA0" w:rsidRPr="00247EE7" w:rsidRDefault="00754BA0" w:rsidP="00894923">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54BA0" w:rsidRPr="00247EE7" w14:paraId="0E9F636D" w14:textId="77777777">
        <w:tc>
          <w:tcPr>
            <w:tcW w:w="5811" w:type="dxa"/>
          </w:tcPr>
          <w:p w14:paraId="37994957" w14:textId="77777777" w:rsidR="00754BA0" w:rsidRPr="00247EE7" w:rsidRDefault="00754BA0" w:rsidP="00894923">
            <w:pPr>
              <w:pStyle w:val="Lgendetitre"/>
            </w:pPr>
            <w:r w:rsidRPr="00247EE7">
              <w:t>Symbols for procedures</w:t>
            </w:r>
          </w:p>
        </w:tc>
      </w:tr>
      <w:tr w:rsidR="00754BA0" w:rsidRPr="00247EE7" w14:paraId="3B6A5196" w14:textId="77777777" w:rsidTr="007452CB">
        <w:trPr>
          <w:cantSplit/>
          <w:trHeight w:val="1807"/>
        </w:trPr>
        <w:tc>
          <w:tcPr>
            <w:tcW w:w="5811" w:type="dxa"/>
            <w:tcBorders>
              <w:bottom w:val="single" w:sz="4" w:space="0" w:color="auto"/>
            </w:tcBorders>
          </w:tcPr>
          <w:p w14:paraId="13B617C1" w14:textId="77777777" w:rsidR="00754BA0" w:rsidRPr="00247EE7" w:rsidRDefault="00754BA0" w:rsidP="003506ED">
            <w:pPr>
              <w:pStyle w:val="Lgendesigne"/>
            </w:pPr>
            <w:r w:rsidRPr="00247EE7">
              <w:tab/>
              <w:t>*</w:t>
            </w:r>
            <w:r w:rsidRPr="00247EE7">
              <w:tab/>
              <w:t>Consultation procedure</w:t>
            </w:r>
          </w:p>
          <w:p w14:paraId="4BBA01B5" w14:textId="77777777" w:rsidR="00754BA0" w:rsidRPr="00247EE7" w:rsidRDefault="00754BA0" w:rsidP="003506ED">
            <w:pPr>
              <w:pStyle w:val="Lgendesigne"/>
            </w:pPr>
            <w:r w:rsidRPr="00247EE7">
              <w:tab/>
              <w:t>***</w:t>
            </w:r>
            <w:r w:rsidRPr="00247EE7">
              <w:tab/>
              <w:t>Consent procedure</w:t>
            </w:r>
          </w:p>
          <w:p w14:paraId="39E0583E" w14:textId="77777777" w:rsidR="00754BA0" w:rsidRPr="00247EE7" w:rsidRDefault="00754BA0" w:rsidP="003506ED">
            <w:pPr>
              <w:pStyle w:val="Lgendesigne"/>
            </w:pPr>
            <w:r w:rsidRPr="00247EE7">
              <w:tab/>
              <w:t>***I</w:t>
            </w:r>
            <w:r w:rsidRPr="00247EE7">
              <w:tab/>
              <w:t>Ordinary legislative procedure (first reading)</w:t>
            </w:r>
          </w:p>
          <w:p w14:paraId="6EA6140B" w14:textId="77777777" w:rsidR="00754BA0" w:rsidRPr="00247EE7" w:rsidRDefault="00754BA0" w:rsidP="003506ED">
            <w:pPr>
              <w:pStyle w:val="Lgendesigne"/>
            </w:pPr>
            <w:r w:rsidRPr="00247EE7">
              <w:tab/>
              <w:t>***II</w:t>
            </w:r>
            <w:r w:rsidRPr="00247EE7">
              <w:tab/>
              <w:t>Ordinary legislative procedure (second reading)</w:t>
            </w:r>
          </w:p>
          <w:p w14:paraId="745BDBCF" w14:textId="77777777" w:rsidR="00754BA0" w:rsidRPr="00247EE7" w:rsidRDefault="00754BA0" w:rsidP="003506ED">
            <w:pPr>
              <w:pStyle w:val="Lgendesigne"/>
            </w:pPr>
            <w:r w:rsidRPr="00247EE7">
              <w:tab/>
              <w:t>***III</w:t>
            </w:r>
            <w:r w:rsidRPr="00247EE7">
              <w:tab/>
              <w:t>Ordinary legislative procedure (third reading)</w:t>
            </w:r>
          </w:p>
          <w:p w14:paraId="030C911C" w14:textId="77777777" w:rsidR="00754BA0" w:rsidRPr="00247EE7" w:rsidRDefault="00754BA0" w:rsidP="003506ED">
            <w:pPr>
              <w:pStyle w:val="Lgendestandard"/>
            </w:pPr>
          </w:p>
          <w:p w14:paraId="14278ADC" w14:textId="77777777" w:rsidR="00754BA0" w:rsidRPr="00247EE7" w:rsidRDefault="00754BA0" w:rsidP="003506ED">
            <w:pPr>
              <w:pStyle w:val="Lgendestandard"/>
            </w:pPr>
            <w:r w:rsidRPr="00247EE7">
              <w:t>(The type of procedure depends on the legal basis proposed by the draft act.)</w:t>
            </w:r>
          </w:p>
          <w:p w14:paraId="4C06C96E" w14:textId="77777777" w:rsidR="00754BA0" w:rsidRPr="00247EE7" w:rsidRDefault="00754BA0" w:rsidP="00B54EAF">
            <w:pPr>
              <w:pStyle w:val="Lgendestandard"/>
            </w:pPr>
          </w:p>
        </w:tc>
      </w:tr>
    </w:tbl>
    <w:p w14:paraId="78C8AC0C" w14:textId="77777777" w:rsidR="00754BA0" w:rsidRPr="00247EE7" w:rsidRDefault="00754BA0" w:rsidP="00894923"/>
    <w:p w14:paraId="457D5048" w14:textId="77777777" w:rsidR="00754BA0" w:rsidRPr="00247EE7" w:rsidRDefault="00754BA0" w:rsidP="00894923"/>
    <w:p w14:paraId="737DA0D0" w14:textId="77777777" w:rsidR="00754BA0" w:rsidRPr="00247EE7" w:rsidRDefault="00754BA0" w:rsidP="00894923"/>
    <w:p w14:paraId="358F306B" w14:textId="77777777" w:rsidR="00754BA0" w:rsidRPr="00247EE7" w:rsidRDefault="00754BA0"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754BA0" w:rsidRPr="00247EE7" w14:paraId="4F23836A" w14:textId="77777777">
        <w:tc>
          <w:tcPr>
            <w:tcW w:w="5811" w:type="dxa"/>
          </w:tcPr>
          <w:p w14:paraId="51413F3A" w14:textId="77777777" w:rsidR="00754BA0" w:rsidRPr="00247EE7" w:rsidRDefault="00754BA0" w:rsidP="00894923">
            <w:pPr>
              <w:pStyle w:val="Lgendetitre"/>
            </w:pPr>
            <w:r w:rsidRPr="00247EE7">
              <w:t>Amendments to a draft act</w:t>
            </w:r>
          </w:p>
        </w:tc>
      </w:tr>
      <w:tr w:rsidR="00754BA0" w:rsidRPr="00247EE7" w14:paraId="3906D30B" w14:textId="77777777" w:rsidTr="00554250">
        <w:trPr>
          <w:trHeight w:val="4496"/>
        </w:trPr>
        <w:tc>
          <w:tcPr>
            <w:tcW w:w="5811" w:type="dxa"/>
          </w:tcPr>
          <w:p w14:paraId="20755034" w14:textId="77777777" w:rsidR="00754BA0" w:rsidRPr="00247EE7" w:rsidRDefault="00754BA0" w:rsidP="003506ED">
            <w:pPr>
              <w:pStyle w:val="Lgendestandard"/>
              <w:rPr>
                <w:szCs w:val="24"/>
              </w:rPr>
            </w:pPr>
            <w:r w:rsidRPr="00247EE7">
              <w:rPr>
                <w:b/>
                <w:szCs w:val="24"/>
              </w:rPr>
              <w:t>Amendments by Parliament set out in two columns</w:t>
            </w:r>
          </w:p>
          <w:p w14:paraId="4F92946F" w14:textId="77777777" w:rsidR="00754BA0" w:rsidRPr="00247EE7" w:rsidRDefault="00754BA0" w:rsidP="003506ED">
            <w:pPr>
              <w:pStyle w:val="Lgendestandard"/>
              <w:rPr>
                <w:szCs w:val="24"/>
              </w:rPr>
            </w:pPr>
          </w:p>
          <w:p w14:paraId="45555358" w14:textId="77777777" w:rsidR="00754BA0" w:rsidRPr="00247EE7" w:rsidRDefault="00754BA0" w:rsidP="003506ED">
            <w:pPr>
              <w:pStyle w:val="Lgendestandard"/>
              <w:rPr>
                <w:szCs w:val="24"/>
              </w:rPr>
            </w:pPr>
            <w:r w:rsidRPr="00247EE7">
              <w:rPr>
                <w:szCs w:val="24"/>
              </w:rPr>
              <w:t xml:space="preserve">Deletions are indicated in </w:t>
            </w:r>
            <w:r w:rsidRPr="00247EE7">
              <w:rPr>
                <w:b/>
                <w:i/>
                <w:szCs w:val="24"/>
              </w:rPr>
              <w:t>bold italics</w:t>
            </w:r>
            <w:r w:rsidRPr="00247EE7">
              <w:rPr>
                <w:szCs w:val="24"/>
              </w:rPr>
              <w:t xml:space="preserve"> in the left-hand column. Replacements are indicated in </w:t>
            </w:r>
            <w:r w:rsidRPr="00247EE7">
              <w:rPr>
                <w:b/>
                <w:i/>
                <w:szCs w:val="24"/>
              </w:rPr>
              <w:t>bold italics</w:t>
            </w:r>
            <w:r w:rsidRPr="00247EE7">
              <w:rPr>
                <w:szCs w:val="24"/>
              </w:rPr>
              <w:t xml:space="preserve"> in both columns. New text is indicated in </w:t>
            </w:r>
            <w:r w:rsidRPr="00247EE7">
              <w:rPr>
                <w:b/>
                <w:i/>
                <w:szCs w:val="24"/>
              </w:rPr>
              <w:t>bold italics</w:t>
            </w:r>
            <w:r w:rsidRPr="00247EE7">
              <w:rPr>
                <w:szCs w:val="24"/>
              </w:rPr>
              <w:t xml:space="preserve"> in the right-hand column.</w:t>
            </w:r>
          </w:p>
          <w:p w14:paraId="756B3BD2" w14:textId="77777777" w:rsidR="00754BA0" w:rsidRPr="00247EE7" w:rsidRDefault="00754BA0" w:rsidP="003506ED">
            <w:pPr>
              <w:pStyle w:val="Lgendestandard"/>
              <w:rPr>
                <w:szCs w:val="24"/>
              </w:rPr>
            </w:pPr>
          </w:p>
          <w:p w14:paraId="2DE2D3DD" w14:textId="77777777" w:rsidR="00754BA0" w:rsidRPr="00247EE7" w:rsidRDefault="00754BA0" w:rsidP="003506ED">
            <w:pPr>
              <w:pStyle w:val="Lgendestandard"/>
              <w:rPr>
                <w:szCs w:val="24"/>
              </w:rPr>
            </w:pPr>
            <w:r w:rsidRPr="00247EE7">
              <w:rPr>
                <w:szCs w:val="24"/>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71E68067" w14:textId="77777777" w:rsidR="00754BA0" w:rsidRPr="00247EE7" w:rsidRDefault="00754BA0" w:rsidP="003506ED">
            <w:pPr>
              <w:pStyle w:val="Lgendestandard"/>
              <w:rPr>
                <w:szCs w:val="24"/>
              </w:rPr>
            </w:pPr>
          </w:p>
          <w:p w14:paraId="32D8D552" w14:textId="77777777" w:rsidR="00754BA0" w:rsidRPr="00247EE7" w:rsidRDefault="00754BA0" w:rsidP="003506ED">
            <w:pPr>
              <w:pStyle w:val="Lgendestandard"/>
              <w:rPr>
                <w:b/>
                <w:szCs w:val="24"/>
              </w:rPr>
            </w:pPr>
            <w:r w:rsidRPr="00247EE7">
              <w:rPr>
                <w:b/>
                <w:szCs w:val="24"/>
              </w:rPr>
              <w:t>Amendments by Parliament in the form of a consolidated text</w:t>
            </w:r>
          </w:p>
          <w:p w14:paraId="437C85D4" w14:textId="77777777" w:rsidR="00754BA0" w:rsidRPr="00247EE7" w:rsidRDefault="00754BA0" w:rsidP="003506ED">
            <w:pPr>
              <w:pStyle w:val="Lgendestandard"/>
              <w:rPr>
                <w:szCs w:val="24"/>
              </w:rPr>
            </w:pPr>
          </w:p>
          <w:p w14:paraId="1B26E418" w14:textId="77777777" w:rsidR="00754BA0" w:rsidRPr="00247EE7" w:rsidRDefault="00754BA0" w:rsidP="003506ED">
            <w:pPr>
              <w:pStyle w:val="Lgendestandard"/>
              <w:rPr>
                <w:szCs w:val="24"/>
              </w:rPr>
            </w:pPr>
            <w:r w:rsidRPr="00247EE7">
              <w:rPr>
                <w:szCs w:val="24"/>
              </w:rPr>
              <w:t xml:space="preserve">New text is highlighted in </w:t>
            </w:r>
            <w:r w:rsidRPr="00247EE7">
              <w:rPr>
                <w:b/>
                <w:i/>
                <w:szCs w:val="24"/>
              </w:rPr>
              <w:t>bold italics</w:t>
            </w:r>
            <w:r w:rsidRPr="00247EE7">
              <w:rPr>
                <w:szCs w:val="24"/>
              </w:rPr>
              <w:t xml:space="preserve">. Deletions are indicated using either the ▌symbol or strikeout. Replacements are indicated by highlighting the new text in </w:t>
            </w:r>
            <w:r w:rsidRPr="00247EE7">
              <w:rPr>
                <w:b/>
                <w:i/>
                <w:szCs w:val="24"/>
              </w:rPr>
              <w:t>bold italics</w:t>
            </w:r>
            <w:r w:rsidRPr="00247EE7">
              <w:rPr>
                <w:szCs w:val="24"/>
              </w:rPr>
              <w:t xml:space="preserve"> and by deleting or striking out the text that has been replaced. </w:t>
            </w:r>
          </w:p>
          <w:p w14:paraId="3E092A89" w14:textId="77777777" w:rsidR="00754BA0" w:rsidRPr="00247EE7" w:rsidRDefault="00754BA0" w:rsidP="003506ED">
            <w:pPr>
              <w:pStyle w:val="Lgendestandard"/>
            </w:pPr>
            <w:r w:rsidRPr="00247EE7">
              <w:rPr>
                <w:szCs w:val="24"/>
              </w:rPr>
              <w:t>By way of exception, purely technical changes made by the drafting departments in preparing the final text are not highlighted.</w:t>
            </w:r>
          </w:p>
          <w:p w14:paraId="00B19DFE" w14:textId="77777777" w:rsidR="00754BA0" w:rsidRPr="00247EE7" w:rsidRDefault="00754BA0" w:rsidP="0069092A">
            <w:pPr>
              <w:pStyle w:val="Lgendestandard"/>
            </w:pPr>
          </w:p>
        </w:tc>
      </w:tr>
    </w:tbl>
    <w:p w14:paraId="55DB288F" w14:textId="77777777" w:rsidR="00754BA0" w:rsidRPr="00247EE7" w:rsidRDefault="00754BA0" w:rsidP="00894923"/>
    <w:p w14:paraId="53AFD9E7" w14:textId="77777777" w:rsidR="00793EA9" w:rsidRPr="00247EE7" w:rsidRDefault="00793EA9" w:rsidP="00012351">
      <w:pPr>
        <w:widowControl/>
        <w:tabs>
          <w:tab w:val="center" w:pos="4677"/>
        </w:tabs>
      </w:pPr>
    </w:p>
    <w:p w14:paraId="1C475899" w14:textId="77777777" w:rsidR="00793EA9" w:rsidRPr="00247EE7" w:rsidRDefault="00793EA9">
      <w:pPr>
        <w:pStyle w:val="TOCHeading"/>
        <w:rPr>
          <w:lang w:val="fr-FR"/>
        </w:rPr>
      </w:pPr>
      <w:r w:rsidRPr="00247EE7">
        <w:br w:type="page"/>
      </w:r>
      <w:r w:rsidR="002B422E" w:rsidRPr="00247EE7">
        <w:rPr>
          <w:lang w:val="fr-FR"/>
        </w:rPr>
        <w:lastRenderedPageBreak/>
        <w:t>CONTENTS</w:t>
      </w:r>
    </w:p>
    <w:p w14:paraId="781EABB6" w14:textId="77777777" w:rsidR="00793EA9" w:rsidRPr="00247EE7" w:rsidRDefault="002B422E">
      <w:pPr>
        <w:pStyle w:val="TOCPage"/>
        <w:rPr>
          <w:lang w:val="fr-FR"/>
        </w:rPr>
      </w:pPr>
      <w:r w:rsidRPr="00247EE7">
        <w:rPr>
          <w:lang w:val="fr-FR"/>
        </w:rPr>
        <w:t>Page</w:t>
      </w:r>
    </w:p>
    <w:p w14:paraId="46827732" w14:textId="423684F5" w:rsidR="000947AF" w:rsidRDefault="00C23324">
      <w:pPr>
        <w:pStyle w:val="TOC1"/>
        <w:tabs>
          <w:tab w:val="right" w:leader="dot" w:pos="9060"/>
        </w:tabs>
        <w:rPr>
          <w:rFonts w:asciiTheme="minorHAnsi" w:eastAsiaTheme="minorEastAsia" w:hAnsiTheme="minorHAnsi" w:cstheme="minorBidi"/>
          <w:noProof/>
          <w:sz w:val="22"/>
          <w:szCs w:val="22"/>
        </w:rPr>
      </w:pPr>
      <w:r w:rsidRPr="00247EE7">
        <w:rPr>
          <w:b/>
        </w:rPr>
        <w:fldChar w:fldCharType="begin"/>
      </w:r>
      <w:r w:rsidRPr="00247EE7">
        <w:rPr>
          <w:b/>
          <w:lang w:val="fr-FR"/>
        </w:rPr>
        <w:instrText xml:space="preserve"> TOC \t "PageHeading</w:instrText>
      </w:r>
      <w:r w:rsidR="00C20BB0" w:rsidRPr="00247EE7">
        <w:rPr>
          <w:b/>
          <w:lang w:val="fr-FR"/>
        </w:rPr>
        <w:instrText>;</w:instrText>
      </w:r>
      <w:r w:rsidRPr="00247EE7">
        <w:rPr>
          <w:b/>
          <w:lang w:val="fr-FR"/>
        </w:rPr>
        <w:instrText xml:space="preserve">1" </w:instrText>
      </w:r>
      <w:r w:rsidRPr="00247EE7">
        <w:rPr>
          <w:b/>
        </w:rPr>
        <w:fldChar w:fldCharType="separate"/>
      </w:r>
      <w:r w:rsidR="000947AF">
        <w:rPr>
          <w:noProof/>
        </w:rPr>
        <w:t>DRAFT EUROPEAN PARLIAMENT LEGISLATIVE RESOLUTION</w:t>
      </w:r>
      <w:r w:rsidR="000947AF">
        <w:rPr>
          <w:noProof/>
        </w:rPr>
        <w:tab/>
      </w:r>
      <w:r w:rsidR="000947AF">
        <w:rPr>
          <w:noProof/>
        </w:rPr>
        <w:fldChar w:fldCharType="begin"/>
      </w:r>
      <w:r w:rsidR="000947AF">
        <w:rPr>
          <w:noProof/>
        </w:rPr>
        <w:instrText xml:space="preserve"> PAGEREF _Toc27732806 \h </w:instrText>
      </w:r>
      <w:r w:rsidR="000947AF">
        <w:rPr>
          <w:noProof/>
        </w:rPr>
      </w:r>
      <w:r w:rsidR="000947AF">
        <w:rPr>
          <w:noProof/>
        </w:rPr>
        <w:fldChar w:fldCharType="separate"/>
      </w:r>
      <w:r w:rsidR="000947AF">
        <w:rPr>
          <w:noProof/>
        </w:rPr>
        <w:t>5</w:t>
      </w:r>
      <w:r w:rsidR="000947AF">
        <w:rPr>
          <w:noProof/>
        </w:rPr>
        <w:fldChar w:fldCharType="end"/>
      </w:r>
    </w:p>
    <w:p w14:paraId="16238B4A" w14:textId="0D775F2C" w:rsidR="000947AF" w:rsidRDefault="000947AF">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_Toc27732807 \h </w:instrText>
      </w:r>
      <w:r>
        <w:rPr>
          <w:noProof/>
        </w:rPr>
      </w:r>
      <w:r>
        <w:rPr>
          <w:noProof/>
        </w:rPr>
        <w:fldChar w:fldCharType="separate"/>
      </w:r>
      <w:r>
        <w:rPr>
          <w:noProof/>
        </w:rPr>
        <w:t>15</w:t>
      </w:r>
      <w:r>
        <w:rPr>
          <w:noProof/>
        </w:rPr>
        <w:fldChar w:fldCharType="end"/>
      </w:r>
    </w:p>
    <w:p w14:paraId="26F3D341" w14:textId="3D4CCDDD" w:rsidR="002346B0" w:rsidRPr="00247EE7" w:rsidRDefault="00C23324" w:rsidP="00C23324">
      <w:r w:rsidRPr="00247EE7">
        <w:rPr>
          <w:b/>
        </w:rPr>
        <w:fldChar w:fldCharType="end"/>
      </w:r>
    </w:p>
    <w:p w14:paraId="4E26EC60" w14:textId="77777777" w:rsidR="000A00F1" w:rsidRPr="00247EE7" w:rsidRDefault="00793EA9">
      <w:pPr>
        <w:pStyle w:val="PageHeading"/>
      </w:pPr>
      <w:r w:rsidRPr="00247EE7">
        <w:br w:type="page"/>
      </w:r>
    </w:p>
    <w:p w14:paraId="2C02732E" w14:textId="77777777" w:rsidR="000A00F1" w:rsidRPr="00247EE7" w:rsidRDefault="000A00F1">
      <w:pPr>
        <w:widowControl/>
        <w:rPr>
          <w:rFonts w:ascii="Arial" w:hAnsi="Arial" w:cs="Arial"/>
          <w:b/>
        </w:rPr>
      </w:pPr>
      <w:r w:rsidRPr="00247EE7">
        <w:lastRenderedPageBreak/>
        <w:br w:type="page"/>
      </w:r>
    </w:p>
    <w:p w14:paraId="72FC31DD" w14:textId="4646FA70" w:rsidR="00793EA9" w:rsidRPr="00247EE7" w:rsidRDefault="002B422E">
      <w:pPr>
        <w:pStyle w:val="PageHeading"/>
      </w:pPr>
      <w:bookmarkStart w:id="1" w:name="_Toc27732806"/>
      <w:r w:rsidRPr="00247EE7">
        <w:lastRenderedPageBreak/>
        <w:t>DRAFT EUROPEAN PARLIAMENT LEGISLATIVE RESOLUTION</w:t>
      </w:r>
      <w:bookmarkEnd w:id="1"/>
    </w:p>
    <w:p w14:paraId="5011CF8A" w14:textId="160AAFAF" w:rsidR="00793EA9" w:rsidRPr="00247EE7" w:rsidRDefault="002B422E">
      <w:pPr>
        <w:pStyle w:val="NormalBold"/>
      </w:pPr>
      <w:r w:rsidRPr="00247EE7">
        <w:t xml:space="preserve">on the proposal for a </w:t>
      </w:r>
      <w:r w:rsidR="000A00F1" w:rsidRPr="00247EE7">
        <w:t>regulation</w:t>
      </w:r>
      <w:r w:rsidRPr="00247EE7">
        <w:t xml:space="preserve"> of the European Parliament and of the Council </w:t>
      </w:r>
      <w:r w:rsidR="00754BA0" w:rsidRPr="00247EE7">
        <w:t>amending Regulation (EC) No 715/2007 on type approval of motor vehicles with respect to emissions from light passenger and commercial vehicles (Euro 5 and Euro 6) and on access to vehicle repair and maintenance information</w:t>
      </w:r>
    </w:p>
    <w:p w14:paraId="5653BC78" w14:textId="330290D6" w:rsidR="00793EA9" w:rsidRPr="00247EE7" w:rsidRDefault="002B422E">
      <w:pPr>
        <w:pStyle w:val="NormalBold12a"/>
      </w:pPr>
      <w:r w:rsidRPr="00247EE7">
        <w:t>(COM</w:t>
      </w:r>
      <w:r w:rsidR="00754BA0" w:rsidRPr="00247EE7">
        <w:t>(2019)</w:t>
      </w:r>
      <w:r w:rsidR="000A00F1" w:rsidRPr="00247EE7">
        <w:t>0208</w:t>
      </w:r>
      <w:r w:rsidRPr="00247EE7">
        <w:t xml:space="preserve"> </w:t>
      </w:r>
      <w:r w:rsidR="00754BA0" w:rsidRPr="00247EE7">
        <w:t>–</w:t>
      </w:r>
      <w:r w:rsidRPr="00247EE7">
        <w:t xml:space="preserve"> </w:t>
      </w:r>
      <w:r w:rsidR="00754BA0" w:rsidRPr="00247EE7">
        <w:t>C9</w:t>
      </w:r>
      <w:r w:rsidR="00754BA0" w:rsidRPr="00247EE7">
        <w:noBreakHyphen/>
        <w:t>0009/2019</w:t>
      </w:r>
      <w:r w:rsidRPr="00247EE7">
        <w:t xml:space="preserve"> </w:t>
      </w:r>
      <w:r w:rsidR="00754BA0" w:rsidRPr="00247EE7">
        <w:t>–</w:t>
      </w:r>
      <w:r w:rsidRPr="00247EE7">
        <w:t xml:space="preserve"> </w:t>
      </w:r>
      <w:r w:rsidR="00754BA0" w:rsidRPr="00247EE7">
        <w:t>2019/010</w:t>
      </w:r>
      <w:r w:rsidR="000A00F1" w:rsidRPr="00247EE7">
        <w:t>1</w:t>
      </w:r>
      <w:r w:rsidRPr="00247EE7">
        <w:t>(COD))</w:t>
      </w:r>
    </w:p>
    <w:p w14:paraId="6572318A" w14:textId="77777777" w:rsidR="00793EA9" w:rsidRPr="00247EE7" w:rsidRDefault="002B422E" w:rsidP="00A910C9">
      <w:pPr>
        <w:pStyle w:val="NormalBold"/>
      </w:pPr>
      <w:r w:rsidRPr="00247EE7">
        <w:t>(Ordinary legislative procedure: first reading)</w:t>
      </w:r>
    </w:p>
    <w:p w14:paraId="68E37530" w14:textId="77777777" w:rsidR="00793EA9" w:rsidRPr="00247EE7" w:rsidRDefault="002B422E" w:rsidP="00A910C9">
      <w:pPr>
        <w:pStyle w:val="EPComma"/>
      </w:pPr>
      <w:r w:rsidRPr="00247EE7">
        <w:rPr>
          <w:i/>
        </w:rPr>
        <w:t>The European Parliament</w:t>
      </w:r>
      <w:r w:rsidRPr="00247EE7">
        <w:t>,</w:t>
      </w:r>
    </w:p>
    <w:p w14:paraId="7913AE84" w14:textId="133BE8F7" w:rsidR="00793EA9" w:rsidRPr="00247EE7" w:rsidRDefault="00793EA9">
      <w:pPr>
        <w:pStyle w:val="NormalHanging12a"/>
      </w:pPr>
      <w:r w:rsidRPr="00247EE7">
        <w:t>–</w:t>
      </w:r>
      <w:r w:rsidRPr="00247EE7">
        <w:tab/>
      </w:r>
      <w:r w:rsidR="002B422E" w:rsidRPr="00247EE7">
        <w:t>having regard to the Commission proposal to Parliament and the Council (COM</w:t>
      </w:r>
      <w:r w:rsidR="00754BA0" w:rsidRPr="00247EE7">
        <w:t>(2019)</w:t>
      </w:r>
      <w:r w:rsidR="000A00F1" w:rsidRPr="00247EE7">
        <w:t>0208</w:t>
      </w:r>
      <w:r w:rsidR="002B422E" w:rsidRPr="00247EE7">
        <w:t>),</w:t>
      </w:r>
    </w:p>
    <w:p w14:paraId="031AF65E" w14:textId="77777777" w:rsidR="00793EA9" w:rsidRPr="00247EE7" w:rsidRDefault="00793EA9">
      <w:pPr>
        <w:pStyle w:val="NormalHanging12a"/>
      </w:pPr>
      <w:r w:rsidRPr="00247EE7">
        <w:t>–</w:t>
      </w:r>
      <w:r w:rsidRPr="00247EE7">
        <w:tab/>
      </w:r>
      <w:r w:rsidR="002B422E" w:rsidRPr="00247EE7">
        <w:t>having regard to Article</w:t>
      </w:r>
      <w:r w:rsidR="00754BA0" w:rsidRPr="00247EE7">
        <w:t> </w:t>
      </w:r>
      <w:r w:rsidR="002B422E" w:rsidRPr="00247EE7">
        <w:t xml:space="preserve">294(2) and </w:t>
      </w:r>
      <w:r w:rsidR="00754BA0" w:rsidRPr="00247EE7">
        <w:t>Article 114</w:t>
      </w:r>
      <w:r w:rsidR="002B422E" w:rsidRPr="00247EE7">
        <w:t xml:space="preserve"> of the Treaty on the Functioning of the European Union, pursuant to which the Commission submitted the proposal to Parliament (</w:t>
      </w:r>
      <w:r w:rsidR="00754BA0" w:rsidRPr="00247EE7">
        <w:t>C9</w:t>
      </w:r>
      <w:r w:rsidR="00754BA0" w:rsidRPr="00247EE7">
        <w:noBreakHyphen/>
        <w:t>0009/2019</w:t>
      </w:r>
      <w:r w:rsidR="002B422E" w:rsidRPr="00247EE7">
        <w:t>),</w:t>
      </w:r>
    </w:p>
    <w:p w14:paraId="3C6A23BA" w14:textId="77777777" w:rsidR="00A26F46" w:rsidRPr="00247EE7" w:rsidRDefault="00A26F46" w:rsidP="00A26F46">
      <w:pPr>
        <w:pStyle w:val="NormalHanging12a"/>
      </w:pPr>
      <w:r w:rsidRPr="00247EE7">
        <w:t>–</w:t>
      </w:r>
      <w:r w:rsidRPr="00247EE7">
        <w:tab/>
      </w:r>
      <w:r w:rsidR="002B422E" w:rsidRPr="00247EE7">
        <w:t>having regard to Article 294(3) of the Treaty on the Functioning of the European Union,</w:t>
      </w:r>
    </w:p>
    <w:p w14:paraId="4EE97D86" w14:textId="77777777" w:rsidR="00754BA0" w:rsidRPr="00247EE7" w:rsidRDefault="00754BA0" w:rsidP="00AD7FA6">
      <w:pPr>
        <w:pStyle w:val="NormalHanging12a"/>
      </w:pPr>
      <w:r w:rsidRPr="00247EE7">
        <w:t>–</w:t>
      </w:r>
      <w:r w:rsidRPr="00247EE7">
        <w:tab/>
        <w:t xml:space="preserve">having regard to the opinion of the European Economic and Social Committee of ... </w:t>
      </w:r>
      <w:r w:rsidRPr="00247EE7">
        <w:rPr>
          <w:rStyle w:val="FootnoteReference"/>
        </w:rPr>
        <w:footnoteReference w:id="1"/>
      </w:r>
      <w:r w:rsidRPr="00247EE7">
        <w:t>,</w:t>
      </w:r>
    </w:p>
    <w:p w14:paraId="6E815E2F" w14:textId="77777777" w:rsidR="00793EA9" w:rsidRPr="00247EE7" w:rsidRDefault="00793EA9">
      <w:pPr>
        <w:pStyle w:val="NormalHanging12a"/>
      </w:pPr>
      <w:r w:rsidRPr="00247EE7">
        <w:t>–</w:t>
      </w:r>
      <w:r w:rsidRPr="00247EE7">
        <w:tab/>
      </w:r>
      <w:r w:rsidR="00754BA0" w:rsidRPr="00247EE7">
        <w:t>having regard to Rule 59 of its Rules of Procedure,</w:t>
      </w:r>
    </w:p>
    <w:p w14:paraId="74072F7A" w14:textId="77777777" w:rsidR="006A2F5D" w:rsidRPr="00247EE7" w:rsidRDefault="006A2F5D" w:rsidP="006A2F5D">
      <w:pPr>
        <w:pStyle w:val="NormalHanging12a"/>
      </w:pPr>
      <w:r w:rsidRPr="00247EE7">
        <w:t>–</w:t>
      </w:r>
      <w:r w:rsidRPr="00247EE7">
        <w:tab/>
      </w:r>
      <w:r w:rsidR="00754BA0" w:rsidRPr="00247EE7">
        <w:t>having regard to the opinions of the Committee on the Internal Market and Consumer Protection and the Committee on Transport and Tourism,</w:t>
      </w:r>
    </w:p>
    <w:p w14:paraId="52B545A5" w14:textId="77777777" w:rsidR="006A2F5D" w:rsidRPr="00247EE7" w:rsidRDefault="006A2F5D" w:rsidP="006A2F5D">
      <w:pPr>
        <w:pStyle w:val="NormalHanging12a"/>
      </w:pPr>
      <w:r w:rsidRPr="00247EE7">
        <w:t>–</w:t>
      </w:r>
      <w:r w:rsidRPr="00247EE7">
        <w:tab/>
      </w:r>
      <w:r w:rsidR="002B422E" w:rsidRPr="00247EE7">
        <w:t xml:space="preserve">having regard to the report of the </w:t>
      </w:r>
      <w:r w:rsidR="00754BA0" w:rsidRPr="00247EE7">
        <w:t>Committee on the Environment, Public Health and Food Safety</w:t>
      </w:r>
      <w:r w:rsidR="002B422E" w:rsidRPr="00247EE7">
        <w:t xml:space="preserve"> (</w:t>
      </w:r>
      <w:r w:rsidR="00754BA0" w:rsidRPr="00247EE7">
        <w:t>A9</w:t>
      </w:r>
      <w:r w:rsidR="00754BA0" w:rsidRPr="00247EE7">
        <w:noBreakHyphen/>
      </w:r>
      <w:r w:rsidR="002B422E" w:rsidRPr="00247EE7">
        <w:t>0000/</w:t>
      </w:r>
      <w:r w:rsidR="00754BA0" w:rsidRPr="00247EE7">
        <w:t>2019</w:t>
      </w:r>
      <w:r w:rsidR="002B422E" w:rsidRPr="00247EE7">
        <w:t>),</w:t>
      </w:r>
    </w:p>
    <w:p w14:paraId="0F3D9B31" w14:textId="77777777" w:rsidR="009F6C2F" w:rsidRPr="00247EE7" w:rsidRDefault="009F6C2F" w:rsidP="009F6C2F">
      <w:pPr>
        <w:pStyle w:val="NormalHanging12a"/>
      </w:pPr>
      <w:r w:rsidRPr="00247EE7">
        <w:t>1.</w:t>
      </w:r>
      <w:r w:rsidRPr="00247EE7">
        <w:tab/>
      </w:r>
      <w:r w:rsidR="002B422E" w:rsidRPr="00247EE7">
        <w:t>Adopts its position at first reading hereinafter set out;</w:t>
      </w:r>
    </w:p>
    <w:p w14:paraId="49776EE2" w14:textId="77777777" w:rsidR="009F6C2F" w:rsidRPr="00247EE7" w:rsidRDefault="00754BA0" w:rsidP="009F6C2F">
      <w:pPr>
        <w:pStyle w:val="NormalHanging12a"/>
      </w:pPr>
      <w:r w:rsidRPr="00247EE7">
        <w:t>2.</w:t>
      </w:r>
      <w:r w:rsidRPr="00247EE7">
        <w:tab/>
        <w:t>Calls on the Commission to refer the matter to Parliament again if it replaces, substantially amends or intends to substantially amend its proposal;</w:t>
      </w:r>
    </w:p>
    <w:p w14:paraId="05E5A3E7" w14:textId="77777777" w:rsidR="009F6C2F" w:rsidRPr="00247EE7" w:rsidRDefault="00754BA0" w:rsidP="009F6C2F">
      <w:pPr>
        <w:pStyle w:val="NormalHanging12a"/>
      </w:pPr>
      <w:r w:rsidRPr="00247EE7">
        <w:t>3.</w:t>
      </w:r>
      <w:r w:rsidRPr="00247EE7">
        <w:tab/>
        <w:t>Instructs its President to forward its position to the Council, the Commission and the national parliaments.</w:t>
      </w:r>
    </w:p>
    <w:p w14:paraId="55CD998D" w14:textId="77777777" w:rsidR="00D30DE2" w:rsidRPr="00247EE7" w:rsidRDefault="00D30DE2" w:rsidP="00D30DE2"/>
    <w:p w14:paraId="0CBF60BD" w14:textId="77777777" w:rsidR="00B03B18" w:rsidRPr="00247EE7" w:rsidRDefault="00B03B18">
      <w:pPr>
        <w:widowControl/>
        <w:rPr>
          <w:rStyle w:val="HideTWBExt"/>
        </w:rPr>
      </w:pPr>
      <w:r w:rsidRPr="00247EE7">
        <w:rPr>
          <w:rStyle w:val="HideTWBExt"/>
          <w:b/>
        </w:rPr>
        <w:br w:type="page"/>
      </w:r>
    </w:p>
    <w:p w14:paraId="4B889EBF" w14:textId="047B276E" w:rsidR="0078565F" w:rsidRPr="00247EE7" w:rsidRDefault="002669B6" w:rsidP="0078565F">
      <w:pPr>
        <w:pStyle w:val="AmNumberTabs"/>
      </w:pPr>
      <w:r w:rsidRPr="00247EE7">
        <w:rPr>
          <w:rStyle w:val="HideTWBExt"/>
          <w:b w:val="0"/>
        </w:rPr>
        <w:t>&lt;RepeatBlock-Amend&gt;</w:t>
      </w:r>
      <w:bookmarkStart w:id="2" w:name="restart"/>
      <w:r w:rsidR="0078565F" w:rsidRPr="00247EE7">
        <w:rPr>
          <w:rStyle w:val="HideTWBExt"/>
          <w:b w:val="0"/>
        </w:rPr>
        <w:t>&lt;Amend&gt;</w:t>
      </w:r>
      <w:r w:rsidR="0078565F" w:rsidRPr="00247EE7">
        <w:t>Amendment</w:t>
      </w:r>
      <w:r w:rsidR="0078565F" w:rsidRPr="00247EE7">
        <w:tab/>
      </w:r>
      <w:r w:rsidR="0078565F" w:rsidRPr="00247EE7">
        <w:tab/>
      </w:r>
      <w:r w:rsidR="0078565F" w:rsidRPr="00247EE7">
        <w:rPr>
          <w:rStyle w:val="HideTWBExt"/>
          <w:b w:val="0"/>
        </w:rPr>
        <w:t>&lt;NumAm&gt;</w:t>
      </w:r>
      <w:r w:rsidR="00F645B4" w:rsidRPr="00247EE7">
        <w:t>1</w:t>
      </w:r>
      <w:r w:rsidR="0078565F" w:rsidRPr="00247EE7">
        <w:rPr>
          <w:rStyle w:val="HideTWBExt"/>
          <w:b w:val="0"/>
        </w:rPr>
        <w:t>&lt;/NumAm&gt;</w:t>
      </w:r>
    </w:p>
    <w:p w14:paraId="533EEE23" w14:textId="77777777" w:rsidR="0078565F" w:rsidRPr="00247EE7" w:rsidRDefault="0078565F" w:rsidP="0078565F">
      <w:pPr>
        <w:pStyle w:val="NormalBold12b"/>
      </w:pPr>
      <w:r w:rsidRPr="00247EE7">
        <w:rPr>
          <w:rStyle w:val="HideTWBExt"/>
          <w:b w:val="0"/>
        </w:rPr>
        <w:t>&lt;DocAmend&gt;</w:t>
      </w:r>
      <w:r w:rsidRPr="00247EE7">
        <w:t>Proposal for a regulation</w:t>
      </w:r>
      <w:r w:rsidRPr="00247EE7">
        <w:rPr>
          <w:rStyle w:val="HideTWBExt"/>
          <w:b w:val="0"/>
        </w:rPr>
        <w:t>&lt;/DocAmend&gt;</w:t>
      </w:r>
    </w:p>
    <w:p w14:paraId="30428C02" w14:textId="77777777" w:rsidR="0078565F" w:rsidRPr="00247EE7" w:rsidRDefault="0078565F" w:rsidP="0078565F">
      <w:pPr>
        <w:pStyle w:val="NormalBold"/>
      </w:pPr>
      <w:r w:rsidRPr="00247EE7">
        <w:rPr>
          <w:rStyle w:val="HideTWBExt"/>
          <w:b w:val="0"/>
        </w:rPr>
        <w:t>&lt;Article&gt;</w:t>
      </w:r>
      <w:r w:rsidRPr="00247EE7">
        <w:t>Recital 3</w:t>
      </w:r>
      <w:r w:rsidRPr="00247E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565F" w:rsidRPr="00247EE7" w14:paraId="59ED4015" w14:textId="77777777" w:rsidTr="0078565F">
        <w:trPr>
          <w:trHeight w:val="240"/>
          <w:jc w:val="center"/>
        </w:trPr>
        <w:tc>
          <w:tcPr>
            <w:tcW w:w="9752" w:type="dxa"/>
            <w:gridSpan w:val="2"/>
          </w:tcPr>
          <w:p w14:paraId="0401F3A9" w14:textId="77777777" w:rsidR="0078565F" w:rsidRPr="00247EE7" w:rsidRDefault="0078565F"/>
        </w:tc>
      </w:tr>
      <w:tr w:rsidR="0078565F" w:rsidRPr="00247EE7" w14:paraId="409953B9" w14:textId="77777777" w:rsidTr="0078565F">
        <w:trPr>
          <w:trHeight w:val="240"/>
          <w:jc w:val="center"/>
        </w:trPr>
        <w:tc>
          <w:tcPr>
            <w:tcW w:w="4876" w:type="dxa"/>
            <w:hideMark/>
          </w:tcPr>
          <w:p w14:paraId="7DC04D7A" w14:textId="77777777" w:rsidR="0078565F" w:rsidRPr="00247EE7" w:rsidRDefault="0078565F">
            <w:pPr>
              <w:pStyle w:val="AmColumnHeading"/>
            </w:pPr>
            <w:r w:rsidRPr="00247EE7">
              <w:lastRenderedPageBreak/>
              <w:t>Text proposed by the Commission</w:t>
            </w:r>
          </w:p>
        </w:tc>
        <w:tc>
          <w:tcPr>
            <w:tcW w:w="4876" w:type="dxa"/>
            <w:hideMark/>
          </w:tcPr>
          <w:p w14:paraId="55693815" w14:textId="77777777" w:rsidR="0078565F" w:rsidRPr="00247EE7" w:rsidRDefault="0078565F">
            <w:pPr>
              <w:pStyle w:val="AmColumnHeading"/>
            </w:pPr>
            <w:r w:rsidRPr="00247EE7">
              <w:t>Amendment</w:t>
            </w:r>
          </w:p>
        </w:tc>
      </w:tr>
      <w:tr w:rsidR="0078565F" w:rsidRPr="00247EE7" w14:paraId="788206CD" w14:textId="77777777" w:rsidTr="0078565F">
        <w:trPr>
          <w:jc w:val="center"/>
        </w:trPr>
        <w:tc>
          <w:tcPr>
            <w:tcW w:w="4876" w:type="dxa"/>
            <w:hideMark/>
          </w:tcPr>
          <w:p w14:paraId="552DAEBB" w14:textId="77777777" w:rsidR="0078565F" w:rsidRPr="00247EE7" w:rsidRDefault="0078565F">
            <w:pPr>
              <w:pStyle w:val="Normal6a"/>
            </w:pPr>
            <w:r w:rsidRPr="00247EE7">
              <w:t>(3)</w:t>
            </w:r>
            <w:r w:rsidRPr="00247EE7">
              <w:tab/>
              <w:t xml:space="preserve">The type-approval requirements relating to emissions from motor vehicles have been gradually and significantly tightened through the introduction and subsequent revision of Euro standards. While vehicles in general have delivered substantial emission reductions across the range of regulated pollutants, this was not the case for NOx emissions from diesel engines or particles for gasoline direct injection engines, installed in particular in light-duty vehicles. Actions </w:t>
            </w:r>
            <w:r w:rsidRPr="00247EE7">
              <w:rPr>
                <w:b/>
                <w:i/>
              </w:rPr>
              <w:t>for correcting</w:t>
            </w:r>
            <w:r w:rsidRPr="00247EE7">
              <w:t xml:space="preserve"> this situation are therefore needed.</w:t>
            </w:r>
          </w:p>
        </w:tc>
        <w:tc>
          <w:tcPr>
            <w:tcW w:w="4876" w:type="dxa"/>
            <w:hideMark/>
          </w:tcPr>
          <w:p w14:paraId="5495238F" w14:textId="77777777" w:rsidR="0078565F" w:rsidRPr="00247EE7" w:rsidRDefault="0078565F">
            <w:pPr>
              <w:pStyle w:val="Normal6a"/>
            </w:pPr>
            <w:r w:rsidRPr="00247EE7">
              <w:t>(3)</w:t>
            </w:r>
            <w:r w:rsidRPr="00247EE7">
              <w:tab/>
              <w:t xml:space="preserve">The type-approval requirements relating to emissions from motor vehicles have been gradually and significantly tightened through the introduction and subsequent revision of Euro standards. While vehicles in general have delivered substantial emission reductions across the range of regulated pollutants, this was not the case for NOx emissions from diesel engines or particles for gasoline direct injection engines, installed in particular in light-duty vehicles. Actions </w:t>
            </w:r>
            <w:r w:rsidRPr="00247EE7">
              <w:rPr>
                <w:b/>
                <w:i/>
              </w:rPr>
              <w:t>to correct</w:t>
            </w:r>
            <w:r w:rsidRPr="00247EE7">
              <w:t xml:space="preserve"> this situation are therefore needed.</w:t>
            </w:r>
          </w:p>
        </w:tc>
      </w:tr>
    </w:tbl>
    <w:p w14:paraId="2F4BEF38" w14:textId="77777777" w:rsidR="0078565F" w:rsidRPr="00247EE7" w:rsidRDefault="0078565F" w:rsidP="0078565F">
      <w:pPr>
        <w:pStyle w:val="AmOrLang"/>
      </w:pPr>
      <w:r w:rsidRPr="00247EE7">
        <w:t xml:space="preserve">Or. </w:t>
      </w:r>
      <w:r w:rsidRPr="00247EE7">
        <w:rPr>
          <w:rStyle w:val="HideTWBExt"/>
        </w:rPr>
        <w:t>&lt;Original&gt;</w:t>
      </w:r>
      <w:r w:rsidRPr="00247EE7">
        <w:rPr>
          <w:rStyle w:val="HideTWBInt"/>
        </w:rPr>
        <w:t>{EN}</w:t>
      </w:r>
      <w:r w:rsidRPr="00247EE7">
        <w:t>en</w:t>
      </w:r>
      <w:r w:rsidRPr="00247EE7">
        <w:rPr>
          <w:rStyle w:val="HideTWBExt"/>
        </w:rPr>
        <w:t>&lt;/Original&gt;</w:t>
      </w:r>
    </w:p>
    <w:p w14:paraId="0F24FDDB" w14:textId="77777777" w:rsidR="0078565F" w:rsidRPr="00247EE7" w:rsidRDefault="0078565F" w:rsidP="0078565F">
      <w:r w:rsidRPr="00247EE7">
        <w:rPr>
          <w:rStyle w:val="HideTWBExt"/>
        </w:rPr>
        <w:t>&lt;/Amend&gt;</w:t>
      </w:r>
    </w:p>
    <w:p w14:paraId="192B6B1D" w14:textId="03A45798" w:rsidR="0078565F" w:rsidRPr="00247EE7" w:rsidRDefault="0078565F" w:rsidP="0078565F">
      <w:pPr>
        <w:pStyle w:val="AmNumberTabs"/>
      </w:pPr>
      <w:r w:rsidRPr="00247EE7">
        <w:rPr>
          <w:rStyle w:val="HideTWBExt"/>
          <w:b w:val="0"/>
        </w:rPr>
        <w:t>&lt;Amend&gt;</w:t>
      </w:r>
      <w:r w:rsidRPr="00247EE7">
        <w:t>Amendment</w:t>
      </w:r>
      <w:r w:rsidRPr="00247EE7">
        <w:tab/>
      </w:r>
      <w:r w:rsidRPr="00247EE7">
        <w:tab/>
      </w:r>
      <w:r w:rsidRPr="00247EE7">
        <w:rPr>
          <w:rStyle w:val="HideTWBExt"/>
          <w:b w:val="0"/>
        </w:rPr>
        <w:t>&lt;NumAm&gt;</w:t>
      </w:r>
      <w:r w:rsidR="00F645B4" w:rsidRPr="00247EE7">
        <w:t>2</w:t>
      </w:r>
      <w:r w:rsidRPr="00247EE7">
        <w:rPr>
          <w:rStyle w:val="HideTWBExt"/>
          <w:b w:val="0"/>
        </w:rPr>
        <w:t>&lt;/NumAm&gt;</w:t>
      </w:r>
    </w:p>
    <w:p w14:paraId="31B905FC" w14:textId="77777777" w:rsidR="0078565F" w:rsidRPr="00247EE7" w:rsidRDefault="0078565F" w:rsidP="0078565F">
      <w:pPr>
        <w:pStyle w:val="NormalBold12b"/>
      </w:pPr>
      <w:r w:rsidRPr="00247EE7">
        <w:rPr>
          <w:rStyle w:val="HideTWBExt"/>
          <w:b w:val="0"/>
        </w:rPr>
        <w:t>&lt;DocAmend&gt;</w:t>
      </w:r>
      <w:r w:rsidRPr="00247EE7">
        <w:t>Proposal for a regulation</w:t>
      </w:r>
      <w:r w:rsidRPr="00247EE7">
        <w:rPr>
          <w:rStyle w:val="HideTWBExt"/>
          <w:b w:val="0"/>
        </w:rPr>
        <w:t>&lt;/DocAmend&gt;</w:t>
      </w:r>
    </w:p>
    <w:p w14:paraId="22277535" w14:textId="77777777" w:rsidR="0078565F" w:rsidRPr="00247EE7" w:rsidRDefault="0078565F" w:rsidP="0078565F">
      <w:pPr>
        <w:pStyle w:val="NormalBold"/>
      </w:pPr>
      <w:r w:rsidRPr="00247EE7">
        <w:rPr>
          <w:rStyle w:val="HideTWBExt"/>
          <w:b w:val="0"/>
        </w:rPr>
        <w:t>&lt;Article&gt;</w:t>
      </w:r>
      <w:r w:rsidRPr="00247EE7">
        <w:t>Recital 6</w:t>
      </w:r>
      <w:r w:rsidRPr="00247E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565F" w:rsidRPr="00247EE7" w14:paraId="412DF3A8" w14:textId="77777777" w:rsidTr="0078565F">
        <w:trPr>
          <w:trHeight w:val="240"/>
          <w:jc w:val="center"/>
        </w:trPr>
        <w:tc>
          <w:tcPr>
            <w:tcW w:w="9752" w:type="dxa"/>
            <w:gridSpan w:val="2"/>
          </w:tcPr>
          <w:p w14:paraId="5EC831DE" w14:textId="77777777" w:rsidR="0078565F" w:rsidRPr="00247EE7" w:rsidRDefault="0078565F"/>
        </w:tc>
      </w:tr>
      <w:tr w:rsidR="0078565F" w:rsidRPr="00247EE7" w14:paraId="5791A324" w14:textId="77777777" w:rsidTr="0078565F">
        <w:trPr>
          <w:trHeight w:val="240"/>
          <w:jc w:val="center"/>
        </w:trPr>
        <w:tc>
          <w:tcPr>
            <w:tcW w:w="4876" w:type="dxa"/>
            <w:hideMark/>
          </w:tcPr>
          <w:p w14:paraId="1AE93DFD" w14:textId="77777777" w:rsidR="0078565F" w:rsidRPr="00247EE7" w:rsidRDefault="0078565F">
            <w:pPr>
              <w:pStyle w:val="AmColumnHeading"/>
            </w:pPr>
            <w:r w:rsidRPr="00247EE7">
              <w:t>Text proposed by the Commission</w:t>
            </w:r>
          </w:p>
        </w:tc>
        <w:tc>
          <w:tcPr>
            <w:tcW w:w="4876" w:type="dxa"/>
            <w:hideMark/>
          </w:tcPr>
          <w:p w14:paraId="00FBD11B" w14:textId="77777777" w:rsidR="0078565F" w:rsidRPr="00247EE7" w:rsidRDefault="0078565F">
            <w:pPr>
              <w:pStyle w:val="AmColumnHeading"/>
            </w:pPr>
            <w:r w:rsidRPr="00247EE7">
              <w:t>Amendment</w:t>
            </w:r>
          </w:p>
        </w:tc>
      </w:tr>
      <w:tr w:rsidR="0078565F" w:rsidRPr="00247EE7" w14:paraId="36233481" w14:textId="77777777" w:rsidTr="0078565F">
        <w:trPr>
          <w:jc w:val="center"/>
        </w:trPr>
        <w:tc>
          <w:tcPr>
            <w:tcW w:w="4876" w:type="dxa"/>
            <w:hideMark/>
          </w:tcPr>
          <w:p w14:paraId="092C8DF9" w14:textId="77777777" w:rsidR="0078565F" w:rsidRPr="00247EE7" w:rsidRDefault="0078565F">
            <w:pPr>
              <w:pStyle w:val="Normal6a"/>
            </w:pPr>
            <w:r w:rsidRPr="00247EE7">
              <w:t>(6)</w:t>
            </w:r>
            <w:r w:rsidRPr="00247EE7">
              <w:tab/>
              <w:t>Regulation (EU) 2016/646</w:t>
            </w:r>
            <w:r w:rsidRPr="00247EE7">
              <w:rPr>
                <w:vertAlign w:val="superscript"/>
              </w:rPr>
              <w:t>21</w:t>
            </w:r>
            <w:r w:rsidRPr="00247EE7">
              <w:t xml:space="preserve"> introduced the dates of application of the RDE test procedure, as well as the compliance criteria for RDE. For that purpose, pollutant-specific conformity factors were </w:t>
            </w:r>
            <w:r w:rsidRPr="00247EE7">
              <w:rPr>
                <w:b/>
                <w:i/>
              </w:rPr>
              <w:t>used</w:t>
            </w:r>
            <w:r w:rsidRPr="00247EE7">
              <w:t xml:space="preserve"> to take account of statistical and technical uncertainties of the measurements conducted by means of Portable Emission Measurement Systems (PEMS).</w:t>
            </w:r>
          </w:p>
        </w:tc>
        <w:tc>
          <w:tcPr>
            <w:tcW w:w="4876" w:type="dxa"/>
            <w:hideMark/>
          </w:tcPr>
          <w:p w14:paraId="0D4F4BFF" w14:textId="1C069816" w:rsidR="0078565F" w:rsidRPr="00247EE7" w:rsidRDefault="0078565F" w:rsidP="00D742F0">
            <w:pPr>
              <w:pStyle w:val="Normal6a"/>
            </w:pPr>
            <w:r w:rsidRPr="00247EE7">
              <w:t>(6)</w:t>
            </w:r>
            <w:r w:rsidRPr="00247EE7">
              <w:tab/>
              <w:t>Regulation (EU) 2016/646</w:t>
            </w:r>
            <w:r w:rsidRPr="00247EE7">
              <w:rPr>
                <w:vertAlign w:val="superscript"/>
              </w:rPr>
              <w:t>21</w:t>
            </w:r>
            <w:r w:rsidRPr="00247EE7">
              <w:t xml:space="preserve"> introduced the dates of application of the RDE test procedure, as well as the compliance criteria for RDE. For that purpose, pollutant-specific conformity factors were </w:t>
            </w:r>
            <w:r w:rsidRPr="00247EE7">
              <w:rPr>
                <w:b/>
                <w:i/>
              </w:rPr>
              <w:t>introduced, including margins of error,</w:t>
            </w:r>
            <w:r w:rsidRPr="00247EE7">
              <w:t xml:space="preserve"> to take account of statistical and technical uncertainties of the measurements conducted by means of Portable Emission Measurement Systems (PEMS). </w:t>
            </w:r>
            <w:r w:rsidRPr="00247EE7">
              <w:rPr>
                <w:b/>
                <w:i/>
              </w:rPr>
              <w:t xml:space="preserve">A clear distinction </w:t>
            </w:r>
            <w:r w:rsidR="00D742F0" w:rsidRPr="00247EE7">
              <w:rPr>
                <w:b/>
                <w:i/>
              </w:rPr>
              <w:t xml:space="preserve">should be made </w:t>
            </w:r>
            <w:r w:rsidRPr="00247EE7">
              <w:rPr>
                <w:b/>
                <w:i/>
              </w:rPr>
              <w:t>between the conformity factor (CF) for the emission limits and the device-related margin of error.</w:t>
            </w:r>
          </w:p>
        </w:tc>
      </w:tr>
      <w:tr w:rsidR="0078565F" w:rsidRPr="00247EE7" w14:paraId="11325011" w14:textId="77777777" w:rsidTr="0078565F">
        <w:trPr>
          <w:jc w:val="center"/>
        </w:trPr>
        <w:tc>
          <w:tcPr>
            <w:tcW w:w="4876" w:type="dxa"/>
            <w:hideMark/>
          </w:tcPr>
          <w:p w14:paraId="7FA1FB8C" w14:textId="77777777" w:rsidR="0078565F" w:rsidRPr="00247EE7" w:rsidRDefault="0078565F">
            <w:pPr>
              <w:pStyle w:val="Normal6a"/>
            </w:pPr>
            <w:r w:rsidRPr="00247EE7">
              <w:t>_________________</w:t>
            </w:r>
          </w:p>
        </w:tc>
        <w:tc>
          <w:tcPr>
            <w:tcW w:w="4876" w:type="dxa"/>
            <w:hideMark/>
          </w:tcPr>
          <w:p w14:paraId="043C1D07" w14:textId="77777777" w:rsidR="0078565F" w:rsidRPr="00247EE7" w:rsidRDefault="0078565F">
            <w:pPr>
              <w:pStyle w:val="Normal6a"/>
            </w:pPr>
            <w:r w:rsidRPr="00247EE7">
              <w:t>_________________</w:t>
            </w:r>
          </w:p>
        </w:tc>
      </w:tr>
      <w:tr w:rsidR="0078565F" w:rsidRPr="00247EE7" w14:paraId="165903C3" w14:textId="77777777" w:rsidTr="0078565F">
        <w:trPr>
          <w:jc w:val="center"/>
        </w:trPr>
        <w:tc>
          <w:tcPr>
            <w:tcW w:w="4876" w:type="dxa"/>
            <w:hideMark/>
          </w:tcPr>
          <w:p w14:paraId="52364A55" w14:textId="77777777" w:rsidR="0078565F" w:rsidRPr="00247EE7" w:rsidRDefault="0078565F">
            <w:pPr>
              <w:pStyle w:val="Normal6a"/>
            </w:pPr>
            <w:r w:rsidRPr="00247EE7">
              <w:rPr>
                <w:vertAlign w:val="superscript"/>
              </w:rPr>
              <w:t>21</w:t>
            </w:r>
            <w:r w:rsidRPr="00247EE7">
              <w:t xml:space="preserve"> Commission Regulation (EU) 2016/646 of 20 April 2016 amending Regulation (EC) No 692/2008 as regards emissions from light passenger and commercial vehicles (Euro 6) (OJ L 109, 26.04.2016, p.1).</w:t>
            </w:r>
          </w:p>
        </w:tc>
        <w:tc>
          <w:tcPr>
            <w:tcW w:w="4876" w:type="dxa"/>
            <w:hideMark/>
          </w:tcPr>
          <w:p w14:paraId="07CE7487" w14:textId="77777777" w:rsidR="0078565F" w:rsidRPr="00247EE7" w:rsidRDefault="0078565F">
            <w:pPr>
              <w:pStyle w:val="Normal6a"/>
            </w:pPr>
            <w:r w:rsidRPr="00247EE7">
              <w:rPr>
                <w:vertAlign w:val="superscript"/>
              </w:rPr>
              <w:t>21</w:t>
            </w:r>
            <w:r w:rsidRPr="00247EE7">
              <w:t xml:space="preserve"> Commission Regulation (EU) 2016/646 of 20 April 2016 amending Regulation (EC) No 692/2008 as regards emissions from light passenger and commercial vehicles (Euro 6) (OJ L 109, 26.04.2016, p.1).</w:t>
            </w:r>
          </w:p>
        </w:tc>
      </w:tr>
    </w:tbl>
    <w:p w14:paraId="6FF20376" w14:textId="77777777" w:rsidR="0078565F" w:rsidRPr="00247EE7" w:rsidRDefault="0078565F" w:rsidP="0078565F">
      <w:pPr>
        <w:pStyle w:val="AmOrLang"/>
      </w:pPr>
      <w:r w:rsidRPr="00247EE7">
        <w:lastRenderedPageBreak/>
        <w:t xml:space="preserve">Or. </w:t>
      </w:r>
      <w:r w:rsidRPr="00247EE7">
        <w:rPr>
          <w:rStyle w:val="HideTWBExt"/>
        </w:rPr>
        <w:t>&lt;Original&gt;</w:t>
      </w:r>
      <w:r w:rsidRPr="00247EE7">
        <w:rPr>
          <w:rStyle w:val="HideTWBInt"/>
        </w:rPr>
        <w:t>{EN}</w:t>
      </w:r>
      <w:r w:rsidRPr="00247EE7">
        <w:t>en</w:t>
      </w:r>
      <w:r w:rsidRPr="00247EE7">
        <w:rPr>
          <w:rStyle w:val="HideTWBExt"/>
        </w:rPr>
        <w:t>&lt;/Original&gt;</w:t>
      </w:r>
    </w:p>
    <w:p w14:paraId="327BCBD7" w14:textId="77777777" w:rsidR="0078565F" w:rsidRPr="00247EE7" w:rsidRDefault="0078565F" w:rsidP="0078565F">
      <w:pPr>
        <w:pStyle w:val="AmJustTitle"/>
      </w:pPr>
      <w:r w:rsidRPr="00247EE7">
        <w:rPr>
          <w:rStyle w:val="HideTWBExt"/>
          <w:i w:val="0"/>
        </w:rPr>
        <w:t>&lt;TitreJust&gt;</w:t>
      </w:r>
      <w:r w:rsidRPr="00247EE7">
        <w:t>Justification</w:t>
      </w:r>
      <w:r w:rsidRPr="00247EE7">
        <w:rPr>
          <w:rStyle w:val="HideTWBExt"/>
          <w:i w:val="0"/>
        </w:rPr>
        <w:t>&lt;/TitreJust&gt;</w:t>
      </w:r>
    </w:p>
    <w:p w14:paraId="5247C841" w14:textId="77777777" w:rsidR="0078565F" w:rsidRPr="00247EE7" w:rsidRDefault="0078565F" w:rsidP="0078565F">
      <w:pPr>
        <w:pStyle w:val="AmJustText"/>
      </w:pPr>
      <w:r w:rsidRPr="00247EE7">
        <w:t>Clarification that the conformity factor consists of the emission limit standards Euro 5 and 6 and additional measurement uncertainties introduced by the PEMS equipment</w:t>
      </w:r>
    </w:p>
    <w:p w14:paraId="26DA3497" w14:textId="77777777" w:rsidR="0078565F" w:rsidRPr="00247EE7" w:rsidRDefault="0078565F" w:rsidP="0078565F">
      <w:r w:rsidRPr="00247EE7">
        <w:rPr>
          <w:rStyle w:val="HideTWBExt"/>
        </w:rPr>
        <w:t>&lt;/Amend&gt;</w:t>
      </w:r>
    </w:p>
    <w:p w14:paraId="1C204991" w14:textId="44053C1D" w:rsidR="0078565F" w:rsidRPr="00247EE7" w:rsidRDefault="0078565F" w:rsidP="0078565F">
      <w:pPr>
        <w:pStyle w:val="AmNumberTabs"/>
      </w:pPr>
      <w:r w:rsidRPr="00247EE7">
        <w:rPr>
          <w:rStyle w:val="HideTWBExt"/>
          <w:b w:val="0"/>
        </w:rPr>
        <w:t>&lt;Amend&gt;</w:t>
      </w:r>
      <w:r w:rsidRPr="00247EE7">
        <w:t>Amendment</w:t>
      </w:r>
      <w:r w:rsidRPr="00247EE7">
        <w:tab/>
      </w:r>
      <w:r w:rsidRPr="00247EE7">
        <w:tab/>
      </w:r>
      <w:r w:rsidRPr="00247EE7">
        <w:rPr>
          <w:rStyle w:val="HideTWBExt"/>
          <w:b w:val="0"/>
        </w:rPr>
        <w:t>&lt;NumAm&gt;</w:t>
      </w:r>
      <w:r w:rsidR="00F645B4" w:rsidRPr="00247EE7">
        <w:t>3</w:t>
      </w:r>
      <w:r w:rsidRPr="00247EE7">
        <w:rPr>
          <w:rStyle w:val="HideTWBExt"/>
          <w:b w:val="0"/>
        </w:rPr>
        <w:t>&lt;/NumAm&gt;</w:t>
      </w:r>
    </w:p>
    <w:p w14:paraId="1DB308CF" w14:textId="77777777" w:rsidR="0078565F" w:rsidRPr="00247EE7" w:rsidRDefault="0078565F" w:rsidP="0078565F">
      <w:pPr>
        <w:pStyle w:val="NormalBold12b"/>
      </w:pPr>
      <w:r w:rsidRPr="00247EE7">
        <w:rPr>
          <w:rStyle w:val="HideTWBExt"/>
          <w:b w:val="0"/>
        </w:rPr>
        <w:t>&lt;DocAmend&gt;</w:t>
      </w:r>
      <w:r w:rsidRPr="00247EE7">
        <w:t>Proposal for a regulation</w:t>
      </w:r>
      <w:r w:rsidRPr="00247EE7">
        <w:rPr>
          <w:rStyle w:val="HideTWBExt"/>
          <w:b w:val="0"/>
        </w:rPr>
        <w:t>&lt;/DocAmend&gt;</w:t>
      </w:r>
    </w:p>
    <w:p w14:paraId="7865AB76" w14:textId="77777777" w:rsidR="0078565F" w:rsidRPr="00247EE7" w:rsidRDefault="0078565F" w:rsidP="0078565F">
      <w:pPr>
        <w:pStyle w:val="NormalBold"/>
      </w:pPr>
      <w:r w:rsidRPr="00247EE7">
        <w:rPr>
          <w:rStyle w:val="HideTWBExt"/>
          <w:b w:val="0"/>
        </w:rPr>
        <w:t>&lt;Article&gt;</w:t>
      </w:r>
      <w:r w:rsidRPr="00247EE7">
        <w:t>Recital 8</w:t>
      </w:r>
      <w:r w:rsidRPr="00247E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565F" w:rsidRPr="00247EE7" w14:paraId="2EEDFE1D" w14:textId="77777777" w:rsidTr="0078565F">
        <w:trPr>
          <w:trHeight w:val="240"/>
          <w:jc w:val="center"/>
        </w:trPr>
        <w:tc>
          <w:tcPr>
            <w:tcW w:w="9752" w:type="dxa"/>
            <w:gridSpan w:val="2"/>
          </w:tcPr>
          <w:p w14:paraId="6F6FCBE5" w14:textId="77777777" w:rsidR="0078565F" w:rsidRPr="00247EE7" w:rsidRDefault="0078565F"/>
        </w:tc>
      </w:tr>
      <w:tr w:rsidR="0078565F" w:rsidRPr="00247EE7" w14:paraId="466B6E23" w14:textId="77777777" w:rsidTr="0078565F">
        <w:trPr>
          <w:trHeight w:val="240"/>
          <w:jc w:val="center"/>
        </w:trPr>
        <w:tc>
          <w:tcPr>
            <w:tcW w:w="4876" w:type="dxa"/>
            <w:hideMark/>
          </w:tcPr>
          <w:p w14:paraId="7B3A63FE" w14:textId="77777777" w:rsidR="0078565F" w:rsidRPr="00247EE7" w:rsidRDefault="0078565F">
            <w:pPr>
              <w:pStyle w:val="AmColumnHeading"/>
            </w:pPr>
            <w:r w:rsidRPr="00247EE7">
              <w:t>Text proposed by the Commission</w:t>
            </w:r>
          </w:p>
        </w:tc>
        <w:tc>
          <w:tcPr>
            <w:tcW w:w="4876" w:type="dxa"/>
            <w:hideMark/>
          </w:tcPr>
          <w:p w14:paraId="0A1AEFBA" w14:textId="77777777" w:rsidR="0078565F" w:rsidRPr="00247EE7" w:rsidRDefault="0078565F">
            <w:pPr>
              <w:pStyle w:val="AmColumnHeading"/>
            </w:pPr>
            <w:r w:rsidRPr="00247EE7">
              <w:t>Amendment</w:t>
            </w:r>
          </w:p>
        </w:tc>
      </w:tr>
      <w:tr w:rsidR="0078565F" w:rsidRPr="00247EE7" w14:paraId="2E156FBC" w14:textId="77777777" w:rsidTr="0078565F">
        <w:trPr>
          <w:jc w:val="center"/>
        </w:trPr>
        <w:tc>
          <w:tcPr>
            <w:tcW w:w="4876" w:type="dxa"/>
            <w:hideMark/>
          </w:tcPr>
          <w:p w14:paraId="226D1E11" w14:textId="77777777" w:rsidR="0078565F" w:rsidRPr="00247EE7" w:rsidRDefault="0078565F">
            <w:pPr>
              <w:pStyle w:val="Normal6a"/>
            </w:pPr>
            <w:r w:rsidRPr="00247EE7">
              <w:t>(8)</w:t>
            </w:r>
            <w:r w:rsidRPr="00247EE7">
              <w:tab/>
              <w:t xml:space="preserve">The General Court did not question the technical justification of the conformity factors. Therefore, and given that at the current stage of technological development there is still a discrepancy between emissions measured in real driving and those measured in a laboratory, it is appropriate to introduce </w:t>
            </w:r>
            <w:r w:rsidRPr="00247EE7">
              <w:rPr>
                <w:b/>
                <w:i/>
              </w:rPr>
              <w:t>the conformity factors</w:t>
            </w:r>
            <w:r w:rsidRPr="00247EE7">
              <w:t xml:space="preserve"> into Regulation (EC) No 715/2007.</w:t>
            </w:r>
          </w:p>
        </w:tc>
        <w:tc>
          <w:tcPr>
            <w:tcW w:w="4876" w:type="dxa"/>
            <w:hideMark/>
          </w:tcPr>
          <w:p w14:paraId="4F27347D" w14:textId="791B5422" w:rsidR="0078565F" w:rsidRPr="00247EE7" w:rsidRDefault="0078565F" w:rsidP="000A2C22">
            <w:pPr>
              <w:pStyle w:val="Normal6a"/>
            </w:pPr>
            <w:r w:rsidRPr="00247EE7">
              <w:t>(8)</w:t>
            </w:r>
            <w:r w:rsidRPr="00247EE7">
              <w:tab/>
              <w:t xml:space="preserve">The General Court did not question the technical justification of the conformity factors. Therefore, and given that at the current stage of technological development there is still a discrepancy between emissions measured in real driving and those measured in a laboratory, it is appropriate to introduce into Regulation (EC) No 715/2007 </w:t>
            </w:r>
            <w:r w:rsidRPr="00247EE7">
              <w:rPr>
                <w:b/>
                <w:i/>
              </w:rPr>
              <w:t>conformity factors consisting of the requirement that the vehicle meet the emission limits, which may not be exceeded, that are set out in Regulation (EC) No 715/2007 and a margin of error resulting from statistical and technical uncertainties of the PEMS</w:t>
            </w:r>
            <w:r w:rsidRPr="00247EE7">
              <w:t>.</w:t>
            </w:r>
          </w:p>
        </w:tc>
      </w:tr>
    </w:tbl>
    <w:p w14:paraId="076C4E5A" w14:textId="77777777" w:rsidR="0078565F" w:rsidRPr="00247EE7" w:rsidRDefault="0078565F" w:rsidP="0078565F">
      <w:pPr>
        <w:pStyle w:val="AmOrLang"/>
      </w:pPr>
      <w:r w:rsidRPr="00247EE7">
        <w:t xml:space="preserve">Or. </w:t>
      </w:r>
      <w:r w:rsidRPr="00247EE7">
        <w:rPr>
          <w:rStyle w:val="HideTWBExt"/>
        </w:rPr>
        <w:t>&lt;Original&gt;</w:t>
      </w:r>
      <w:r w:rsidRPr="00247EE7">
        <w:rPr>
          <w:rStyle w:val="HideTWBInt"/>
        </w:rPr>
        <w:t>{EN}</w:t>
      </w:r>
      <w:r w:rsidRPr="00247EE7">
        <w:t>en</w:t>
      </w:r>
      <w:r w:rsidRPr="00247EE7">
        <w:rPr>
          <w:rStyle w:val="HideTWBExt"/>
        </w:rPr>
        <w:t>&lt;/Original&gt;</w:t>
      </w:r>
    </w:p>
    <w:p w14:paraId="61067802" w14:textId="77777777" w:rsidR="0078565F" w:rsidRPr="00247EE7" w:rsidRDefault="0078565F" w:rsidP="0078565F">
      <w:pPr>
        <w:pStyle w:val="AmJustTitle"/>
      </w:pPr>
      <w:r w:rsidRPr="00247EE7">
        <w:rPr>
          <w:rStyle w:val="HideTWBExt"/>
          <w:i w:val="0"/>
        </w:rPr>
        <w:t>&lt;TitreJust&gt;</w:t>
      </w:r>
      <w:r w:rsidRPr="00247EE7">
        <w:t>Justification</w:t>
      </w:r>
      <w:r w:rsidRPr="00247EE7">
        <w:rPr>
          <w:rStyle w:val="HideTWBExt"/>
          <w:i w:val="0"/>
        </w:rPr>
        <w:t>&lt;/TitreJust&gt;</w:t>
      </w:r>
    </w:p>
    <w:p w14:paraId="5036D019" w14:textId="77777777" w:rsidR="0078565F" w:rsidRPr="00247EE7" w:rsidRDefault="0078565F" w:rsidP="0078565F">
      <w:pPr>
        <w:pStyle w:val="AmJustText"/>
      </w:pPr>
      <w:r w:rsidRPr="00247EE7">
        <w:t>Clarification that the conformity factor consists of the applicable emission limit standards Euro 5 and 6 and additional measurement uncertainties introduced by the PEMS equipment</w:t>
      </w:r>
    </w:p>
    <w:p w14:paraId="61DA3415" w14:textId="77777777" w:rsidR="0078565F" w:rsidRPr="00247EE7" w:rsidRDefault="0078565F" w:rsidP="0078565F">
      <w:r w:rsidRPr="00247EE7">
        <w:rPr>
          <w:rStyle w:val="HideTWBExt"/>
        </w:rPr>
        <w:t>&lt;/Amend&gt;</w:t>
      </w:r>
    </w:p>
    <w:p w14:paraId="0B0D0424" w14:textId="17E00040" w:rsidR="0078565F" w:rsidRPr="00247EE7" w:rsidRDefault="0078565F" w:rsidP="0078565F">
      <w:pPr>
        <w:pStyle w:val="AmNumberTabs"/>
      </w:pPr>
      <w:r w:rsidRPr="00247EE7">
        <w:rPr>
          <w:rStyle w:val="HideTWBExt"/>
          <w:b w:val="0"/>
        </w:rPr>
        <w:t>&lt;Amend&gt;</w:t>
      </w:r>
      <w:r w:rsidRPr="00247EE7">
        <w:t>Amendment</w:t>
      </w:r>
      <w:r w:rsidRPr="00247EE7">
        <w:tab/>
      </w:r>
      <w:r w:rsidRPr="00247EE7">
        <w:tab/>
      </w:r>
      <w:r w:rsidRPr="00247EE7">
        <w:rPr>
          <w:rStyle w:val="HideTWBExt"/>
          <w:b w:val="0"/>
        </w:rPr>
        <w:t>&lt;NumAm&gt;</w:t>
      </w:r>
      <w:r w:rsidR="00F645B4" w:rsidRPr="00247EE7">
        <w:t>4</w:t>
      </w:r>
      <w:r w:rsidRPr="00247EE7">
        <w:rPr>
          <w:rStyle w:val="HideTWBExt"/>
          <w:b w:val="0"/>
        </w:rPr>
        <w:t>&lt;/NumAm&gt;</w:t>
      </w:r>
    </w:p>
    <w:p w14:paraId="0D648BE2" w14:textId="77777777" w:rsidR="0078565F" w:rsidRPr="00247EE7" w:rsidRDefault="0078565F" w:rsidP="0078565F">
      <w:pPr>
        <w:pStyle w:val="NormalBold12b"/>
      </w:pPr>
      <w:r w:rsidRPr="00247EE7">
        <w:rPr>
          <w:rStyle w:val="HideTWBExt"/>
          <w:b w:val="0"/>
        </w:rPr>
        <w:t>&lt;DocAmend&gt;</w:t>
      </w:r>
      <w:r w:rsidRPr="00247EE7">
        <w:t>Proposal for a regulation</w:t>
      </w:r>
      <w:r w:rsidRPr="00247EE7">
        <w:rPr>
          <w:rStyle w:val="HideTWBExt"/>
          <w:b w:val="0"/>
        </w:rPr>
        <w:t>&lt;/DocAmend&gt;</w:t>
      </w:r>
    </w:p>
    <w:p w14:paraId="6557166B" w14:textId="77777777" w:rsidR="0078565F" w:rsidRPr="00247EE7" w:rsidRDefault="0078565F" w:rsidP="0078565F">
      <w:pPr>
        <w:pStyle w:val="NormalBold"/>
      </w:pPr>
      <w:r w:rsidRPr="00247EE7">
        <w:rPr>
          <w:rStyle w:val="HideTWBExt"/>
          <w:b w:val="0"/>
        </w:rPr>
        <w:t>&lt;Article&gt;</w:t>
      </w:r>
      <w:r w:rsidRPr="00247EE7">
        <w:t>Recital 9</w:t>
      </w:r>
      <w:r w:rsidRPr="00247E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565F" w:rsidRPr="00247EE7" w14:paraId="0A4E188D" w14:textId="77777777" w:rsidTr="0078565F">
        <w:trPr>
          <w:trHeight w:val="240"/>
          <w:jc w:val="center"/>
        </w:trPr>
        <w:tc>
          <w:tcPr>
            <w:tcW w:w="9752" w:type="dxa"/>
            <w:gridSpan w:val="2"/>
          </w:tcPr>
          <w:p w14:paraId="59040559" w14:textId="77777777" w:rsidR="0078565F" w:rsidRPr="00247EE7" w:rsidRDefault="0078565F"/>
        </w:tc>
      </w:tr>
      <w:tr w:rsidR="0078565F" w:rsidRPr="00247EE7" w14:paraId="06E360CD" w14:textId="77777777" w:rsidTr="0078565F">
        <w:trPr>
          <w:trHeight w:val="240"/>
          <w:jc w:val="center"/>
        </w:trPr>
        <w:tc>
          <w:tcPr>
            <w:tcW w:w="4876" w:type="dxa"/>
            <w:hideMark/>
          </w:tcPr>
          <w:p w14:paraId="71109E4E" w14:textId="77777777" w:rsidR="0078565F" w:rsidRPr="00247EE7" w:rsidRDefault="0078565F">
            <w:pPr>
              <w:pStyle w:val="AmColumnHeading"/>
            </w:pPr>
            <w:r w:rsidRPr="00247EE7">
              <w:t>Text proposed by the Commission</w:t>
            </w:r>
          </w:p>
        </w:tc>
        <w:tc>
          <w:tcPr>
            <w:tcW w:w="4876" w:type="dxa"/>
            <w:hideMark/>
          </w:tcPr>
          <w:p w14:paraId="2596024F" w14:textId="77777777" w:rsidR="0078565F" w:rsidRPr="00247EE7" w:rsidRDefault="0078565F">
            <w:pPr>
              <w:pStyle w:val="AmColumnHeading"/>
            </w:pPr>
            <w:r w:rsidRPr="00247EE7">
              <w:t>Amendment</w:t>
            </w:r>
          </w:p>
        </w:tc>
      </w:tr>
      <w:tr w:rsidR="0078565F" w:rsidRPr="00247EE7" w14:paraId="3ED765F0" w14:textId="77777777" w:rsidTr="0078565F">
        <w:trPr>
          <w:jc w:val="center"/>
        </w:trPr>
        <w:tc>
          <w:tcPr>
            <w:tcW w:w="4876" w:type="dxa"/>
            <w:hideMark/>
          </w:tcPr>
          <w:p w14:paraId="5C05529E" w14:textId="77777777" w:rsidR="0078565F" w:rsidRPr="00247EE7" w:rsidRDefault="0078565F">
            <w:pPr>
              <w:pStyle w:val="Normal6a"/>
            </w:pPr>
            <w:r w:rsidRPr="00247EE7">
              <w:t>(9)</w:t>
            </w:r>
            <w:r w:rsidRPr="00247EE7">
              <w:tab/>
              <w:t xml:space="preserve">In order to allow manufacturers to comply with the Euro 6 emission limits in </w:t>
            </w:r>
            <w:r w:rsidRPr="00247EE7">
              <w:lastRenderedPageBreak/>
              <w:t xml:space="preserve">the context of RDE test procedure, the compliance criteria for RDE </w:t>
            </w:r>
            <w:r w:rsidRPr="00247EE7">
              <w:rPr>
                <w:b/>
                <w:i/>
              </w:rPr>
              <w:t>should be</w:t>
            </w:r>
            <w:r w:rsidRPr="00247EE7">
              <w:t xml:space="preserve"> introduced in two steps. During the first step, upon the request of the manufacturer, a temporary conformity factor </w:t>
            </w:r>
            <w:r w:rsidRPr="00247EE7">
              <w:rPr>
                <w:b/>
                <w:i/>
              </w:rPr>
              <w:t>should</w:t>
            </w:r>
            <w:r w:rsidRPr="00247EE7">
              <w:t xml:space="preserve"> apply, while as a second step only the final conformity factor </w:t>
            </w:r>
            <w:r w:rsidRPr="00247EE7">
              <w:rPr>
                <w:b/>
                <w:i/>
              </w:rPr>
              <w:t>should</w:t>
            </w:r>
            <w:r w:rsidRPr="00247EE7">
              <w:t xml:space="preserve"> be used. The Commission should </w:t>
            </w:r>
            <w:r w:rsidRPr="00247EE7">
              <w:rPr>
                <w:b/>
                <w:i/>
              </w:rPr>
              <w:t>keep under review</w:t>
            </w:r>
            <w:r w:rsidRPr="00247EE7">
              <w:t xml:space="preserve"> the final conformity factors </w:t>
            </w:r>
            <w:r w:rsidRPr="00247EE7">
              <w:rPr>
                <w:b/>
                <w:i/>
              </w:rPr>
              <w:t>in light of</w:t>
            </w:r>
            <w:r w:rsidRPr="00247EE7">
              <w:t xml:space="preserve"> technical progress.</w:t>
            </w:r>
          </w:p>
        </w:tc>
        <w:tc>
          <w:tcPr>
            <w:tcW w:w="4876" w:type="dxa"/>
            <w:hideMark/>
          </w:tcPr>
          <w:p w14:paraId="533F4F70" w14:textId="62007D83" w:rsidR="0078565F" w:rsidRPr="00247EE7" w:rsidRDefault="0078565F" w:rsidP="00B914AE">
            <w:pPr>
              <w:pStyle w:val="Normal6a"/>
            </w:pPr>
            <w:r w:rsidRPr="00247EE7">
              <w:lastRenderedPageBreak/>
              <w:t>(9)</w:t>
            </w:r>
            <w:r w:rsidRPr="00247EE7">
              <w:tab/>
              <w:t xml:space="preserve">In order to allow manufacturers to comply with the Euro 6 emission limits in </w:t>
            </w:r>
            <w:r w:rsidRPr="00247EE7">
              <w:lastRenderedPageBreak/>
              <w:t xml:space="preserve">the context of </w:t>
            </w:r>
            <w:r w:rsidRPr="00247EE7">
              <w:rPr>
                <w:b/>
                <w:i/>
              </w:rPr>
              <w:t>the</w:t>
            </w:r>
            <w:r w:rsidRPr="00247EE7">
              <w:t xml:space="preserve"> RDE test procedure, the compliance criteria for RDE </w:t>
            </w:r>
            <w:r w:rsidRPr="00247EE7">
              <w:rPr>
                <w:b/>
                <w:i/>
              </w:rPr>
              <w:t>have been</w:t>
            </w:r>
            <w:r w:rsidRPr="00247EE7">
              <w:t xml:space="preserve"> introduced in two steps. During the first step, upon the request of the manufacturer, a temporary conformity factor </w:t>
            </w:r>
            <w:r w:rsidRPr="00247EE7">
              <w:rPr>
                <w:b/>
                <w:i/>
              </w:rPr>
              <w:t>can</w:t>
            </w:r>
            <w:r w:rsidRPr="00247EE7">
              <w:t xml:space="preserve"> apply, while as a second step only the final conformity factor </w:t>
            </w:r>
            <w:r w:rsidR="00B914AE" w:rsidRPr="00247EE7">
              <w:rPr>
                <w:b/>
                <w:i/>
              </w:rPr>
              <w:t xml:space="preserve">are to </w:t>
            </w:r>
            <w:r w:rsidRPr="00247EE7">
              <w:t xml:space="preserve">be used. The Commission should </w:t>
            </w:r>
            <w:r w:rsidRPr="00247EE7">
              <w:rPr>
                <w:b/>
                <w:i/>
              </w:rPr>
              <w:t>adjust downwards the margin of error used to calculate</w:t>
            </w:r>
            <w:r w:rsidRPr="00247EE7">
              <w:t xml:space="preserve"> the final conformity factors </w:t>
            </w:r>
            <w:r w:rsidRPr="00247EE7">
              <w:rPr>
                <w:b/>
                <w:i/>
              </w:rPr>
              <w:t>every year as a result of the improved quality of the measuring procedure or</w:t>
            </w:r>
            <w:r w:rsidRPr="00247EE7">
              <w:t xml:space="preserve"> technical progress </w:t>
            </w:r>
            <w:r w:rsidRPr="00247EE7">
              <w:rPr>
                <w:b/>
                <w:i/>
              </w:rPr>
              <w:t>of PEMS equipment, unless the Commission justifies the reason for not being able to do so</w:t>
            </w:r>
            <w:r w:rsidRPr="00247EE7">
              <w:t>.</w:t>
            </w:r>
          </w:p>
        </w:tc>
      </w:tr>
    </w:tbl>
    <w:p w14:paraId="686E7164" w14:textId="77777777" w:rsidR="0078565F" w:rsidRPr="00247EE7" w:rsidRDefault="0078565F" w:rsidP="0078565F">
      <w:pPr>
        <w:pStyle w:val="AmOrLang"/>
      </w:pPr>
      <w:r w:rsidRPr="00247EE7">
        <w:lastRenderedPageBreak/>
        <w:t xml:space="preserve">Or. </w:t>
      </w:r>
      <w:r w:rsidRPr="00247EE7">
        <w:rPr>
          <w:rStyle w:val="HideTWBExt"/>
        </w:rPr>
        <w:t>&lt;Original&gt;</w:t>
      </w:r>
      <w:r w:rsidRPr="00247EE7">
        <w:rPr>
          <w:rStyle w:val="HideTWBInt"/>
        </w:rPr>
        <w:t>{EN}</w:t>
      </w:r>
      <w:r w:rsidRPr="00247EE7">
        <w:t>en</w:t>
      </w:r>
      <w:r w:rsidRPr="00247EE7">
        <w:rPr>
          <w:rStyle w:val="HideTWBExt"/>
        </w:rPr>
        <w:t>&lt;/Original&gt;</w:t>
      </w:r>
    </w:p>
    <w:p w14:paraId="7000F4EC" w14:textId="77777777" w:rsidR="0078565F" w:rsidRPr="00247EE7" w:rsidRDefault="0078565F" w:rsidP="0078565F">
      <w:pPr>
        <w:pStyle w:val="AmJustTitle"/>
      </w:pPr>
      <w:r w:rsidRPr="00247EE7">
        <w:rPr>
          <w:rStyle w:val="HideTWBExt"/>
          <w:i w:val="0"/>
        </w:rPr>
        <w:t>&lt;TitreJust&gt;</w:t>
      </w:r>
      <w:r w:rsidRPr="00247EE7">
        <w:t>Justification</w:t>
      </w:r>
      <w:r w:rsidRPr="00247EE7">
        <w:rPr>
          <w:rStyle w:val="HideTWBExt"/>
          <w:i w:val="0"/>
        </w:rPr>
        <w:t>&lt;/TitreJust&gt;</w:t>
      </w:r>
    </w:p>
    <w:p w14:paraId="6FC0FBA4" w14:textId="77777777" w:rsidR="0078565F" w:rsidRPr="00247EE7" w:rsidRDefault="0078565F" w:rsidP="0078565F">
      <w:pPr>
        <w:pStyle w:val="AmJustText"/>
      </w:pPr>
      <w:r w:rsidRPr="00247EE7">
        <w:t>Clarification that the conformity factor consists of the emission limit standards Euro 5 and 6 and additional measurement uncertainties introduced by the PEMS equipment. This margin of error is subject to annual review and shall be revised as a result of the improved quality of the PEMS procedure or technical progress.</w:t>
      </w:r>
    </w:p>
    <w:p w14:paraId="5982B0CC" w14:textId="77777777" w:rsidR="0078565F" w:rsidRPr="00247EE7" w:rsidRDefault="0078565F" w:rsidP="0078565F">
      <w:r w:rsidRPr="00247EE7">
        <w:rPr>
          <w:rStyle w:val="HideTWBExt"/>
        </w:rPr>
        <w:t>&lt;/Amend&gt;</w:t>
      </w:r>
    </w:p>
    <w:p w14:paraId="05C56372" w14:textId="47DC088B" w:rsidR="0078565F" w:rsidRPr="00247EE7" w:rsidRDefault="0078565F" w:rsidP="0078565F">
      <w:pPr>
        <w:pStyle w:val="AmNumberTabs"/>
      </w:pPr>
      <w:r w:rsidRPr="00247EE7">
        <w:rPr>
          <w:rStyle w:val="HideTWBExt"/>
          <w:b w:val="0"/>
        </w:rPr>
        <w:t>&lt;Amend&gt;</w:t>
      </w:r>
      <w:r w:rsidRPr="00247EE7">
        <w:t>Amendment</w:t>
      </w:r>
      <w:r w:rsidRPr="00247EE7">
        <w:tab/>
      </w:r>
      <w:r w:rsidRPr="00247EE7">
        <w:tab/>
      </w:r>
      <w:r w:rsidRPr="00247EE7">
        <w:rPr>
          <w:rStyle w:val="HideTWBExt"/>
          <w:b w:val="0"/>
        </w:rPr>
        <w:t>&lt;NumAm&gt;</w:t>
      </w:r>
      <w:r w:rsidR="00F645B4" w:rsidRPr="00247EE7">
        <w:t>5</w:t>
      </w:r>
      <w:r w:rsidRPr="00247EE7">
        <w:rPr>
          <w:rStyle w:val="HideTWBExt"/>
          <w:b w:val="0"/>
        </w:rPr>
        <w:t>&lt;/NumAm&gt;</w:t>
      </w:r>
    </w:p>
    <w:p w14:paraId="0084BE05" w14:textId="77777777" w:rsidR="0078565F" w:rsidRPr="00247EE7" w:rsidRDefault="0078565F" w:rsidP="0078565F">
      <w:pPr>
        <w:pStyle w:val="NormalBold12b"/>
      </w:pPr>
      <w:r w:rsidRPr="00247EE7">
        <w:rPr>
          <w:rStyle w:val="HideTWBExt"/>
          <w:b w:val="0"/>
        </w:rPr>
        <w:t>&lt;DocAmend&gt;</w:t>
      </w:r>
      <w:r w:rsidRPr="00247EE7">
        <w:t>Proposal for a regulation</w:t>
      </w:r>
      <w:r w:rsidRPr="00247EE7">
        <w:rPr>
          <w:rStyle w:val="HideTWBExt"/>
          <w:b w:val="0"/>
        </w:rPr>
        <w:t>&lt;/DocAmend&gt;</w:t>
      </w:r>
    </w:p>
    <w:p w14:paraId="7F7A82BB" w14:textId="77777777" w:rsidR="0078565F" w:rsidRPr="00247EE7" w:rsidRDefault="0078565F" w:rsidP="0078565F">
      <w:pPr>
        <w:pStyle w:val="NormalBold"/>
      </w:pPr>
      <w:r w:rsidRPr="00247EE7">
        <w:rPr>
          <w:rStyle w:val="HideTWBExt"/>
          <w:b w:val="0"/>
        </w:rPr>
        <w:t>&lt;Article&gt;</w:t>
      </w:r>
      <w:r w:rsidRPr="00247EE7">
        <w:t>Recital 9 a (new)</w:t>
      </w:r>
      <w:r w:rsidRPr="00247E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565F" w:rsidRPr="00247EE7" w14:paraId="15275187" w14:textId="77777777" w:rsidTr="0078565F">
        <w:trPr>
          <w:trHeight w:val="240"/>
          <w:jc w:val="center"/>
        </w:trPr>
        <w:tc>
          <w:tcPr>
            <w:tcW w:w="9752" w:type="dxa"/>
            <w:gridSpan w:val="2"/>
          </w:tcPr>
          <w:p w14:paraId="19F633A0" w14:textId="77777777" w:rsidR="0078565F" w:rsidRPr="00247EE7" w:rsidRDefault="0078565F"/>
        </w:tc>
      </w:tr>
      <w:tr w:rsidR="0078565F" w:rsidRPr="00247EE7" w14:paraId="6D0880E0" w14:textId="77777777" w:rsidTr="0078565F">
        <w:trPr>
          <w:trHeight w:val="240"/>
          <w:jc w:val="center"/>
        </w:trPr>
        <w:tc>
          <w:tcPr>
            <w:tcW w:w="4876" w:type="dxa"/>
            <w:hideMark/>
          </w:tcPr>
          <w:p w14:paraId="206F57B3" w14:textId="77777777" w:rsidR="0078565F" w:rsidRPr="00247EE7" w:rsidRDefault="0078565F">
            <w:pPr>
              <w:pStyle w:val="AmColumnHeading"/>
            </w:pPr>
            <w:r w:rsidRPr="00247EE7">
              <w:t>Text proposed by the Commission</w:t>
            </w:r>
          </w:p>
        </w:tc>
        <w:tc>
          <w:tcPr>
            <w:tcW w:w="4876" w:type="dxa"/>
            <w:hideMark/>
          </w:tcPr>
          <w:p w14:paraId="6A843595" w14:textId="77777777" w:rsidR="0078565F" w:rsidRPr="00247EE7" w:rsidRDefault="0078565F">
            <w:pPr>
              <w:pStyle w:val="AmColumnHeading"/>
            </w:pPr>
            <w:r w:rsidRPr="00247EE7">
              <w:t>Amendment</w:t>
            </w:r>
          </w:p>
        </w:tc>
      </w:tr>
      <w:tr w:rsidR="0078565F" w:rsidRPr="00247EE7" w14:paraId="38B2E6DA" w14:textId="77777777" w:rsidTr="0078565F">
        <w:trPr>
          <w:jc w:val="center"/>
        </w:trPr>
        <w:tc>
          <w:tcPr>
            <w:tcW w:w="4876" w:type="dxa"/>
          </w:tcPr>
          <w:p w14:paraId="7A44F2DA" w14:textId="77777777" w:rsidR="0078565F" w:rsidRPr="00247EE7" w:rsidRDefault="0078565F">
            <w:pPr>
              <w:pStyle w:val="Normal6a"/>
            </w:pPr>
          </w:p>
        </w:tc>
        <w:tc>
          <w:tcPr>
            <w:tcW w:w="4876" w:type="dxa"/>
            <w:hideMark/>
          </w:tcPr>
          <w:p w14:paraId="4225A189" w14:textId="4DC57C8A" w:rsidR="0078565F" w:rsidRPr="00247EE7" w:rsidRDefault="0078565F" w:rsidP="003C5441">
            <w:pPr>
              <w:pStyle w:val="Normal6a"/>
            </w:pPr>
            <w:r w:rsidRPr="00247EE7">
              <w:rPr>
                <w:b/>
                <w:i/>
              </w:rPr>
              <w:t>(9 a)</w:t>
            </w:r>
            <w:r w:rsidRPr="00247EE7">
              <w:tab/>
            </w:r>
            <w:r w:rsidRPr="00247EE7">
              <w:rPr>
                <w:b/>
                <w:i/>
              </w:rPr>
              <w:t xml:space="preserve">As the General Court of the European Union </w:t>
            </w:r>
            <w:r w:rsidR="003C5441" w:rsidRPr="00247EE7">
              <w:rPr>
                <w:b/>
                <w:i/>
              </w:rPr>
              <w:t xml:space="preserve">has </w:t>
            </w:r>
            <w:r w:rsidRPr="00247EE7">
              <w:rPr>
                <w:b/>
                <w:i/>
              </w:rPr>
              <w:t xml:space="preserve">ruled that conformity factors should be adopted through the ordinary legislative procedure, this legislative proposal aims to reinstate the conformity factors by amending Regulation (EC) No 715/2007. It is important to underline that </w:t>
            </w:r>
            <w:r w:rsidR="000A2C22" w:rsidRPr="00247EE7">
              <w:rPr>
                <w:b/>
                <w:i/>
              </w:rPr>
              <w:t xml:space="preserve">while </w:t>
            </w:r>
            <w:r w:rsidRPr="00247EE7">
              <w:rPr>
                <w:b/>
                <w:i/>
              </w:rPr>
              <w:t xml:space="preserve">this proposal deals with the conformity factor including the margin of error introduced by the PEMS equipment, the issue of the emission limit standards is to be dealt with in the context of the </w:t>
            </w:r>
            <w:r w:rsidR="003C5441" w:rsidRPr="00247EE7">
              <w:rPr>
                <w:b/>
                <w:i/>
              </w:rPr>
              <w:t>forthcoming</w:t>
            </w:r>
            <w:r w:rsidR="000A2C22" w:rsidRPr="00247EE7">
              <w:rPr>
                <w:b/>
                <w:i/>
              </w:rPr>
              <w:t xml:space="preserve"> </w:t>
            </w:r>
            <w:r w:rsidRPr="00247EE7">
              <w:rPr>
                <w:b/>
                <w:i/>
              </w:rPr>
              <w:t xml:space="preserve">post-Euro 6 proposal. In order to make progress towards the adoption of the </w:t>
            </w:r>
            <w:r w:rsidRPr="00247EE7">
              <w:rPr>
                <w:b/>
                <w:i/>
              </w:rPr>
              <w:lastRenderedPageBreak/>
              <w:t>future (post - Euro 6) emission limit values, it is essential that the Commission present, where appropriate, a legislative proposal to that effect as soon as possible and at the latest by June 2021 as announced by the Commission in its communication of 11 December 2019 entitled "The European Green Deal". It is necessary that the Commission take duly into account any standards developed by the European Committee for Standardization (CEN) which assess PEMS performance with regard to NO</w:t>
            </w:r>
            <w:r w:rsidRPr="00247EE7">
              <w:rPr>
                <w:b/>
                <w:i/>
                <w:szCs w:val="24"/>
                <w:vertAlign w:val="subscript"/>
              </w:rPr>
              <w:t>x</w:t>
            </w:r>
            <w:r w:rsidRPr="00247EE7">
              <w:rPr>
                <w:b/>
                <w:i/>
              </w:rPr>
              <w:t xml:space="preserve"> and PN measurement.</w:t>
            </w:r>
          </w:p>
        </w:tc>
      </w:tr>
    </w:tbl>
    <w:p w14:paraId="424F0A1E" w14:textId="77777777" w:rsidR="0078565F" w:rsidRPr="00247EE7" w:rsidRDefault="0078565F" w:rsidP="0078565F">
      <w:pPr>
        <w:pStyle w:val="AmOrLang"/>
      </w:pPr>
      <w:r w:rsidRPr="00247EE7">
        <w:lastRenderedPageBreak/>
        <w:t xml:space="preserve">Or. </w:t>
      </w:r>
      <w:r w:rsidRPr="00247EE7">
        <w:rPr>
          <w:rStyle w:val="HideTWBExt"/>
        </w:rPr>
        <w:t>&lt;Original&gt;</w:t>
      </w:r>
      <w:r w:rsidRPr="00247EE7">
        <w:rPr>
          <w:rStyle w:val="HideTWBInt"/>
        </w:rPr>
        <w:t>{EN}</w:t>
      </w:r>
      <w:r w:rsidRPr="00247EE7">
        <w:t>en</w:t>
      </w:r>
      <w:r w:rsidRPr="00247EE7">
        <w:rPr>
          <w:rStyle w:val="HideTWBExt"/>
        </w:rPr>
        <w:t>&lt;/Original&gt;</w:t>
      </w:r>
    </w:p>
    <w:p w14:paraId="6D440154" w14:textId="77777777" w:rsidR="0078565F" w:rsidRPr="00247EE7" w:rsidRDefault="0078565F" w:rsidP="0078565F">
      <w:pPr>
        <w:pStyle w:val="AmJustTitle"/>
      </w:pPr>
      <w:r w:rsidRPr="00247EE7">
        <w:rPr>
          <w:rStyle w:val="HideTWBExt"/>
          <w:i w:val="0"/>
        </w:rPr>
        <w:t>&lt;TitreJust&gt;</w:t>
      </w:r>
      <w:r w:rsidRPr="00247EE7">
        <w:t>Justification</w:t>
      </w:r>
      <w:r w:rsidRPr="00247EE7">
        <w:rPr>
          <w:rStyle w:val="HideTWBExt"/>
          <w:i w:val="0"/>
        </w:rPr>
        <w:t>&lt;/TitreJust&gt;</w:t>
      </w:r>
    </w:p>
    <w:p w14:paraId="64F3EAF3" w14:textId="77777777" w:rsidR="0078565F" w:rsidRPr="00247EE7" w:rsidRDefault="0078565F" w:rsidP="0078565F">
      <w:pPr>
        <w:pStyle w:val="AmJustText"/>
      </w:pPr>
      <w:r w:rsidRPr="00247EE7">
        <w:t>This amendment aims to set a date to the ongoing work of the European Commission on the post-Euro 6 emission limit standards whereby it should take into account the results of the European Committee for Standardization (CEN TC301) on a draft international standard to assess PEMS equipment.</w:t>
      </w:r>
    </w:p>
    <w:p w14:paraId="7C895ACB" w14:textId="77777777" w:rsidR="0078565F" w:rsidRPr="00247EE7" w:rsidRDefault="0078565F" w:rsidP="0078565F">
      <w:r w:rsidRPr="00247EE7">
        <w:rPr>
          <w:rStyle w:val="HideTWBExt"/>
        </w:rPr>
        <w:t>&lt;/Amend&gt;</w:t>
      </w:r>
    </w:p>
    <w:p w14:paraId="3C6D1AE0" w14:textId="2C47A37C" w:rsidR="0078565F" w:rsidRPr="00247EE7" w:rsidRDefault="0078565F" w:rsidP="0078565F">
      <w:pPr>
        <w:pStyle w:val="AmNumberTabs"/>
      </w:pPr>
      <w:r w:rsidRPr="00247EE7">
        <w:rPr>
          <w:rStyle w:val="HideTWBExt"/>
          <w:b w:val="0"/>
        </w:rPr>
        <w:t>&lt;Amend&gt;</w:t>
      </w:r>
      <w:r w:rsidRPr="00247EE7">
        <w:t>Amendment</w:t>
      </w:r>
      <w:r w:rsidRPr="00247EE7">
        <w:tab/>
      </w:r>
      <w:r w:rsidRPr="00247EE7">
        <w:tab/>
      </w:r>
      <w:r w:rsidRPr="00247EE7">
        <w:rPr>
          <w:rStyle w:val="HideTWBExt"/>
          <w:b w:val="0"/>
        </w:rPr>
        <w:t>&lt;NumAm&gt;</w:t>
      </w:r>
      <w:r w:rsidR="00F645B4" w:rsidRPr="00247EE7">
        <w:t>6</w:t>
      </w:r>
      <w:r w:rsidRPr="00247EE7">
        <w:rPr>
          <w:rStyle w:val="HideTWBExt"/>
          <w:b w:val="0"/>
        </w:rPr>
        <w:t>&lt;/NumAm&gt;</w:t>
      </w:r>
    </w:p>
    <w:p w14:paraId="40ACEA67" w14:textId="77777777" w:rsidR="0078565F" w:rsidRPr="00247EE7" w:rsidRDefault="0078565F" w:rsidP="0078565F">
      <w:pPr>
        <w:pStyle w:val="NormalBold12b"/>
      </w:pPr>
      <w:r w:rsidRPr="00247EE7">
        <w:rPr>
          <w:rStyle w:val="HideTWBExt"/>
          <w:b w:val="0"/>
        </w:rPr>
        <w:t>&lt;DocAmend&gt;</w:t>
      </w:r>
      <w:r w:rsidRPr="00247EE7">
        <w:t>Proposal for a regulation</w:t>
      </w:r>
      <w:r w:rsidRPr="00247EE7">
        <w:rPr>
          <w:rStyle w:val="HideTWBExt"/>
          <w:b w:val="0"/>
        </w:rPr>
        <w:t>&lt;/DocAmend&gt;</w:t>
      </w:r>
    </w:p>
    <w:p w14:paraId="44A941E4" w14:textId="77777777" w:rsidR="0078565F" w:rsidRPr="00247EE7" w:rsidRDefault="0078565F" w:rsidP="0078565F">
      <w:pPr>
        <w:pStyle w:val="NormalBold"/>
      </w:pPr>
      <w:r w:rsidRPr="00247EE7">
        <w:rPr>
          <w:rStyle w:val="HideTWBExt"/>
          <w:b w:val="0"/>
        </w:rPr>
        <w:t>&lt;Article&gt;</w:t>
      </w:r>
      <w:r w:rsidRPr="00247EE7">
        <w:t>Recital 10</w:t>
      </w:r>
      <w:r w:rsidRPr="00247E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565F" w:rsidRPr="00247EE7" w14:paraId="532CA95C" w14:textId="77777777" w:rsidTr="0078565F">
        <w:trPr>
          <w:trHeight w:val="240"/>
          <w:jc w:val="center"/>
        </w:trPr>
        <w:tc>
          <w:tcPr>
            <w:tcW w:w="9752" w:type="dxa"/>
            <w:gridSpan w:val="2"/>
          </w:tcPr>
          <w:p w14:paraId="2C51A4D1" w14:textId="77777777" w:rsidR="0078565F" w:rsidRPr="00247EE7" w:rsidRDefault="0078565F"/>
        </w:tc>
      </w:tr>
      <w:tr w:rsidR="0078565F" w:rsidRPr="00247EE7" w14:paraId="50486DF3" w14:textId="77777777" w:rsidTr="0078565F">
        <w:trPr>
          <w:trHeight w:val="240"/>
          <w:jc w:val="center"/>
        </w:trPr>
        <w:tc>
          <w:tcPr>
            <w:tcW w:w="4876" w:type="dxa"/>
            <w:hideMark/>
          </w:tcPr>
          <w:p w14:paraId="736A1A8A" w14:textId="77777777" w:rsidR="0078565F" w:rsidRPr="00247EE7" w:rsidRDefault="0078565F">
            <w:pPr>
              <w:pStyle w:val="AmColumnHeading"/>
            </w:pPr>
            <w:r w:rsidRPr="00247EE7">
              <w:t>Text proposed by the Commission</w:t>
            </w:r>
          </w:p>
        </w:tc>
        <w:tc>
          <w:tcPr>
            <w:tcW w:w="4876" w:type="dxa"/>
            <w:hideMark/>
          </w:tcPr>
          <w:p w14:paraId="48892475" w14:textId="77777777" w:rsidR="0078565F" w:rsidRPr="00247EE7" w:rsidRDefault="0078565F">
            <w:pPr>
              <w:pStyle w:val="AmColumnHeading"/>
            </w:pPr>
            <w:r w:rsidRPr="00247EE7">
              <w:t>Amendment</w:t>
            </w:r>
          </w:p>
        </w:tc>
      </w:tr>
      <w:tr w:rsidR="0078565F" w:rsidRPr="00247EE7" w14:paraId="3D31349C" w14:textId="77777777" w:rsidTr="0078565F">
        <w:trPr>
          <w:jc w:val="center"/>
        </w:trPr>
        <w:tc>
          <w:tcPr>
            <w:tcW w:w="4876" w:type="dxa"/>
            <w:hideMark/>
          </w:tcPr>
          <w:p w14:paraId="05AEEE21" w14:textId="77777777" w:rsidR="0078565F" w:rsidRPr="00247EE7" w:rsidRDefault="0078565F">
            <w:pPr>
              <w:pStyle w:val="Normal6a"/>
            </w:pPr>
            <w:r w:rsidRPr="00247EE7">
              <w:t>(10)</w:t>
            </w:r>
            <w:r w:rsidRPr="00247EE7">
              <w:tab/>
              <w:t xml:space="preserve">The Treaty of Lisbon introduced the possibility for the legislator to delegate power to the Commission to adopt non-legislative acts of general application to supplement or amend certain non-essential elements of a legislative act. The measures which can be covered by delegations of powers, as referred to in Article 290(1) </w:t>
            </w:r>
            <w:r w:rsidRPr="00247EE7">
              <w:rPr>
                <w:b/>
                <w:i/>
              </w:rPr>
              <w:t>TFEU</w:t>
            </w:r>
            <w:r w:rsidRPr="00247EE7">
              <w:t>, correspond in principle to those covered by the regulatory procedure with scrutiny established by Article 5a of Council Decision 1999/468/EC</w:t>
            </w:r>
            <w:r w:rsidRPr="00247EE7">
              <w:rPr>
                <w:vertAlign w:val="superscript"/>
              </w:rPr>
              <w:t>23</w:t>
            </w:r>
            <w:r w:rsidRPr="00247EE7">
              <w:t xml:space="preserve"> . It is therefore necessary to adapt to Article 290 TFEU the provisions of Regulation (EC) No 715/2007 which provide for the use of the regulatory procedure with scrutiny.</w:t>
            </w:r>
          </w:p>
        </w:tc>
        <w:tc>
          <w:tcPr>
            <w:tcW w:w="4876" w:type="dxa"/>
            <w:hideMark/>
          </w:tcPr>
          <w:p w14:paraId="22F21C37" w14:textId="77777777" w:rsidR="0078565F" w:rsidRPr="00247EE7" w:rsidRDefault="0078565F">
            <w:pPr>
              <w:pStyle w:val="Normal6a"/>
            </w:pPr>
            <w:r w:rsidRPr="00247EE7">
              <w:t>(10)</w:t>
            </w:r>
            <w:r w:rsidRPr="00247EE7">
              <w:tab/>
              <w:t xml:space="preserve">The Treaty of Lisbon introduced the possibility for the legislator to delegate power to the Commission to adopt non-legislative acts of general application to supplement or amend certain non-essential elements of a legislative act. The measures which can be covered by delegations of powers, as referred to in Article 290(1) </w:t>
            </w:r>
            <w:r w:rsidRPr="00247EE7">
              <w:rPr>
                <w:b/>
                <w:i/>
              </w:rPr>
              <w:t>of the Treaty on the Functioning of the European Union (TFEU)</w:t>
            </w:r>
            <w:r w:rsidRPr="00247EE7">
              <w:t>, correspond in principle to those covered by the regulatory procedure with scrutiny established by Article 5a of Council Decision 1999/468/EC</w:t>
            </w:r>
            <w:r w:rsidRPr="00247EE7">
              <w:rPr>
                <w:vertAlign w:val="superscript"/>
              </w:rPr>
              <w:t>23</w:t>
            </w:r>
            <w:r w:rsidRPr="00247EE7">
              <w:t xml:space="preserve"> . It is therefore necessary to adapt to Article 290 TFEU the provisions of Regulation (EC) No 715/2007 which </w:t>
            </w:r>
            <w:r w:rsidRPr="00247EE7">
              <w:lastRenderedPageBreak/>
              <w:t>provide for the use of the regulatory procedure with scrutiny.</w:t>
            </w:r>
          </w:p>
        </w:tc>
      </w:tr>
      <w:tr w:rsidR="0078565F" w:rsidRPr="00247EE7" w14:paraId="25B2058B" w14:textId="77777777" w:rsidTr="0078565F">
        <w:trPr>
          <w:jc w:val="center"/>
        </w:trPr>
        <w:tc>
          <w:tcPr>
            <w:tcW w:w="4876" w:type="dxa"/>
            <w:hideMark/>
          </w:tcPr>
          <w:p w14:paraId="23BC1B37" w14:textId="77777777" w:rsidR="0078565F" w:rsidRPr="00247EE7" w:rsidRDefault="0078565F">
            <w:pPr>
              <w:pStyle w:val="Normal6a"/>
            </w:pPr>
            <w:r w:rsidRPr="00247EE7">
              <w:lastRenderedPageBreak/>
              <w:t>_________________</w:t>
            </w:r>
          </w:p>
        </w:tc>
        <w:tc>
          <w:tcPr>
            <w:tcW w:w="4876" w:type="dxa"/>
            <w:hideMark/>
          </w:tcPr>
          <w:p w14:paraId="026CDEF5" w14:textId="77777777" w:rsidR="0078565F" w:rsidRPr="00247EE7" w:rsidRDefault="0078565F">
            <w:pPr>
              <w:pStyle w:val="Normal6a"/>
            </w:pPr>
            <w:r w:rsidRPr="00247EE7">
              <w:t>_________________</w:t>
            </w:r>
          </w:p>
        </w:tc>
      </w:tr>
      <w:tr w:rsidR="0078565F" w:rsidRPr="00247EE7" w14:paraId="2AD560B2" w14:textId="77777777" w:rsidTr="0078565F">
        <w:trPr>
          <w:jc w:val="center"/>
        </w:trPr>
        <w:tc>
          <w:tcPr>
            <w:tcW w:w="4876" w:type="dxa"/>
            <w:hideMark/>
          </w:tcPr>
          <w:p w14:paraId="398B633D" w14:textId="77777777" w:rsidR="0078565F" w:rsidRPr="00247EE7" w:rsidRDefault="0078565F">
            <w:pPr>
              <w:pStyle w:val="Normal6a"/>
            </w:pPr>
            <w:r w:rsidRPr="00247EE7">
              <w:rPr>
                <w:vertAlign w:val="superscript"/>
              </w:rPr>
              <w:t>23</w:t>
            </w:r>
            <w:r w:rsidRPr="00247EE7">
              <w:t xml:space="preserve"> Council Decision 1999/468/EC of 28 June 1999 laying down the procedures for the exercise of implementing powers conferred on the Commission (OJ L 184, 17.7.1999, p. 23).</w:t>
            </w:r>
          </w:p>
        </w:tc>
        <w:tc>
          <w:tcPr>
            <w:tcW w:w="4876" w:type="dxa"/>
            <w:hideMark/>
          </w:tcPr>
          <w:p w14:paraId="336AFF6A" w14:textId="77777777" w:rsidR="0078565F" w:rsidRPr="00247EE7" w:rsidRDefault="0078565F">
            <w:pPr>
              <w:pStyle w:val="Normal6a"/>
            </w:pPr>
            <w:r w:rsidRPr="00247EE7">
              <w:rPr>
                <w:vertAlign w:val="superscript"/>
              </w:rPr>
              <w:t>23</w:t>
            </w:r>
            <w:r w:rsidRPr="00247EE7">
              <w:t xml:space="preserve"> Council Decision 1999/468/EC of 28 June 1999 laying down the procedures for the exercise of implementing powers conferred on the Commission (OJ L 184, 17.7.1999, p. 23).</w:t>
            </w:r>
          </w:p>
        </w:tc>
      </w:tr>
    </w:tbl>
    <w:p w14:paraId="56EB68AD" w14:textId="77777777" w:rsidR="0078565F" w:rsidRPr="00247EE7" w:rsidRDefault="0078565F" w:rsidP="0078565F">
      <w:pPr>
        <w:pStyle w:val="AmOrLang"/>
      </w:pPr>
      <w:r w:rsidRPr="00247EE7">
        <w:t xml:space="preserve">Or. </w:t>
      </w:r>
      <w:r w:rsidRPr="00247EE7">
        <w:rPr>
          <w:rStyle w:val="HideTWBExt"/>
        </w:rPr>
        <w:t>&lt;Original&gt;</w:t>
      </w:r>
      <w:r w:rsidRPr="00247EE7">
        <w:rPr>
          <w:rStyle w:val="HideTWBInt"/>
        </w:rPr>
        <w:t>{EN}</w:t>
      </w:r>
      <w:r w:rsidRPr="00247EE7">
        <w:t>en</w:t>
      </w:r>
      <w:r w:rsidRPr="00247EE7">
        <w:rPr>
          <w:rStyle w:val="HideTWBExt"/>
        </w:rPr>
        <w:t>&lt;/Original&gt;</w:t>
      </w:r>
    </w:p>
    <w:p w14:paraId="201B90C9" w14:textId="77777777" w:rsidR="0078565F" w:rsidRPr="00247EE7" w:rsidRDefault="0078565F" w:rsidP="0078565F">
      <w:r w:rsidRPr="00247EE7">
        <w:rPr>
          <w:rStyle w:val="HideTWBExt"/>
        </w:rPr>
        <w:t>&lt;/Amend&gt;</w:t>
      </w:r>
    </w:p>
    <w:p w14:paraId="5C8E43FD" w14:textId="53578E5C" w:rsidR="0078565F" w:rsidRPr="00247EE7" w:rsidRDefault="0078565F" w:rsidP="0078565F">
      <w:pPr>
        <w:pStyle w:val="AmNumberTabs"/>
      </w:pPr>
      <w:r w:rsidRPr="00247EE7">
        <w:rPr>
          <w:rStyle w:val="HideTWBExt"/>
          <w:b w:val="0"/>
        </w:rPr>
        <w:t>&lt;Amend&gt;</w:t>
      </w:r>
      <w:r w:rsidRPr="00247EE7">
        <w:t>Amendment</w:t>
      </w:r>
      <w:r w:rsidRPr="00247EE7">
        <w:tab/>
      </w:r>
      <w:r w:rsidRPr="00247EE7">
        <w:tab/>
      </w:r>
      <w:r w:rsidRPr="00247EE7">
        <w:rPr>
          <w:rStyle w:val="HideTWBExt"/>
          <w:b w:val="0"/>
        </w:rPr>
        <w:t>&lt;NumAm&gt;</w:t>
      </w:r>
      <w:r w:rsidR="00F645B4" w:rsidRPr="00247EE7">
        <w:t>7</w:t>
      </w:r>
      <w:r w:rsidRPr="00247EE7">
        <w:rPr>
          <w:rStyle w:val="HideTWBExt"/>
          <w:b w:val="0"/>
        </w:rPr>
        <w:t>&lt;/NumAm&gt;</w:t>
      </w:r>
    </w:p>
    <w:p w14:paraId="58D31A00" w14:textId="77777777" w:rsidR="0078565F" w:rsidRPr="00247EE7" w:rsidRDefault="0078565F" w:rsidP="0078565F">
      <w:pPr>
        <w:pStyle w:val="NormalBold12b"/>
      </w:pPr>
      <w:r w:rsidRPr="00247EE7">
        <w:rPr>
          <w:rStyle w:val="HideTWBExt"/>
          <w:b w:val="0"/>
        </w:rPr>
        <w:t>&lt;DocAmend&gt;</w:t>
      </w:r>
      <w:r w:rsidRPr="00247EE7">
        <w:t>Proposal for a regulation</w:t>
      </w:r>
      <w:r w:rsidRPr="00247EE7">
        <w:rPr>
          <w:rStyle w:val="HideTWBExt"/>
          <w:b w:val="0"/>
        </w:rPr>
        <w:t>&lt;/DocAmend&gt;</w:t>
      </w:r>
    </w:p>
    <w:p w14:paraId="35994AB7" w14:textId="77777777" w:rsidR="0078565F" w:rsidRPr="00247EE7" w:rsidRDefault="0078565F" w:rsidP="0078565F">
      <w:pPr>
        <w:pStyle w:val="NormalBold"/>
      </w:pPr>
      <w:r w:rsidRPr="00247EE7">
        <w:rPr>
          <w:rStyle w:val="HideTWBExt"/>
          <w:b w:val="0"/>
        </w:rPr>
        <w:t>&lt;Article&gt;</w:t>
      </w:r>
      <w:r w:rsidRPr="00247EE7">
        <w:t>Recital 11</w:t>
      </w:r>
      <w:r w:rsidRPr="00247E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565F" w:rsidRPr="00247EE7" w14:paraId="6A779F52" w14:textId="77777777" w:rsidTr="0078565F">
        <w:trPr>
          <w:trHeight w:val="240"/>
          <w:jc w:val="center"/>
        </w:trPr>
        <w:tc>
          <w:tcPr>
            <w:tcW w:w="9752" w:type="dxa"/>
            <w:gridSpan w:val="2"/>
          </w:tcPr>
          <w:p w14:paraId="54D42AB7" w14:textId="77777777" w:rsidR="0078565F" w:rsidRPr="00247EE7" w:rsidRDefault="0078565F"/>
        </w:tc>
      </w:tr>
      <w:tr w:rsidR="0078565F" w:rsidRPr="00247EE7" w14:paraId="751D2373" w14:textId="77777777" w:rsidTr="0078565F">
        <w:trPr>
          <w:trHeight w:val="240"/>
          <w:jc w:val="center"/>
        </w:trPr>
        <w:tc>
          <w:tcPr>
            <w:tcW w:w="4876" w:type="dxa"/>
            <w:hideMark/>
          </w:tcPr>
          <w:p w14:paraId="0A27FBC3" w14:textId="77777777" w:rsidR="0078565F" w:rsidRPr="00247EE7" w:rsidRDefault="0078565F">
            <w:pPr>
              <w:pStyle w:val="AmColumnHeading"/>
            </w:pPr>
            <w:r w:rsidRPr="00247EE7">
              <w:t>Text proposed by the Commission</w:t>
            </w:r>
          </w:p>
        </w:tc>
        <w:tc>
          <w:tcPr>
            <w:tcW w:w="4876" w:type="dxa"/>
            <w:hideMark/>
          </w:tcPr>
          <w:p w14:paraId="3AF21BB1" w14:textId="77777777" w:rsidR="0078565F" w:rsidRPr="00247EE7" w:rsidRDefault="0078565F">
            <w:pPr>
              <w:pStyle w:val="AmColumnHeading"/>
            </w:pPr>
            <w:r w:rsidRPr="00247EE7">
              <w:t>Amendment</w:t>
            </w:r>
          </w:p>
        </w:tc>
      </w:tr>
      <w:tr w:rsidR="0078565F" w:rsidRPr="00247EE7" w14:paraId="74C4277C" w14:textId="77777777" w:rsidTr="0078565F">
        <w:trPr>
          <w:jc w:val="center"/>
        </w:trPr>
        <w:tc>
          <w:tcPr>
            <w:tcW w:w="4876" w:type="dxa"/>
            <w:hideMark/>
          </w:tcPr>
          <w:p w14:paraId="79E5DDEC" w14:textId="77777777" w:rsidR="0078565F" w:rsidRPr="00247EE7" w:rsidRDefault="0078565F">
            <w:pPr>
              <w:pStyle w:val="Normal6a"/>
            </w:pPr>
            <w:r w:rsidRPr="00247EE7">
              <w:t>(11)</w:t>
            </w:r>
            <w:r w:rsidRPr="00247EE7">
              <w:tab/>
              <w:t xml:space="preserve">In order to contribute to the achievement of the Union’s air quality objectives and to reduce vehicle emissions, the power to adopt acts in accordance with Article 290 </w:t>
            </w:r>
            <w:r w:rsidRPr="00247EE7">
              <w:rPr>
                <w:b/>
                <w:i/>
              </w:rPr>
              <w:t>of the Treaty on the Functioning of the European Union (TFUE)</w:t>
            </w:r>
            <w:r w:rsidRPr="00247EE7">
              <w:t xml:space="preserve"> should be delegated to the Commission in respect of the detailed rules on the specific procedures, tests and requirements for type approval. That delegation should include supplementing Regulation (EC) No 715/2007 by such revised rules as well as the test cycles used to measure emissions; the requirements for the implementation of the prohibition on the use of defeat devices that reduce the effectiveness of emission control systems; the measures necessary for the implementation of the obligation of a manufacturer to provide unrestricted and standardised access to vehicle repair and maintenance information; the adoption of a revised measurement procedure for particulates. The delegation should further include amending Regulation (EC) No 715/2007 for the purposes of revising the final conformity </w:t>
            </w:r>
            <w:r w:rsidRPr="00247EE7">
              <w:rPr>
                <w:b/>
                <w:i/>
              </w:rPr>
              <w:t>factors</w:t>
            </w:r>
            <w:r w:rsidRPr="00247EE7">
              <w:t xml:space="preserve"> downwards to reflect technical progress in PEMS and </w:t>
            </w:r>
            <w:r w:rsidRPr="00247EE7">
              <w:lastRenderedPageBreak/>
              <w:t xml:space="preserve">recalibrating the particulate mass based limit values and introducing particle </w:t>
            </w:r>
            <w:r w:rsidRPr="00247EE7">
              <w:rPr>
                <w:b/>
                <w:i/>
              </w:rPr>
              <w:t>number based</w:t>
            </w:r>
            <w:r w:rsidRPr="00247EE7">
              <w:t xml:space="preserve"> limit values. It is of particular importance that the Commission carry out appropriate consultations during its preparatory work, including at expert level, and that those consultations are conducted in accordance with the principles laid down in the Interinstitutional Agreement on Better Law-Making of 13 April 2016. In particular, to ensure equal participation in the preparation of delegated acts, the European Parliament and the Council </w:t>
            </w:r>
            <w:r w:rsidRPr="00247EE7">
              <w:rPr>
                <w:b/>
                <w:i/>
              </w:rPr>
              <w:t>should</w:t>
            </w:r>
            <w:r w:rsidRPr="00247EE7">
              <w:t xml:space="preserve"> receive all documents at the same time as Member States' experts, and their experts systematically </w:t>
            </w:r>
            <w:r w:rsidRPr="00247EE7">
              <w:rPr>
                <w:b/>
                <w:i/>
              </w:rPr>
              <w:t>should</w:t>
            </w:r>
            <w:r w:rsidRPr="00247EE7">
              <w:t xml:space="preserve"> have access to meetings of Commission expert groups dealing with the preparation of delegated acts.</w:t>
            </w:r>
          </w:p>
        </w:tc>
        <w:tc>
          <w:tcPr>
            <w:tcW w:w="4876" w:type="dxa"/>
            <w:hideMark/>
          </w:tcPr>
          <w:p w14:paraId="027F9D5A" w14:textId="60FD2FBE" w:rsidR="0078565F" w:rsidRPr="00247EE7" w:rsidRDefault="0078565F" w:rsidP="00E33B20">
            <w:pPr>
              <w:pStyle w:val="Normal6a"/>
            </w:pPr>
            <w:r w:rsidRPr="00247EE7">
              <w:lastRenderedPageBreak/>
              <w:t>(11)</w:t>
            </w:r>
            <w:r w:rsidRPr="00247EE7">
              <w:tab/>
              <w:t xml:space="preserve">In order to contribute to the achievement of the Union’s air quality objectives and to reduce vehicle emissions, the power to adopt acts in accordance with Article 290 </w:t>
            </w:r>
            <w:r w:rsidRPr="00247EE7">
              <w:rPr>
                <w:b/>
                <w:i/>
              </w:rPr>
              <w:t>TFEU</w:t>
            </w:r>
            <w:r w:rsidRPr="00247EE7">
              <w:t xml:space="preserve"> should be delegated to the Commission in respect of the detailed rules on the specific procedures, tests and requirements for type approval. That delegation should include supplementing Regulation (EC) No 715/2007 by such revised rules as well as the test cycles used to measure emissions; the requirements for the implementation of the prohibition on the use of defeat devices that reduce the effectiveness of emission control systems; the measures necessary for the implementation of the obligation of a manufacturer to provide unrestricted and standardised access to vehicle repair and maintenance information; </w:t>
            </w:r>
            <w:r w:rsidRPr="00247EE7">
              <w:rPr>
                <w:b/>
                <w:i/>
              </w:rPr>
              <w:t>and</w:t>
            </w:r>
            <w:r w:rsidRPr="00247EE7">
              <w:t xml:space="preserve"> the adoption of a revised measurement procedure for particulates. The delegation should further include amending Regulation (EC) No 715/2007 for the purposes of revising </w:t>
            </w:r>
            <w:r w:rsidRPr="00247EE7">
              <w:rPr>
                <w:b/>
                <w:i/>
              </w:rPr>
              <w:t>annually the margin of error and</w:t>
            </w:r>
            <w:r w:rsidRPr="00247EE7">
              <w:t xml:space="preserve"> the final conformity </w:t>
            </w:r>
            <w:r w:rsidRPr="00247EE7">
              <w:rPr>
                <w:b/>
                <w:i/>
              </w:rPr>
              <w:t>factor</w:t>
            </w:r>
            <w:r w:rsidRPr="00247EE7">
              <w:t xml:space="preserve"> downwards to reflect </w:t>
            </w:r>
            <w:r w:rsidRPr="00247EE7">
              <w:rPr>
                <w:b/>
                <w:i/>
              </w:rPr>
              <w:t>improved quality of the measuring procedure or</w:t>
            </w:r>
            <w:r w:rsidRPr="00247EE7">
              <w:t xml:space="preserve"> technical progress in PEMS </w:t>
            </w:r>
            <w:r w:rsidRPr="00247EE7">
              <w:lastRenderedPageBreak/>
              <w:t xml:space="preserve">and recalibrating the particulate mass based limit values and introducing particle </w:t>
            </w:r>
            <w:r w:rsidRPr="00247EE7">
              <w:rPr>
                <w:b/>
                <w:i/>
              </w:rPr>
              <w:t>number-based</w:t>
            </w:r>
            <w:r w:rsidRPr="00247EE7">
              <w:t xml:space="preserve"> limit values. It is of particular importance that the Commission carry out appropriate consultations during its preparatory work, including at expert level, and that those consultations are conducted in accordance with the principles laid down in the Interinstitutional Agreement on Better Law-Making of 13 April 2016</w:t>
            </w:r>
            <w:r w:rsidRPr="00247EE7">
              <w:rPr>
                <w:b/>
                <w:bCs/>
                <w:i/>
                <w:iCs/>
                <w:vertAlign w:val="superscript"/>
              </w:rPr>
              <w:t>1a</w:t>
            </w:r>
            <w:r w:rsidRPr="00247EE7">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tc>
      </w:tr>
      <w:tr w:rsidR="0078565F" w:rsidRPr="00247EE7" w14:paraId="130C21C7" w14:textId="77777777" w:rsidTr="0078565F">
        <w:trPr>
          <w:jc w:val="center"/>
        </w:trPr>
        <w:tc>
          <w:tcPr>
            <w:tcW w:w="4876" w:type="dxa"/>
          </w:tcPr>
          <w:p w14:paraId="242BBD2E" w14:textId="77777777" w:rsidR="0078565F" w:rsidRPr="00247EE7" w:rsidRDefault="0078565F">
            <w:pPr>
              <w:pStyle w:val="Normal6a"/>
            </w:pPr>
          </w:p>
        </w:tc>
        <w:tc>
          <w:tcPr>
            <w:tcW w:w="4876" w:type="dxa"/>
            <w:hideMark/>
          </w:tcPr>
          <w:p w14:paraId="3D05654D" w14:textId="77777777" w:rsidR="0078565F" w:rsidRPr="00247EE7" w:rsidRDefault="0078565F">
            <w:pPr>
              <w:pStyle w:val="Normal6a"/>
            </w:pPr>
            <w:r w:rsidRPr="00247EE7">
              <w:t>_________________</w:t>
            </w:r>
          </w:p>
        </w:tc>
      </w:tr>
      <w:tr w:rsidR="0078565F" w:rsidRPr="00247EE7" w14:paraId="47AE56BE" w14:textId="77777777" w:rsidTr="0078565F">
        <w:trPr>
          <w:jc w:val="center"/>
        </w:trPr>
        <w:tc>
          <w:tcPr>
            <w:tcW w:w="4876" w:type="dxa"/>
          </w:tcPr>
          <w:p w14:paraId="53788ADC" w14:textId="77777777" w:rsidR="0078565F" w:rsidRPr="00247EE7" w:rsidRDefault="0078565F">
            <w:pPr>
              <w:pStyle w:val="Normal6a"/>
            </w:pPr>
          </w:p>
        </w:tc>
        <w:tc>
          <w:tcPr>
            <w:tcW w:w="4876" w:type="dxa"/>
            <w:hideMark/>
          </w:tcPr>
          <w:p w14:paraId="52740345" w14:textId="6C1D816F" w:rsidR="0078565F" w:rsidRPr="00247EE7" w:rsidRDefault="0078565F">
            <w:pPr>
              <w:pStyle w:val="Normal6a"/>
            </w:pPr>
            <w:r w:rsidRPr="00247EE7">
              <w:rPr>
                <w:b/>
                <w:bCs/>
                <w:i/>
                <w:iCs/>
                <w:vertAlign w:val="superscript"/>
              </w:rPr>
              <w:t>1a</w:t>
            </w:r>
            <w:r w:rsidRPr="00247EE7">
              <w:t xml:space="preserve"> </w:t>
            </w:r>
            <w:r w:rsidRPr="00247EE7">
              <w:rPr>
                <w:b/>
                <w:i/>
              </w:rPr>
              <w:t>OJ L 123, 12.5.2016, p. 1.</w:t>
            </w:r>
          </w:p>
        </w:tc>
      </w:tr>
    </w:tbl>
    <w:p w14:paraId="0642875A" w14:textId="77777777" w:rsidR="0078565F" w:rsidRPr="00247EE7" w:rsidRDefault="0078565F" w:rsidP="0078565F">
      <w:pPr>
        <w:pStyle w:val="AmOrLang"/>
      </w:pPr>
      <w:r w:rsidRPr="00247EE7">
        <w:t xml:space="preserve">Or. </w:t>
      </w:r>
      <w:r w:rsidRPr="00247EE7">
        <w:rPr>
          <w:rStyle w:val="HideTWBExt"/>
        </w:rPr>
        <w:t>&lt;Original&gt;</w:t>
      </w:r>
      <w:r w:rsidRPr="00247EE7">
        <w:rPr>
          <w:rStyle w:val="HideTWBInt"/>
        </w:rPr>
        <w:t>{EN}</w:t>
      </w:r>
      <w:r w:rsidRPr="00247EE7">
        <w:t>en</w:t>
      </w:r>
      <w:r w:rsidRPr="00247EE7">
        <w:rPr>
          <w:rStyle w:val="HideTWBExt"/>
        </w:rPr>
        <w:t>&lt;/Original&gt;</w:t>
      </w:r>
    </w:p>
    <w:p w14:paraId="414F3062" w14:textId="77777777" w:rsidR="0078565F" w:rsidRPr="00247EE7" w:rsidRDefault="0078565F" w:rsidP="0078565F">
      <w:pPr>
        <w:pStyle w:val="AmJustTitle"/>
      </w:pPr>
      <w:r w:rsidRPr="00247EE7">
        <w:rPr>
          <w:rStyle w:val="HideTWBExt"/>
          <w:i w:val="0"/>
        </w:rPr>
        <w:t>&lt;TitreJust&gt;</w:t>
      </w:r>
      <w:r w:rsidRPr="00247EE7">
        <w:t>Justification</w:t>
      </w:r>
      <w:r w:rsidRPr="00247EE7">
        <w:rPr>
          <w:rStyle w:val="HideTWBExt"/>
          <w:i w:val="0"/>
        </w:rPr>
        <w:t>&lt;/TitreJust&gt;</w:t>
      </w:r>
    </w:p>
    <w:p w14:paraId="15FFEB48" w14:textId="77777777" w:rsidR="0078565F" w:rsidRPr="00247EE7" w:rsidRDefault="0078565F" w:rsidP="0078565F">
      <w:pPr>
        <w:pStyle w:val="AmJustText"/>
      </w:pPr>
      <w:r w:rsidRPr="00247EE7">
        <w:t>The margin of error is subject to annual review and can be revised as a result of the improved quality of the PEMS procedure or technical progress</w:t>
      </w:r>
    </w:p>
    <w:p w14:paraId="15F1EE2B" w14:textId="77777777" w:rsidR="0078565F" w:rsidRPr="00247EE7" w:rsidRDefault="0078565F" w:rsidP="0078565F">
      <w:r w:rsidRPr="00247EE7">
        <w:rPr>
          <w:rStyle w:val="HideTWBExt"/>
        </w:rPr>
        <w:t>&lt;/Amend&gt;</w:t>
      </w:r>
    </w:p>
    <w:p w14:paraId="58399479" w14:textId="2E1FCD7D" w:rsidR="00066575" w:rsidRPr="00247EE7" w:rsidRDefault="00066575" w:rsidP="00066575">
      <w:pPr>
        <w:pStyle w:val="AmNumberTabs"/>
      </w:pPr>
      <w:r w:rsidRPr="00247EE7">
        <w:rPr>
          <w:rStyle w:val="HideTWBExt"/>
        </w:rPr>
        <w:t>&lt;Amend&gt;</w:t>
      </w:r>
      <w:r w:rsidRPr="00247EE7">
        <w:t>Amendment</w:t>
      </w:r>
      <w:r w:rsidRPr="00247EE7">
        <w:tab/>
      </w:r>
      <w:r w:rsidRPr="00247EE7">
        <w:tab/>
      </w:r>
      <w:r w:rsidRPr="00247EE7">
        <w:rPr>
          <w:rStyle w:val="HideTWBExt"/>
        </w:rPr>
        <w:t>&lt;NumAm&gt;</w:t>
      </w:r>
      <w:r w:rsidR="00F645B4" w:rsidRPr="00247EE7">
        <w:t>8</w:t>
      </w:r>
      <w:r w:rsidRPr="00247EE7">
        <w:rPr>
          <w:rStyle w:val="HideTWBExt"/>
        </w:rPr>
        <w:t>&lt;/NumAm&gt;</w:t>
      </w:r>
    </w:p>
    <w:p w14:paraId="3401C1BF" w14:textId="77777777" w:rsidR="00066575" w:rsidRPr="00247EE7" w:rsidRDefault="00066575" w:rsidP="00066575">
      <w:pPr>
        <w:pStyle w:val="NormalBold12b"/>
      </w:pPr>
      <w:r w:rsidRPr="00247EE7">
        <w:rPr>
          <w:rStyle w:val="HideTWBExt"/>
        </w:rPr>
        <w:t>&lt;DocAmend&gt;</w:t>
      </w:r>
      <w:r w:rsidRPr="00247EE7">
        <w:t>Proposal for a regulation</w:t>
      </w:r>
      <w:r w:rsidRPr="00247EE7">
        <w:rPr>
          <w:rStyle w:val="HideTWBExt"/>
        </w:rPr>
        <w:t>&lt;/DocAmend&gt;</w:t>
      </w:r>
    </w:p>
    <w:p w14:paraId="4272836B" w14:textId="151B08A2" w:rsidR="00066575" w:rsidRPr="00247EE7" w:rsidRDefault="00066575" w:rsidP="00066575">
      <w:pPr>
        <w:pStyle w:val="NormalBold"/>
      </w:pPr>
      <w:r w:rsidRPr="00247EE7">
        <w:rPr>
          <w:rStyle w:val="HideTWBExt"/>
        </w:rPr>
        <w:t>&lt;Article&gt;</w:t>
      </w:r>
      <w:r w:rsidRPr="00247EE7">
        <w:t>Article 1 – paragraph 1 – point 2</w:t>
      </w:r>
      <w:r w:rsidR="00E33B20" w:rsidRPr="00247EE7">
        <w:t xml:space="preserve"> a</w:t>
      </w:r>
      <w:r w:rsidRPr="00247EE7">
        <w:t xml:space="preserve"> (new)</w:t>
      </w:r>
      <w:r w:rsidRPr="00247EE7">
        <w:rPr>
          <w:rStyle w:val="HideTWBExt"/>
        </w:rPr>
        <w:t>&lt;/Article&gt;</w:t>
      </w:r>
    </w:p>
    <w:p w14:paraId="3E288134" w14:textId="77777777" w:rsidR="00803B8D" w:rsidRPr="00247EE7" w:rsidRDefault="00803B8D" w:rsidP="00803B8D">
      <w:r w:rsidRPr="00247EE7">
        <w:rPr>
          <w:rStyle w:val="HideTWBExt"/>
        </w:rPr>
        <w:t>&lt;DocAmend2&gt;</w:t>
      </w:r>
      <w:r w:rsidRPr="00247EE7">
        <w:t>Regulation (EC) No 715/2007</w:t>
      </w:r>
      <w:r w:rsidRPr="00247EE7">
        <w:rPr>
          <w:rStyle w:val="HideTWBExt"/>
        </w:rPr>
        <w:t>&lt;/DocAmend2&gt;</w:t>
      </w:r>
    </w:p>
    <w:p w14:paraId="32F17FDC" w14:textId="77777777" w:rsidR="00803B8D" w:rsidRPr="00247EE7" w:rsidRDefault="00803B8D" w:rsidP="00247EE7">
      <w:pPr>
        <w:rPr>
          <w:lang w:val="fr-FR"/>
        </w:rPr>
      </w:pPr>
      <w:r w:rsidRPr="00247EE7">
        <w:rPr>
          <w:rStyle w:val="HideTWBExt"/>
          <w:lang w:val="fr-FR"/>
        </w:rPr>
        <w:t>&lt;Article2&gt;</w:t>
      </w:r>
      <w:r w:rsidRPr="00247EE7">
        <w:rPr>
          <w:lang w:val="fr-FR"/>
        </w:rPr>
        <w:t>Article 3 – paragraph 1 – point 18 a (new)</w:t>
      </w:r>
      <w:r w:rsidRPr="00247EE7">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6575" w:rsidRPr="00247EE7" w14:paraId="4EDF206E" w14:textId="77777777" w:rsidTr="00A11BCF">
        <w:trPr>
          <w:trHeight w:hRule="exact" w:val="240"/>
          <w:jc w:val="center"/>
        </w:trPr>
        <w:tc>
          <w:tcPr>
            <w:tcW w:w="9752" w:type="dxa"/>
            <w:gridSpan w:val="2"/>
          </w:tcPr>
          <w:p w14:paraId="75C2D7D6" w14:textId="77777777" w:rsidR="00066575" w:rsidRPr="00247EE7" w:rsidRDefault="00066575" w:rsidP="00A11BCF">
            <w:pPr>
              <w:rPr>
                <w:lang w:val="fr-FR"/>
              </w:rPr>
            </w:pPr>
          </w:p>
        </w:tc>
      </w:tr>
      <w:tr w:rsidR="00066575" w:rsidRPr="00247EE7" w14:paraId="7853DA76" w14:textId="77777777" w:rsidTr="00A11BCF">
        <w:trPr>
          <w:trHeight w:val="240"/>
          <w:jc w:val="center"/>
        </w:trPr>
        <w:tc>
          <w:tcPr>
            <w:tcW w:w="4876" w:type="dxa"/>
          </w:tcPr>
          <w:p w14:paraId="60EC072E" w14:textId="77777777" w:rsidR="00066575" w:rsidRPr="00247EE7" w:rsidRDefault="00066575" w:rsidP="00A11BCF">
            <w:pPr>
              <w:pStyle w:val="AmColumnHeading"/>
            </w:pPr>
            <w:r w:rsidRPr="00247EE7">
              <w:t>Text proposed by the Commission</w:t>
            </w:r>
          </w:p>
        </w:tc>
        <w:tc>
          <w:tcPr>
            <w:tcW w:w="4876" w:type="dxa"/>
          </w:tcPr>
          <w:p w14:paraId="59DC6D24" w14:textId="77777777" w:rsidR="00066575" w:rsidRPr="00247EE7" w:rsidRDefault="00066575" w:rsidP="00A11BCF">
            <w:pPr>
              <w:pStyle w:val="AmColumnHeading"/>
            </w:pPr>
            <w:r w:rsidRPr="00247EE7">
              <w:t>Amendment</w:t>
            </w:r>
          </w:p>
        </w:tc>
      </w:tr>
      <w:tr w:rsidR="00066575" w:rsidRPr="00247EE7" w14:paraId="1B53B216" w14:textId="77777777" w:rsidTr="00A11BCF">
        <w:trPr>
          <w:jc w:val="center"/>
        </w:trPr>
        <w:tc>
          <w:tcPr>
            <w:tcW w:w="4876" w:type="dxa"/>
          </w:tcPr>
          <w:p w14:paraId="43F0DFA5" w14:textId="77777777" w:rsidR="00066575" w:rsidRPr="00247EE7" w:rsidRDefault="00066575" w:rsidP="00A11BCF">
            <w:pPr>
              <w:pStyle w:val="Normal6a"/>
            </w:pPr>
          </w:p>
        </w:tc>
        <w:tc>
          <w:tcPr>
            <w:tcW w:w="4876" w:type="dxa"/>
          </w:tcPr>
          <w:p w14:paraId="0AC0A3AC" w14:textId="4926E89F" w:rsidR="00066575" w:rsidRPr="00247EE7" w:rsidRDefault="00E33B20" w:rsidP="00E33B20">
            <w:pPr>
              <w:pStyle w:val="Normal6a"/>
            </w:pPr>
            <w:r w:rsidRPr="00247EE7">
              <w:rPr>
                <w:b/>
                <w:i/>
              </w:rPr>
              <w:t>(2a</w:t>
            </w:r>
            <w:r w:rsidR="00066575" w:rsidRPr="00247EE7">
              <w:rPr>
                <w:b/>
                <w:i/>
              </w:rPr>
              <w:t>)</w:t>
            </w:r>
            <w:r w:rsidR="00066575" w:rsidRPr="00247EE7">
              <w:rPr>
                <w:b/>
                <w:i/>
              </w:rPr>
              <w:tab/>
            </w:r>
            <w:r w:rsidR="00803B8D" w:rsidRPr="00247EE7">
              <w:rPr>
                <w:b/>
                <w:i/>
              </w:rPr>
              <w:t>In Article 3, paragraph 1</w:t>
            </w:r>
            <w:r w:rsidR="0016203E" w:rsidRPr="00247EE7">
              <w:rPr>
                <w:b/>
                <w:i/>
              </w:rPr>
              <w:t>,</w:t>
            </w:r>
            <w:r w:rsidR="00803B8D" w:rsidRPr="00247EE7">
              <w:t xml:space="preserve"> </w:t>
            </w:r>
            <w:r w:rsidR="00066575" w:rsidRPr="00247EE7">
              <w:rPr>
                <w:b/>
                <w:i/>
              </w:rPr>
              <w:t>the following point is added:</w:t>
            </w:r>
          </w:p>
        </w:tc>
      </w:tr>
      <w:tr w:rsidR="00066575" w:rsidRPr="00247EE7" w14:paraId="554A9372" w14:textId="77777777" w:rsidTr="00A11BCF">
        <w:trPr>
          <w:jc w:val="center"/>
        </w:trPr>
        <w:tc>
          <w:tcPr>
            <w:tcW w:w="4876" w:type="dxa"/>
          </w:tcPr>
          <w:p w14:paraId="74E3BD19" w14:textId="77777777" w:rsidR="00066575" w:rsidRPr="00247EE7" w:rsidRDefault="00066575" w:rsidP="00A11BCF">
            <w:pPr>
              <w:pStyle w:val="Normal6a"/>
            </w:pPr>
          </w:p>
        </w:tc>
        <w:tc>
          <w:tcPr>
            <w:tcW w:w="4876" w:type="dxa"/>
          </w:tcPr>
          <w:p w14:paraId="5FDA5061" w14:textId="74B6F752" w:rsidR="00066575" w:rsidRPr="00247EE7" w:rsidRDefault="00066575" w:rsidP="00803B8D">
            <w:pPr>
              <w:pStyle w:val="Normal6a"/>
            </w:pPr>
            <w:r w:rsidRPr="00247EE7">
              <w:rPr>
                <w:b/>
                <w:i/>
              </w:rPr>
              <w:t>"18</w:t>
            </w:r>
            <w:r w:rsidR="00803B8D" w:rsidRPr="00247EE7">
              <w:rPr>
                <w:b/>
                <w:i/>
              </w:rPr>
              <w:t>a</w:t>
            </w:r>
            <w:r w:rsidRPr="00247EE7">
              <w:rPr>
                <w:b/>
                <w:i/>
              </w:rPr>
              <w:t xml:space="preserve">. 'margin of error' means a parameter that takes into account the additional measurement uncertainties introduced by the PEMS equipment, which is subject to an annual review, and </w:t>
            </w:r>
            <w:r w:rsidRPr="00247EE7">
              <w:rPr>
                <w:b/>
                <w:i/>
              </w:rPr>
              <w:lastRenderedPageBreak/>
              <w:t>which shall be revised as a result of the improved quality of the measuring procedure or technical progress."</w:t>
            </w:r>
          </w:p>
        </w:tc>
      </w:tr>
    </w:tbl>
    <w:p w14:paraId="29076012" w14:textId="77777777" w:rsidR="00066575" w:rsidRPr="00247EE7" w:rsidRDefault="00066575" w:rsidP="00066575">
      <w:pPr>
        <w:pStyle w:val="AmOrLang"/>
      </w:pPr>
      <w:r w:rsidRPr="00247EE7">
        <w:lastRenderedPageBreak/>
        <w:t xml:space="preserve">Or. </w:t>
      </w:r>
      <w:r w:rsidRPr="00247EE7">
        <w:rPr>
          <w:rStyle w:val="HideTWBExt"/>
        </w:rPr>
        <w:t>&lt;Original&gt;</w:t>
      </w:r>
      <w:r w:rsidRPr="00247EE7">
        <w:rPr>
          <w:rStyle w:val="HideTWBInt"/>
        </w:rPr>
        <w:t>{EN}</w:t>
      </w:r>
      <w:r w:rsidRPr="00247EE7">
        <w:t>en</w:t>
      </w:r>
      <w:r w:rsidRPr="00247EE7">
        <w:rPr>
          <w:rStyle w:val="HideTWBExt"/>
        </w:rPr>
        <w:t>&lt;/Original&gt;</w:t>
      </w:r>
    </w:p>
    <w:p w14:paraId="1AFD5C59" w14:textId="77777777" w:rsidR="00066575" w:rsidRPr="00247EE7" w:rsidRDefault="00066575" w:rsidP="00066575">
      <w:pPr>
        <w:pStyle w:val="AmJustTitle"/>
      </w:pPr>
      <w:r w:rsidRPr="00247EE7">
        <w:rPr>
          <w:rStyle w:val="HideTWBExt"/>
        </w:rPr>
        <w:t>&lt;TitreJust&gt;</w:t>
      </w:r>
      <w:r w:rsidRPr="00247EE7">
        <w:t>Justification</w:t>
      </w:r>
      <w:r w:rsidRPr="00247EE7">
        <w:rPr>
          <w:rStyle w:val="HideTWBExt"/>
        </w:rPr>
        <w:t>&lt;/TitreJust&gt;</w:t>
      </w:r>
    </w:p>
    <w:p w14:paraId="04CC7297" w14:textId="77777777" w:rsidR="00066575" w:rsidRPr="00247EE7" w:rsidRDefault="00066575" w:rsidP="00066575">
      <w:pPr>
        <w:pStyle w:val="AmJustText"/>
      </w:pPr>
      <w:r w:rsidRPr="00247EE7">
        <w:t>This amendment aims to define the margin of error, based on Commission Regulation (EU) 2016/646 Annex II 2.1.1.</w:t>
      </w:r>
    </w:p>
    <w:p w14:paraId="3254BD6F" w14:textId="77777777" w:rsidR="00066575" w:rsidRPr="00247EE7" w:rsidRDefault="00066575" w:rsidP="00066575">
      <w:r w:rsidRPr="00247EE7">
        <w:rPr>
          <w:rStyle w:val="HideTWBExt"/>
        </w:rPr>
        <w:t>&lt;/Amend&gt;</w:t>
      </w:r>
    </w:p>
    <w:p w14:paraId="77F41619" w14:textId="2A3B03A5" w:rsidR="0078565F" w:rsidRPr="00247EE7" w:rsidRDefault="0078565F" w:rsidP="0078565F">
      <w:pPr>
        <w:pStyle w:val="AmNumberTabs"/>
      </w:pPr>
      <w:r w:rsidRPr="00247EE7">
        <w:rPr>
          <w:rStyle w:val="HideTWBExt"/>
          <w:b w:val="0"/>
        </w:rPr>
        <w:t>&lt;Amend&gt;</w:t>
      </w:r>
      <w:r w:rsidRPr="00247EE7">
        <w:t>Amendment</w:t>
      </w:r>
      <w:r w:rsidRPr="00247EE7">
        <w:tab/>
      </w:r>
      <w:r w:rsidRPr="00247EE7">
        <w:tab/>
      </w:r>
      <w:r w:rsidRPr="00247EE7">
        <w:rPr>
          <w:rStyle w:val="HideTWBExt"/>
          <w:b w:val="0"/>
        </w:rPr>
        <w:t>&lt;NumAm&gt;</w:t>
      </w:r>
      <w:r w:rsidR="00F645B4" w:rsidRPr="00247EE7">
        <w:t>9</w:t>
      </w:r>
      <w:r w:rsidRPr="00247EE7">
        <w:rPr>
          <w:rStyle w:val="HideTWBExt"/>
          <w:b w:val="0"/>
        </w:rPr>
        <w:t>&lt;/NumAm&gt;</w:t>
      </w:r>
    </w:p>
    <w:p w14:paraId="6A00C7EC" w14:textId="77777777" w:rsidR="0078565F" w:rsidRPr="00247EE7" w:rsidRDefault="0078565F" w:rsidP="0078565F">
      <w:pPr>
        <w:pStyle w:val="NormalBold12b"/>
      </w:pPr>
      <w:r w:rsidRPr="00247EE7">
        <w:rPr>
          <w:rStyle w:val="HideTWBExt"/>
          <w:b w:val="0"/>
        </w:rPr>
        <w:t>&lt;DocAmend&gt;</w:t>
      </w:r>
      <w:r w:rsidRPr="00247EE7">
        <w:t>Proposal for a regulation</w:t>
      </w:r>
      <w:r w:rsidRPr="00247EE7">
        <w:rPr>
          <w:rStyle w:val="HideTWBExt"/>
          <w:b w:val="0"/>
        </w:rPr>
        <w:t>&lt;/DocAmend&gt;</w:t>
      </w:r>
    </w:p>
    <w:p w14:paraId="3B0298E7" w14:textId="77777777" w:rsidR="0078565F" w:rsidRPr="00247EE7" w:rsidRDefault="0078565F" w:rsidP="0078565F">
      <w:pPr>
        <w:pStyle w:val="NormalBold"/>
        <w:rPr>
          <w:lang w:val="fr-FR"/>
        </w:rPr>
      </w:pPr>
      <w:r w:rsidRPr="00247EE7">
        <w:rPr>
          <w:rStyle w:val="HideTWBExt"/>
          <w:b w:val="0"/>
          <w:lang w:val="fr-FR"/>
        </w:rPr>
        <w:t>&lt;Article&gt;</w:t>
      </w:r>
      <w:r w:rsidRPr="00247EE7">
        <w:rPr>
          <w:lang w:val="fr-FR"/>
        </w:rPr>
        <w:t>Article 1 – paragraph 1 – point 10</w:t>
      </w:r>
      <w:r w:rsidRPr="00247EE7">
        <w:rPr>
          <w:rStyle w:val="HideTWBExt"/>
          <w:b w:val="0"/>
          <w:lang w:val="fr-FR"/>
        </w:rPr>
        <w:t>&lt;/Article&gt;</w:t>
      </w:r>
    </w:p>
    <w:p w14:paraId="6DB0AC88" w14:textId="77777777" w:rsidR="0078565F" w:rsidRPr="00247EE7" w:rsidRDefault="0078565F" w:rsidP="0078565F">
      <w:r w:rsidRPr="00247EE7">
        <w:rPr>
          <w:rStyle w:val="HideTWBExt"/>
        </w:rPr>
        <w:t>&lt;DocAmend2&gt;</w:t>
      </w:r>
      <w:r w:rsidRPr="00247EE7">
        <w:t>Regulation (EC) No 715/2007</w:t>
      </w:r>
      <w:r w:rsidRPr="00247EE7">
        <w:rPr>
          <w:rStyle w:val="HideTWBExt"/>
        </w:rPr>
        <w:t>&lt;/DocAmend2&gt;</w:t>
      </w:r>
    </w:p>
    <w:p w14:paraId="2DD7DCB6" w14:textId="7F6C6C24" w:rsidR="0078565F" w:rsidRPr="00247EE7" w:rsidRDefault="0078565F" w:rsidP="0078565F">
      <w:pPr>
        <w:rPr>
          <w:lang w:val="fr-FR"/>
        </w:rPr>
      </w:pPr>
      <w:r w:rsidRPr="00247EE7">
        <w:rPr>
          <w:rStyle w:val="HideTWBExt"/>
          <w:lang w:val="fr-FR"/>
        </w:rPr>
        <w:t>&lt;Article2&gt;</w:t>
      </w:r>
      <w:r w:rsidRPr="00247EE7">
        <w:rPr>
          <w:lang w:val="fr-FR"/>
        </w:rPr>
        <w:t xml:space="preserve">Article 14 – </w:t>
      </w:r>
      <w:r w:rsidR="00803B8D" w:rsidRPr="00247EE7">
        <w:rPr>
          <w:lang w:val="fr-FR"/>
        </w:rPr>
        <w:t xml:space="preserve">paragraph </w:t>
      </w:r>
      <w:r w:rsidRPr="00247EE7">
        <w:rPr>
          <w:lang w:val="fr-FR"/>
        </w:rPr>
        <w:t xml:space="preserve">3 – </w:t>
      </w:r>
      <w:r w:rsidR="00803B8D" w:rsidRPr="00247EE7">
        <w:rPr>
          <w:lang w:val="fr-FR"/>
        </w:rPr>
        <w:t xml:space="preserve">point </w:t>
      </w:r>
      <w:r w:rsidRPr="00247EE7">
        <w:rPr>
          <w:lang w:val="fr-FR"/>
        </w:rPr>
        <w:t>b</w:t>
      </w:r>
      <w:r w:rsidRPr="00247EE7">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565F" w:rsidRPr="00247EE7" w14:paraId="6B07A18A" w14:textId="77777777" w:rsidTr="0078565F">
        <w:trPr>
          <w:trHeight w:val="240"/>
          <w:jc w:val="center"/>
        </w:trPr>
        <w:tc>
          <w:tcPr>
            <w:tcW w:w="9752" w:type="dxa"/>
            <w:gridSpan w:val="2"/>
          </w:tcPr>
          <w:p w14:paraId="4D3AFCF8" w14:textId="77777777" w:rsidR="0078565F" w:rsidRPr="00247EE7" w:rsidRDefault="0078565F">
            <w:pPr>
              <w:rPr>
                <w:lang w:val="fr-FR"/>
              </w:rPr>
            </w:pPr>
          </w:p>
        </w:tc>
      </w:tr>
      <w:tr w:rsidR="0078565F" w:rsidRPr="00247EE7" w14:paraId="32D342CA" w14:textId="77777777" w:rsidTr="0078565F">
        <w:trPr>
          <w:trHeight w:val="240"/>
          <w:jc w:val="center"/>
        </w:trPr>
        <w:tc>
          <w:tcPr>
            <w:tcW w:w="4876" w:type="dxa"/>
            <w:hideMark/>
          </w:tcPr>
          <w:p w14:paraId="1ECD171B" w14:textId="77777777" w:rsidR="0078565F" w:rsidRPr="00247EE7" w:rsidRDefault="0078565F">
            <w:pPr>
              <w:pStyle w:val="AmColumnHeading"/>
            </w:pPr>
            <w:r w:rsidRPr="00247EE7">
              <w:t>Text proposed by the Commission</w:t>
            </w:r>
          </w:p>
        </w:tc>
        <w:tc>
          <w:tcPr>
            <w:tcW w:w="4876" w:type="dxa"/>
            <w:hideMark/>
          </w:tcPr>
          <w:p w14:paraId="3CFC36E8" w14:textId="77777777" w:rsidR="0078565F" w:rsidRPr="00247EE7" w:rsidRDefault="0078565F">
            <w:pPr>
              <w:pStyle w:val="AmColumnHeading"/>
            </w:pPr>
            <w:r w:rsidRPr="00247EE7">
              <w:t>Amendment</w:t>
            </w:r>
          </w:p>
        </w:tc>
      </w:tr>
      <w:tr w:rsidR="0078565F" w:rsidRPr="00247EE7" w14:paraId="025A8268" w14:textId="77777777" w:rsidTr="0078565F">
        <w:trPr>
          <w:jc w:val="center"/>
        </w:trPr>
        <w:tc>
          <w:tcPr>
            <w:tcW w:w="4876" w:type="dxa"/>
            <w:hideMark/>
          </w:tcPr>
          <w:p w14:paraId="6DB6176C" w14:textId="77777777" w:rsidR="0078565F" w:rsidRPr="00247EE7" w:rsidRDefault="0078565F">
            <w:pPr>
              <w:pStyle w:val="Normal6a"/>
            </w:pPr>
            <w:r w:rsidRPr="00247EE7">
              <w:t>(b)</w:t>
            </w:r>
            <w:r w:rsidRPr="00247EE7">
              <w:tab/>
              <w:t>amending this Regulation in order to adapt to technical progress the pollutant-specific final conformity factors set out in Table 2a to Annex I.;</w:t>
            </w:r>
          </w:p>
        </w:tc>
        <w:tc>
          <w:tcPr>
            <w:tcW w:w="4876" w:type="dxa"/>
            <w:hideMark/>
          </w:tcPr>
          <w:p w14:paraId="7DAD747B" w14:textId="77777777" w:rsidR="0078565F" w:rsidRPr="00247EE7" w:rsidRDefault="0078565F">
            <w:pPr>
              <w:pStyle w:val="Normal6a"/>
            </w:pPr>
            <w:r w:rsidRPr="00247EE7">
              <w:t>(b)</w:t>
            </w:r>
            <w:r w:rsidRPr="00247EE7">
              <w:tab/>
              <w:t xml:space="preserve">amending this Regulation in order to adapt to technical progress the pollutant-specific </w:t>
            </w:r>
            <w:r w:rsidRPr="00247EE7">
              <w:rPr>
                <w:b/>
                <w:i/>
              </w:rPr>
              <w:t>margin of error and</w:t>
            </w:r>
            <w:r w:rsidRPr="00247EE7">
              <w:t xml:space="preserve"> final conformity factors set out in Table 2a to Annex I.;</w:t>
            </w:r>
          </w:p>
        </w:tc>
      </w:tr>
    </w:tbl>
    <w:p w14:paraId="65497CA9" w14:textId="77777777" w:rsidR="0078565F" w:rsidRPr="00247EE7" w:rsidRDefault="0078565F" w:rsidP="0078565F">
      <w:pPr>
        <w:pStyle w:val="AmOrLang"/>
      </w:pPr>
      <w:r w:rsidRPr="00247EE7">
        <w:t xml:space="preserve">Or. </w:t>
      </w:r>
      <w:r w:rsidRPr="00247EE7">
        <w:rPr>
          <w:rStyle w:val="HideTWBExt"/>
        </w:rPr>
        <w:t>&lt;Original&gt;</w:t>
      </w:r>
      <w:r w:rsidRPr="00247EE7">
        <w:rPr>
          <w:rStyle w:val="HideTWBInt"/>
        </w:rPr>
        <w:t>{EN}</w:t>
      </w:r>
      <w:r w:rsidRPr="00247EE7">
        <w:t>en</w:t>
      </w:r>
      <w:r w:rsidRPr="00247EE7">
        <w:rPr>
          <w:rStyle w:val="HideTWBExt"/>
        </w:rPr>
        <w:t>&lt;/Original&gt;</w:t>
      </w:r>
    </w:p>
    <w:p w14:paraId="4F405808" w14:textId="77777777" w:rsidR="0078565F" w:rsidRPr="00247EE7" w:rsidRDefault="0078565F" w:rsidP="0078565F">
      <w:r w:rsidRPr="00247EE7">
        <w:rPr>
          <w:rStyle w:val="HideTWBExt"/>
        </w:rPr>
        <w:t>&lt;/Amend&gt;</w:t>
      </w:r>
    </w:p>
    <w:p w14:paraId="727E0651" w14:textId="5442BFB3" w:rsidR="002669B6" w:rsidRPr="00247EE7" w:rsidRDefault="002669B6" w:rsidP="00212B84">
      <w:pPr>
        <w:pStyle w:val="AmNumberTabs"/>
        <w:keepNext/>
      </w:pPr>
      <w:r w:rsidRPr="00247EE7">
        <w:rPr>
          <w:rStyle w:val="HideTWBExt"/>
          <w:b w:val="0"/>
        </w:rPr>
        <w:t>&lt;Amend&gt;</w:t>
      </w:r>
      <w:r w:rsidR="002B422E" w:rsidRPr="00247EE7">
        <w:t>Amendment</w:t>
      </w:r>
      <w:r w:rsidRPr="00247EE7">
        <w:tab/>
      </w:r>
      <w:r w:rsidRPr="00247EE7">
        <w:tab/>
      </w:r>
      <w:r w:rsidRPr="00247EE7">
        <w:rPr>
          <w:rStyle w:val="HideTWBExt"/>
          <w:b w:val="0"/>
        </w:rPr>
        <w:t>&lt;NumAm&gt;</w:t>
      </w:r>
      <w:r w:rsidR="00F645B4" w:rsidRPr="00247EE7">
        <w:t>10</w:t>
      </w:r>
      <w:r w:rsidRPr="00247EE7">
        <w:rPr>
          <w:rStyle w:val="HideTWBExt"/>
          <w:b w:val="0"/>
        </w:rPr>
        <w:t>&lt;/NumAm&gt;</w:t>
      </w:r>
    </w:p>
    <w:p w14:paraId="67C54257" w14:textId="77777777" w:rsidR="002669B6" w:rsidRPr="00247EE7" w:rsidRDefault="002669B6" w:rsidP="00212B84">
      <w:pPr>
        <w:pStyle w:val="NormalBold12b"/>
        <w:keepNext/>
      </w:pPr>
      <w:r w:rsidRPr="00247EE7">
        <w:rPr>
          <w:rStyle w:val="HideTWBExt"/>
          <w:b w:val="0"/>
        </w:rPr>
        <w:t>&lt;DocAmend&gt;</w:t>
      </w:r>
      <w:r w:rsidR="002B422E" w:rsidRPr="00247EE7">
        <w:t xml:space="preserve">Proposal for a </w:t>
      </w:r>
      <w:r w:rsidR="0085168E" w:rsidRPr="00247EE7">
        <w:t>regulation</w:t>
      </w:r>
      <w:r w:rsidRPr="00247EE7">
        <w:rPr>
          <w:rStyle w:val="HideTWBExt"/>
          <w:b w:val="0"/>
        </w:rPr>
        <w:t>&lt;/DocAmend&gt;</w:t>
      </w:r>
    </w:p>
    <w:p w14:paraId="158EF99F" w14:textId="4ED4EEF0" w:rsidR="002669B6" w:rsidRPr="00247EE7" w:rsidRDefault="002669B6" w:rsidP="00DA6ED0">
      <w:pPr>
        <w:pStyle w:val="NormalBold"/>
        <w:keepNext/>
      </w:pPr>
      <w:r w:rsidRPr="00247EE7">
        <w:rPr>
          <w:rStyle w:val="HideTWBExt"/>
          <w:b w:val="0"/>
        </w:rPr>
        <w:t>&lt;Article&gt;</w:t>
      </w:r>
      <w:r w:rsidR="0078565F" w:rsidRPr="00247EE7">
        <w:t>Annex</w:t>
      </w:r>
      <w:r w:rsidRPr="00247EE7">
        <w:rPr>
          <w:rStyle w:val="HideTWBExt"/>
          <w:b w:val="0"/>
        </w:rPr>
        <w:t>&lt;/Article&gt;</w:t>
      </w:r>
    </w:p>
    <w:p w14:paraId="290AFF76" w14:textId="77777777" w:rsidR="002669B6" w:rsidRPr="00247EE7" w:rsidRDefault="002669B6" w:rsidP="001C5592">
      <w:pPr>
        <w:keepNext/>
      </w:pPr>
      <w:r w:rsidRPr="00247EE7">
        <w:rPr>
          <w:rStyle w:val="HideTWBExt"/>
        </w:rPr>
        <w:t>&lt;DocAmend2&gt;</w:t>
      </w:r>
      <w:r w:rsidR="00104259" w:rsidRPr="00247EE7">
        <w:t>Regulation (EC) No 715/2007</w:t>
      </w:r>
      <w:r w:rsidRPr="00247EE7">
        <w:rPr>
          <w:rStyle w:val="HideTWBExt"/>
        </w:rPr>
        <w:t>&lt;/DocAmend2&gt;</w:t>
      </w:r>
    </w:p>
    <w:p w14:paraId="25F71C46" w14:textId="59DF49DF" w:rsidR="002669B6" w:rsidRPr="00247EE7" w:rsidRDefault="002669B6" w:rsidP="002669B6">
      <w:pPr>
        <w:rPr>
          <w:lang w:val="fr-FR"/>
        </w:rPr>
      </w:pPr>
      <w:r w:rsidRPr="00247EE7">
        <w:rPr>
          <w:rStyle w:val="HideTWBExt"/>
          <w:lang w:val="fr-FR"/>
        </w:rPr>
        <w:t>&lt;Article2&gt;</w:t>
      </w:r>
      <w:r w:rsidR="00EE39FD" w:rsidRPr="00247EE7">
        <w:rPr>
          <w:lang w:val="fr-FR"/>
        </w:rPr>
        <w:t>Annex I – table 2a</w:t>
      </w:r>
      <w:r w:rsidRPr="00247EE7">
        <w:rPr>
          <w:rStyle w:val="HideTWBExt"/>
          <w:lang w:val="fr-FR"/>
        </w:rPr>
        <w:t>&lt;/Article2&gt;</w:t>
      </w:r>
    </w:p>
    <w:tbl>
      <w:tblPr>
        <w:tblW w:w="11040" w:type="dxa"/>
        <w:jc w:val="center"/>
        <w:tblLayout w:type="fixed"/>
        <w:tblCellMar>
          <w:left w:w="340" w:type="dxa"/>
          <w:right w:w="340" w:type="dxa"/>
        </w:tblCellMar>
        <w:tblLook w:val="04A0" w:firstRow="1" w:lastRow="0" w:firstColumn="1" w:lastColumn="0" w:noHBand="0" w:noVBand="1"/>
      </w:tblPr>
      <w:tblGrid>
        <w:gridCol w:w="1701"/>
        <w:gridCol w:w="119"/>
        <w:gridCol w:w="1440"/>
        <w:gridCol w:w="141"/>
        <w:gridCol w:w="1561"/>
        <w:gridCol w:w="60"/>
        <w:gridCol w:w="1641"/>
        <w:gridCol w:w="2126"/>
        <w:gridCol w:w="2251"/>
      </w:tblGrid>
      <w:tr w:rsidR="0004102A" w:rsidRPr="00247EE7" w14:paraId="088C4984" w14:textId="77777777" w:rsidTr="0004102A">
        <w:trPr>
          <w:jc w:val="center"/>
        </w:trPr>
        <w:tc>
          <w:tcPr>
            <w:tcW w:w="11039" w:type="dxa"/>
            <w:gridSpan w:val="9"/>
          </w:tcPr>
          <w:p w14:paraId="14046B12" w14:textId="77777777" w:rsidR="009075CB" w:rsidRPr="00247EE7" w:rsidRDefault="009075CB">
            <w:pPr>
              <w:keepNext/>
              <w:rPr>
                <w:lang w:val="fr-FR"/>
              </w:rPr>
            </w:pPr>
          </w:p>
        </w:tc>
      </w:tr>
      <w:tr w:rsidR="0004102A" w:rsidRPr="00247EE7" w14:paraId="05678275" w14:textId="77777777" w:rsidTr="0004102A">
        <w:trPr>
          <w:jc w:val="center"/>
        </w:trPr>
        <w:tc>
          <w:tcPr>
            <w:tcW w:w="11039" w:type="dxa"/>
            <w:gridSpan w:val="9"/>
            <w:hideMark/>
          </w:tcPr>
          <w:p w14:paraId="08ECF45E" w14:textId="77777777" w:rsidR="009075CB" w:rsidRPr="00247EE7" w:rsidRDefault="009075CB">
            <w:pPr>
              <w:pStyle w:val="ColumnHeading"/>
              <w:keepNext/>
            </w:pPr>
            <w:r w:rsidRPr="00247EE7">
              <w:t>Text proposed by the Commission</w:t>
            </w:r>
          </w:p>
        </w:tc>
      </w:tr>
      <w:tr w:rsidR="009075CB" w:rsidRPr="00247EE7" w14:paraId="1ACFBD1B" w14:textId="77777777" w:rsidTr="0004102A">
        <w:trPr>
          <w:jc w:val="center"/>
        </w:trPr>
        <w:tc>
          <w:tcPr>
            <w:tcW w:w="11039" w:type="dxa"/>
            <w:gridSpan w:val="9"/>
          </w:tcPr>
          <w:p w14:paraId="6F0480D7" w14:textId="77777777" w:rsidR="009075CB" w:rsidRPr="00247EE7" w:rsidRDefault="009075CB" w:rsidP="009075CB">
            <w:pPr>
              <w:pStyle w:val="Normal6"/>
              <w:jc w:val="center"/>
            </w:pPr>
            <w:r w:rsidRPr="00247EE7">
              <w:t>Real Driving Emissions Conformity Factors</w:t>
            </w:r>
          </w:p>
        </w:tc>
      </w:tr>
      <w:tr w:rsidR="0004102A" w:rsidRPr="00247EE7" w14:paraId="37CD206B" w14:textId="77777777" w:rsidTr="0004102A">
        <w:trPr>
          <w:jc w:val="center"/>
        </w:trPr>
        <w:tc>
          <w:tcPr>
            <w:tcW w:w="1701" w:type="dxa"/>
          </w:tcPr>
          <w:p w14:paraId="2E96782C" w14:textId="77777777" w:rsidR="009075CB" w:rsidRPr="00247EE7" w:rsidRDefault="009075CB" w:rsidP="009075CB">
            <w:pPr>
              <w:pStyle w:val="Normal6"/>
            </w:pPr>
          </w:p>
        </w:tc>
        <w:tc>
          <w:tcPr>
            <w:tcW w:w="1559" w:type="dxa"/>
            <w:gridSpan w:val="2"/>
          </w:tcPr>
          <w:p w14:paraId="5D8CEEC6" w14:textId="77777777" w:rsidR="009075CB" w:rsidRPr="00247EE7" w:rsidRDefault="009075CB" w:rsidP="009075CB">
            <w:pPr>
              <w:pStyle w:val="Normal6"/>
            </w:pPr>
            <w:r w:rsidRPr="00247EE7">
              <w:t>Oxides of nitrogen (NOx)</w:t>
            </w:r>
          </w:p>
        </w:tc>
        <w:tc>
          <w:tcPr>
            <w:tcW w:w="1762" w:type="dxa"/>
            <w:gridSpan w:val="3"/>
          </w:tcPr>
          <w:p w14:paraId="02B10404" w14:textId="77777777" w:rsidR="009075CB" w:rsidRPr="00247EE7" w:rsidRDefault="009075CB" w:rsidP="009075CB">
            <w:pPr>
              <w:pStyle w:val="Normal6"/>
            </w:pPr>
            <w:r w:rsidRPr="00247EE7">
              <w:t>Number of particles (PN)</w:t>
            </w:r>
          </w:p>
        </w:tc>
        <w:tc>
          <w:tcPr>
            <w:tcW w:w="1641" w:type="dxa"/>
          </w:tcPr>
          <w:p w14:paraId="5BF3B803" w14:textId="77777777" w:rsidR="009075CB" w:rsidRPr="00247EE7" w:rsidRDefault="009075CB" w:rsidP="009075CB">
            <w:pPr>
              <w:pStyle w:val="Normal6"/>
            </w:pPr>
            <w:r w:rsidRPr="00247EE7">
              <w:t xml:space="preserve">Carbon monoxide (CO) </w:t>
            </w:r>
            <w:r w:rsidRPr="00247EE7">
              <w:rPr>
                <w:vertAlign w:val="superscript"/>
              </w:rPr>
              <w:t>(1)</w:t>
            </w:r>
          </w:p>
        </w:tc>
        <w:tc>
          <w:tcPr>
            <w:tcW w:w="2126" w:type="dxa"/>
          </w:tcPr>
          <w:p w14:paraId="2FE72B87" w14:textId="77777777" w:rsidR="009075CB" w:rsidRPr="00247EE7" w:rsidRDefault="009075CB" w:rsidP="009075CB">
            <w:pPr>
              <w:pStyle w:val="Normal6"/>
            </w:pPr>
            <w:r w:rsidRPr="00247EE7">
              <w:t>Total hydrocarbons (THC)</w:t>
            </w:r>
          </w:p>
        </w:tc>
        <w:tc>
          <w:tcPr>
            <w:tcW w:w="2251" w:type="dxa"/>
          </w:tcPr>
          <w:p w14:paraId="527D9BC1" w14:textId="77777777" w:rsidR="009075CB" w:rsidRPr="00247EE7" w:rsidRDefault="009075CB" w:rsidP="009075CB">
            <w:pPr>
              <w:pStyle w:val="Normal6"/>
            </w:pPr>
            <w:r w:rsidRPr="00247EE7">
              <w:t>Combined hydrocarbons and oxides of nitrogen (THC + NOx)</w:t>
            </w:r>
          </w:p>
        </w:tc>
      </w:tr>
      <w:tr w:rsidR="0004102A" w:rsidRPr="00247EE7" w14:paraId="21988AA9" w14:textId="77777777" w:rsidTr="0004102A">
        <w:trPr>
          <w:jc w:val="center"/>
        </w:trPr>
        <w:tc>
          <w:tcPr>
            <w:tcW w:w="1701" w:type="dxa"/>
          </w:tcPr>
          <w:p w14:paraId="53617286" w14:textId="77777777" w:rsidR="009075CB" w:rsidRPr="00247EE7" w:rsidRDefault="009075CB" w:rsidP="009075CB">
            <w:pPr>
              <w:pStyle w:val="Normal6"/>
              <w:rPr>
                <w:lang w:val="en-US"/>
              </w:rPr>
            </w:pPr>
            <w:r w:rsidRPr="00247EE7">
              <w:rPr>
                <w:lang w:val="en-US"/>
              </w:rPr>
              <w:t xml:space="preserve">CF </w:t>
            </w:r>
            <w:r w:rsidRPr="00247EE7">
              <w:t>pollutant-</w:t>
            </w:r>
            <w:r w:rsidRPr="00247EE7">
              <w:lastRenderedPageBreak/>
              <w:t xml:space="preserve">final </w:t>
            </w:r>
            <w:r w:rsidRPr="00247EE7">
              <w:rPr>
                <w:vertAlign w:val="superscript"/>
              </w:rPr>
              <w:t>(2)</w:t>
            </w:r>
            <w:r w:rsidRPr="00247EE7">
              <w:t xml:space="preserve"> </w:t>
            </w:r>
          </w:p>
        </w:tc>
        <w:tc>
          <w:tcPr>
            <w:tcW w:w="1559" w:type="dxa"/>
            <w:gridSpan w:val="2"/>
          </w:tcPr>
          <w:p w14:paraId="5C736DB9" w14:textId="77777777" w:rsidR="009075CB" w:rsidRPr="00247EE7" w:rsidRDefault="009075CB" w:rsidP="009075CB">
            <w:pPr>
              <w:pStyle w:val="Normal6"/>
              <w:rPr>
                <w:b/>
                <w:i/>
                <w:lang w:val="en-US"/>
              </w:rPr>
            </w:pPr>
            <w:r w:rsidRPr="00247EE7">
              <w:rPr>
                <w:b/>
                <w:i/>
                <w:lang w:val="en-US"/>
              </w:rPr>
              <w:lastRenderedPageBreak/>
              <w:t>1,43</w:t>
            </w:r>
          </w:p>
        </w:tc>
        <w:tc>
          <w:tcPr>
            <w:tcW w:w="1762" w:type="dxa"/>
            <w:gridSpan w:val="3"/>
          </w:tcPr>
          <w:p w14:paraId="53453363" w14:textId="77777777" w:rsidR="009075CB" w:rsidRPr="00247EE7" w:rsidRDefault="009075CB" w:rsidP="009075CB">
            <w:pPr>
              <w:pStyle w:val="Normal6"/>
              <w:rPr>
                <w:b/>
                <w:i/>
                <w:lang w:val="en-US"/>
              </w:rPr>
            </w:pPr>
            <w:r w:rsidRPr="00247EE7">
              <w:rPr>
                <w:b/>
                <w:i/>
                <w:lang w:val="en-US"/>
              </w:rPr>
              <w:t>1,5</w:t>
            </w:r>
          </w:p>
        </w:tc>
        <w:tc>
          <w:tcPr>
            <w:tcW w:w="1641" w:type="dxa"/>
          </w:tcPr>
          <w:p w14:paraId="20D14D5C" w14:textId="77777777" w:rsidR="009075CB" w:rsidRPr="00247EE7" w:rsidRDefault="009075CB" w:rsidP="009075CB">
            <w:pPr>
              <w:pStyle w:val="Normal6"/>
              <w:rPr>
                <w:lang w:val="en-US"/>
              </w:rPr>
            </w:pPr>
            <w:r w:rsidRPr="00247EE7">
              <w:rPr>
                <w:lang w:val="en-US"/>
              </w:rPr>
              <w:t>-</w:t>
            </w:r>
          </w:p>
        </w:tc>
        <w:tc>
          <w:tcPr>
            <w:tcW w:w="2126" w:type="dxa"/>
          </w:tcPr>
          <w:p w14:paraId="18918795" w14:textId="77777777" w:rsidR="009075CB" w:rsidRPr="00247EE7" w:rsidRDefault="009075CB" w:rsidP="009075CB">
            <w:pPr>
              <w:pStyle w:val="Normal6"/>
              <w:rPr>
                <w:lang w:val="en-US"/>
              </w:rPr>
            </w:pPr>
            <w:r w:rsidRPr="00247EE7">
              <w:rPr>
                <w:lang w:val="en-US"/>
              </w:rPr>
              <w:t>-</w:t>
            </w:r>
          </w:p>
        </w:tc>
        <w:tc>
          <w:tcPr>
            <w:tcW w:w="2251" w:type="dxa"/>
          </w:tcPr>
          <w:p w14:paraId="220B2BB5" w14:textId="77777777" w:rsidR="009075CB" w:rsidRPr="00247EE7" w:rsidRDefault="009075CB" w:rsidP="009075CB">
            <w:pPr>
              <w:pStyle w:val="Normal6"/>
              <w:rPr>
                <w:lang w:val="en-US"/>
              </w:rPr>
            </w:pPr>
            <w:r w:rsidRPr="00247EE7">
              <w:rPr>
                <w:lang w:val="en-US"/>
              </w:rPr>
              <w:t>-</w:t>
            </w:r>
          </w:p>
        </w:tc>
      </w:tr>
      <w:tr w:rsidR="0004102A" w:rsidRPr="00247EE7" w14:paraId="53C8CD8C" w14:textId="77777777" w:rsidTr="0004102A">
        <w:trPr>
          <w:jc w:val="center"/>
        </w:trPr>
        <w:tc>
          <w:tcPr>
            <w:tcW w:w="1701" w:type="dxa"/>
          </w:tcPr>
          <w:p w14:paraId="740C28F1" w14:textId="77777777" w:rsidR="009075CB" w:rsidRPr="00247EE7" w:rsidRDefault="009075CB" w:rsidP="009075CB">
            <w:pPr>
              <w:pStyle w:val="Normal6"/>
              <w:rPr>
                <w:lang w:val="en-US"/>
              </w:rPr>
            </w:pPr>
            <w:r w:rsidRPr="00247EE7">
              <w:t xml:space="preserve">CF pollutant-temp </w:t>
            </w:r>
            <w:r w:rsidRPr="00247EE7">
              <w:rPr>
                <w:vertAlign w:val="superscript"/>
              </w:rPr>
              <w:t>(3)</w:t>
            </w:r>
          </w:p>
        </w:tc>
        <w:tc>
          <w:tcPr>
            <w:tcW w:w="1559" w:type="dxa"/>
            <w:gridSpan w:val="2"/>
          </w:tcPr>
          <w:p w14:paraId="118BA48F" w14:textId="77777777" w:rsidR="009075CB" w:rsidRPr="00247EE7" w:rsidRDefault="009075CB" w:rsidP="009075CB">
            <w:pPr>
              <w:pStyle w:val="Normal6"/>
              <w:rPr>
                <w:lang w:val="en-US"/>
              </w:rPr>
            </w:pPr>
            <w:r w:rsidRPr="00247EE7">
              <w:rPr>
                <w:lang w:val="en-US"/>
              </w:rPr>
              <w:t>2,1</w:t>
            </w:r>
          </w:p>
        </w:tc>
        <w:tc>
          <w:tcPr>
            <w:tcW w:w="1762" w:type="dxa"/>
            <w:gridSpan w:val="3"/>
          </w:tcPr>
          <w:p w14:paraId="3534B0EE" w14:textId="77777777" w:rsidR="009075CB" w:rsidRPr="00247EE7" w:rsidRDefault="009075CB" w:rsidP="009075CB">
            <w:pPr>
              <w:pStyle w:val="Normal6"/>
              <w:rPr>
                <w:lang w:val="en-US"/>
              </w:rPr>
            </w:pPr>
            <w:r w:rsidRPr="00247EE7">
              <w:rPr>
                <w:lang w:val="en-US"/>
              </w:rPr>
              <w:t>1,5</w:t>
            </w:r>
          </w:p>
        </w:tc>
        <w:tc>
          <w:tcPr>
            <w:tcW w:w="1641" w:type="dxa"/>
          </w:tcPr>
          <w:p w14:paraId="41747007" w14:textId="77777777" w:rsidR="009075CB" w:rsidRPr="00247EE7" w:rsidRDefault="009075CB" w:rsidP="009075CB">
            <w:pPr>
              <w:pStyle w:val="Normal6"/>
              <w:rPr>
                <w:lang w:val="en-US"/>
              </w:rPr>
            </w:pPr>
            <w:r w:rsidRPr="00247EE7">
              <w:rPr>
                <w:lang w:val="en-US"/>
              </w:rPr>
              <w:t>-</w:t>
            </w:r>
          </w:p>
        </w:tc>
        <w:tc>
          <w:tcPr>
            <w:tcW w:w="2126" w:type="dxa"/>
          </w:tcPr>
          <w:p w14:paraId="2AFAA705" w14:textId="77777777" w:rsidR="009075CB" w:rsidRPr="00247EE7" w:rsidRDefault="009075CB" w:rsidP="009075CB">
            <w:pPr>
              <w:pStyle w:val="Normal6"/>
              <w:rPr>
                <w:lang w:val="en-US"/>
              </w:rPr>
            </w:pPr>
            <w:r w:rsidRPr="00247EE7">
              <w:rPr>
                <w:lang w:val="en-US"/>
              </w:rPr>
              <w:t>-</w:t>
            </w:r>
          </w:p>
        </w:tc>
        <w:tc>
          <w:tcPr>
            <w:tcW w:w="2251" w:type="dxa"/>
          </w:tcPr>
          <w:p w14:paraId="6CE62290" w14:textId="77777777" w:rsidR="009075CB" w:rsidRPr="00247EE7" w:rsidRDefault="009075CB" w:rsidP="009075CB">
            <w:pPr>
              <w:pStyle w:val="Normal6"/>
              <w:rPr>
                <w:lang w:val="en-US"/>
              </w:rPr>
            </w:pPr>
            <w:r w:rsidRPr="00247EE7">
              <w:rPr>
                <w:lang w:val="en-US"/>
              </w:rPr>
              <w:t>-</w:t>
            </w:r>
          </w:p>
        </w:tc>
      </w:tr>
      <w:tr w:rsidR="009075CB" w:rsidRPr="00247EE7" w14:paraId="7628267E" w14:textId="77777777" w:rsidTr="0004102A">
        <w:trPr>
          <w:jc w:val="center"/>
        </w:trPr>
        <w:tc>
          <w:tcPr>
            <w:tcW w:w="11039" w:type="dxa"/>
            <w:gridSpan w:val="9"/>
          </w:tcPr>
          <w:p w14:paraId="5982489A" w14:textId="77777777" w:rsidR="009075CB" w:rsidRPr="00247EE7" w:rsidRDefault="009075CB">
            <w:pPr>
              <w:pStyle w:val="Normal6"/>
            </w:pPr>
            <w:r w:rsidRPr="00247EE7">
              <w:rPr>
                <w:vertAlign w:val="superscript"/>
              </w:rPr>
              <w:t>(1)</w:t>
            </w:r>
            <w:r w:rsidRPr="00247EE7">
              <w:t xml:space="preserve"> CO emissions shall be measured and recorded for all RDE tests.</w:t>
            </w:r>
          </w:p>
        </w:tc>
      </w:tr>
      <w:tr w:rsidR="009075CB" w:rsidRPr="00247EE7" w14:paraId="70B04A61" w14:textId="77777777" w:rsidTr="0004102A">
        <w:trPr>
          <w:jc w:val="center"/>
        </w:trPr>
        <w:tc>
          <w:tcPr>
            <w:tcW w:w="11039" w:type="dxa"/>
            <w:gridSpan w:val="9"/>
          </w:tcPr>
          <w:p w14:paraId="7D5994D9" w14:textId="77777777" w:rsidR="009075CB" w:rsidRPr="00247EE7" w:rsidRDefault="009075CB">
            <w:pPr>
              <w:pStyle w:val="Normal6"/>
            </w:pPr>
            <w:r w:rsidRPr="00247EE7">
              <w:rPr>
                <w:vertAlign w:val="superscript"/>
              </w:rPr>
              <w:t>(2)</w:t>
            </w:r>
            <w:r w:rsidRPr="00247EE7">
              <w:t xml:space="preserve"> CF pollutant-final is the conformity factor used to determine compliance with the Euro 6 emission limits by taking into account the technical uncertainties linked with the use of the Portable Emission Measurement Systems (PEMS).</w:t>
            </w:r>
          </w:p>
        </w:tc>
      </w:tr>
      <w:tr w:rsidR="009075CB" w:rsidRPr="00247EE7" w14:paraId="61D6DBEB" w14:textId="77777777" w:rsidTr="0004102A">
        <w:trPr>
          <w:jc w:val="center"/>
        </w:trPr>
        <w:tc>
          <w:tcPr>
            <w:tcW w:w="11039" w:type="dxa"/>
            <w:gridSpan w:val="9"/>
          </w:tcPr>
          <w:p w14:paraId="36226DB0" w14:textId="77777777" w:rsidR="009075CB" w:rsidRPr="00247EE7" w:rsidRDefault="009075CB">
            <w:pPr>
              <w:pStyle w:val="Normal6"/>
            </w:pPr>
            <w:r w:rsidRPr="00247EE7">
              <w:rPr>
                <w:vertAlign w:val="superscript"/>
              </w:rPr>
              <w:t>(3)</w:t>
            </w:r>
            <w:r w:rsidRPr="00247EE7">
              <w:t xml:space="preserve"> CF pollutant-temp is the temporary conformity factor that may be used upon request of the manufacturer as an alternative to CF pollutant-final during a period of 5 years and 4 months following the dates specified in Article 10(4) and (5).”.</w:t>
            </w:r>
          </w:p>
        </w:tc>
      </w:tr>
      <w:tr w:rsidR="0004102A" w:rsidRPr="00247EE7" w14:paraId="74246CC7" w14:textId="77777777" w:rsidTr="0004102A">
        <w:trPr>
          <w:jc w:val="center"/>
        </w:trPr>
        <w:tc>
          <w:tcPr>
            <w:tcW w:w="11039" w:type="dxa"/>
            <w:gridSpan w:val="9"/>
          </w:tcPr>
          <w:p w14:paraId="0ABF9E31" w14:textId="77777777" w:rsidR="009075CB" w:rsidRPr="00247EE7" w:rsidRDefault="009075CB">
            <w:pPr>
              <w:keepNext/>
            </w:pPr>
          </w:p>
        </w:tc>
      </w:tr>
      <w:tr w:rsidR="0004102A" w:rsidRPr="00247EE7" w14:paraId="7C8B1754" w14:textId="77777777" w:rsidTr="0004102A">
        <w:trPr>
          <w:jc w:val="center"/>
        </w:trPr>
        <w:tc>
          <w:tcPr>
            <w:tcW w:w="11039" w:type="dxa"/>
            <w:gridSpan w:val="9"/>
            <w:hideMark/>
          </w:tcPr>
          <w:p w14:paraId="346E0A3A" w14:textId="77777777" w:rsidR="009075CB" w:rsidRPr="00247EE7" w:rsidRDefault="009075CB">
            <w:pPr>
              <w:pStyle w:val="ColumnHeading"/>
              <w:keepNext/>
            </w:pPr>
            <w:r w:rsidRPr="00247EE7">
              <w:t>Amendment</w:t>
            </w:r>
          </w:p>
        </w:tc>
      </w:tr>
      <w:tr w:rsidR="0004102A" w:rsidRPr="00247EE7" w14:paraId="5EE2B474" w14:textId="77777777" w:rsidTr="0004102A">
        <w:trPr>
          <w:jc w:val="center"/>
        </w:trPr>
        <w:tc>
          <w:tcPr>
            <w:tcW w:w="11039" w:type="dxa"/>
            <w:gridSpan w:val="9"/>
          </w:tcPr>
          <w:p w14:paraId="7F0ADD8F" w14:textId="77777777" w:rsidR="009075CB" w:rsidRPr="00247EE7" w:rsidRDefault="0004102A">
            <w:pPr>
              <w:pStyle w:val="Normal6"/>
              <w:jc w:val="center"/>
              <w:rPr>
                <w:bCs/>
                <w:iCs/>
              </w:rPr>
            </w:pPr>
            <w:r w:rsidRPr="00247EE7">
              <w:rPr>
                <w:bCs/>
                <w:iCs/>
              </w:rPr>
              <w:t>Real Driving Emissions Conformity Factors</w:t>
            </w:r>
          </w:p>
        </w:tc>
      </w:tr>
      <w:tr w:rsidR="0004102A" w:rsidRPr="00247EE7" w14:paraId="586EABAD" w14:textId="77777777" w:rsidTr="0004102A">
        <w:trPr>
          <w:trHeight w:val="332"/>
          <w:jc w:val="center"/>
        </w:trPr>
        <w:tc>
          <w:tcPr>
            <w:tcW w:w="1820" w:type="dxa"/>
            <w:gridSpan w:val="2"/>
          </w:tcPr>
          <w:p w14:paraId="3A31A992" w14:textId="77777777" w:rsidR="0004102A" w:rsidRPr="00247EE7" w:rsidRDefault="0004102A" w:rsidP="0004102A">
            <w:pPr>
              <w:pStyle w:val="Normal6"/>
            </w:pPr>
          </w:p>
        </w:tc>
        <w:tc>
          <w:tcPr>
            <w:tcW w:w="1581" w:type="dxa"/>
            <w:gridSpan w:val="2"/>
          </w:tcPr>
          <w:p w14:paraId="1E43214E" w14:textId="77777777" w:rsidR="0004102A" w:rsidRPr="00247EE7" w:rsidRDefault="0004102A" w:rsidP="0004102A">
            <w:pPr>
              <w:pStyle w:val="Normal6"/>
            </w:pPr>
            <w:r w:rsidRPr="00247EE7">
              <w:t>Oxides of nitrogen (NOx)</w:t>
            </w:r>
          </w:p>
        </w:tc>
        <w:tc>
          <w:tcPr>
            <w:tcW w:w="1561" w:type="dxa"/>
          </w:tcPr>
          <w:p w14:paraId="106169F5" w14:textId="77777777" w:rsidR="0004102A" w:rsidRPr="00247EE7" w:rsidRDefault="0004102A" w:rsidP="0004102A">
            <w:pPr>
              <w:pStyle w:val="Normal6"/>
            </w:pPr>
            <w:r w:rsidRPr="00247EE7">
              <w:t>Number of particles (PN)</w:t>
            </w:r>
          </w:p>
        </w:tc>
        <w:tc>
          <w:tcPr>
            <w:tcW w:w="1701" w:type="dxa"/>
            <w:gridSpan w:val="2"/>
          </w:tcPr>
          <w:p w14:paraId="042A8D76" w14:textId="77777777" w:rsidR="0004102A" w:rsidRPr="00247EE7" w:rsidRDefault="0004102A" w:rsidP="0004102A">
            <w:pPr>
              <w:pStyle w:val="Normal6"/>
            </w:pPr>
            <w:r w:rsidRPr="00247EE7">
              <w:t xml:space="preserve">Carbon monoxide (CO) </w:t>
            </w:r>
            <w:r w:rsidRPr="00247EE7">
              <w:rPr>
                <w:vertAlign w:val="superscript"/>
              </w:rPr>
              <w:t>(1)</w:t>
            </w:r>
          </w:p>
        </w:tc>
        <w:tc>
          <w:tcPr>
            <w:tcW w:w="2126" w:type="dxa"/>
          </w:tcPr>
          <w:p w14:paraId="6F8196D8" w14:textId="77777777" w:rsidR="0004102A" w:rsidRPr="00247EE7" w:rsidRDefault="0004102A" w:rsidP="0004102A">
            <w:pPr>
              <w:pStyle w:val="Normal6"/>
            </w:pPr>
            <w:r w:rsidRPr="00247EE7">
              <w:t>Total hydrocarbons (THC)</w:t>
            </w:r>
          </w:p>
        </w:tc>
        <w:tc>
          <w:tcPr>
            <w:tcW w:w="2251" w:type="dxa"/>
          </w:tcPr>
          <w:p w14:paraId="5984D866" w14:textId="77777777" w:rsidR="0004102A" w:rsidRPr="00247EE7" w:rsidRDefault="0004102A" w:rsidP="0004102A">
            <w:pPr>
              <w:pStyle w:val="Normal6"/>
            </w:pPr>
            <w:r w:rsidRPr="00247EE7">
              <w:t>Combined hydrocarbons and oxides of nitrogen (THC + NOx)</w:t>
            </w:r>
          </w:p>
        </w:tc>
      </w:tr>
      <w:tr w:rsidR="0004102A" w:rsidRPr="00247EE7" w14:paraId="0A06DBF8" w14:textId="77777777" w:rsidTr="0004102A">
        <w:trPr>
          <w:trHeight w:val="332"/>
          <w:jc w:val="center"/>
        </w:trPr>
        <w:tc>
          <w:tcPr>
            <w:tcW w:w="1820" w:type="dxa"/>
            <w:gridSpan w:val="2"/>
          </w:tcPr>
          <w:p w14:paraId="28BCF7E5" w14:textId="77777777" w:rsidR="0004102A" w:rsidRPr="00247EE7" w:rsidRDefault="0004102A" w:rsidP="0004102A">
            <w:pPr>
              <w:pStyle w:val="Normal6"/>
              <w:rPr>
                <w:lang w:val="en-US"/>
              </w:rPr>
            </w:pPr>
            <w:r w:rsidRPr="00247EE7">
              <w:rPr>
                <w:lang w:val="en-US"/>
              </w:rPr>
              <w:t xml:space="preserve">CF </w:t>
            </w:r>
            <w:r w:rsidRPr="00247EE7">
              <w:t xml:space="preserve">pollutant-final </w:t>
            </w:r>
            <w:r w:rsidRPr="00247EE7">
              <w:rPr>
                <w:vertAlign w:val="superscript"/>
              </w:rPr>
              <w:t xml:space="preserve">(2) </w:t>
            </w:r>
          </w:p>
        </w:tc>
        <w:tc>
          <w:tcPr>
            <w:tcW w:w="1581" w:type="dxa"/>
            <w:gridSpan w:val="2"/>
          </w:tcPr>
          <w:p w14:paraId="747EE32E" w14:textId="77777777" w:rsidR="0004102A" w:rsidRPr="00247EE7" w:rsidRDefault="00FE70C9" w:rsidP="0004102A">
            <w:pPr>
              <w:pStyle w:val="Normal6"/>
              <w:rPr>
                <w:lang w:val="en-US"/>
              </w:rPr>
            </w:pPr>
            <w:r w:rsidRPr="00247EE7">
              <w:rPr>
                <w:b/>
                <w:i/>
                <w:lang w:val="en-US"/>
              </w:rPr>
              <w:t>1 + margin of error (margin=[0,43]*)</w:t>
            </w:r>
          </w:p>
        </w:tc>
        <w:tc>
          <w:tcPr>
            <w:tcW w:w="1561" w:type="dxa"/>
          </w:tcPr>
          <w:p w14:paraId="42DE577E" w14:textId="77777777" w:rsidR="0004102A" w:rsidRPr="00247EE7" w:rsidRDefault="00FE70C9" w:rsidP="0004102A">
            <w:pPr>
              <w:pStyle w:val="Normal6"/>
              <w:rPr>
                <w:lang w:val="en-US"/>
              </w:rPr>
            </w:pPr>
            <w:r w:rsidRPr="00247EE7">
              <w:rPr>
                <w:b/>
                <w:i/>
                <w:lang w:val="en-US"/>
              </w:rPr>
              <w:t>1 + margin of error (margin = 0,5)</w:t>
            </w:r>
          </w:p>
        </w:tc>
        <w:tc>
          <w:tcPr>
            <w:tcW w:w="1701" w:type="dxa"/>
            <w:gridSpan w:val="2"/>
          </w:tcPr>
          <w:p w14:paraId="66CF594F" w14:textId="77777777" w:rsidR="0004102A" w:rsidRPr="00247EE7" w:rsidRDefault="0004102A" w:rsidP="0004102A">
            <w:pPr>
              <w:pStyle w:val="Normal6"/>
              <w:rPr>
                <w:lang w:val="en-US"/>
              </w:rPr>
            </w:pPr>
            <w:r w:rsidRPr="00247EE7">
              <w:rPr>
                <w:lang w:val="en-US"/>
              </w:rPr>
              <w:t>-</w:t>
            </w:r>
          </w:p>
        </w:tc>
        <w:tc>
          <w:tcPr>
            <w:tcW w:w="2126" w:type="dxa"/>
          </w:tcPr>
          <w:p w14:paraId="3BA2120D" w14:textId="77777777" w:rsidR="0004102A" w:rsidRPr="00247EE7" w:rsidRDefault="0004102A" w:rsidP="0004102A">
            <w:pPr>
              <w:pStyle w:val="Normal6"/>
              <w:rPr>
                <w:lang w:val="en-US"/>
              </w:rPr>
            </w:pPr>
            <w:r w:rsidRPr="00247EE7">
              <w:rPr>
                <w:lang w:val="en-US"/>
              </w:rPr>
              <w:t>-</w:t>
            </w:r>
          </w:p>
        </w:tc>
        <w:tc>
          <w:tcPr>
            <w:tcW w:w="2251" w:type="dxa"/>
          </w:tcPr>
          <w:p w14:paraId="539B5B35" w14:textId="77777777" w:rsidR="0004102A" w:rsidRPr="00247EE7" w:rsidRDefault="0004102A" w:rsidP="0004102A">
            <w:pPr>
              <w:pStyle w:val="Normal6"/>
              <w:rPr>
                <w:lang w:val="en-US"/>
              </w:rPr>
            </w:pPr>
            <w:r w:rsidRPr="00247EE7">
              <w:rPr>
                <w:lang w:val="en-US"/>
              </w:rPr>
              <w:t>-</w:t>
            </w:r>
          </w:p>
        </w:tc>
      </w:tr>
      <w:tr w:rsidR="0004102A" w:rsidRPr="00247EE7" w14:paraId="02555C75" w14:textId="77777777" w:rsidTr="0004102A">
        <w:trPr>
          <w:trHeight w:val="332"/>
          <w:jc w:val="center"/>
        </w:trPr>
        <w:tc>
          <w:tcPr>
            <w:tcW w:w="1820" w:type="dxa"/>
            <w:gridSpan w:val="2"/>
          </w:tcPr>
          <w:p w14:paraId="44317928" w14:textId="77777777" w:rsidR="0004102A" w:rsidRPr="00247EE7" w:rsidRDefault="0004102A" w:rsidP="0004102A">
            <w:pPr>
              <w:pStyle w:val="Normal6"/>
              <w:rPr>
                <w:lang w:val="en-US"/>
              </w:rPr>
            </w:pPr>
            <w:r w:rsidRPr="00247EE7">
              <w:t xml:space="preserve">CF pollutant-temp </w:t>
            </w:r>
            <w:r w:rsidRPr="00247EE7">
              <w:rPr>
                <w:vertAlign w:val="superscript"/>
              </w:rPr>
              <w:t>(3)</w:t>
            </w:r>
          </w:p>
        </w:tc>
        <w:tc>
          <w:tcPr>
            <w:tcW w:w="1581" w:type="dxa"/>
            <w:gridSpan w:val="2"/>
          </w:tcPr>
          <w:p w14:paraId="3901D8FC" w14:textId="77777777" w:rsidR="0004102A" w:rsidRPr="00247EE7" w:rsidRDefault="0004102A" w:rsidP="0004102A">
            <w:pPr>
              <w:pStyle w:val="Normal6"/>
              <w:rPr>
                <w:lang w:val="en-US"/>
              </w:rPr>
            </w:pPr>
            <w:r w:rsidRPr="00247EE7">
              <w:rPr>
                <w:lang w:val="en-US"/>
              </w:rPr>
              <w:t>2,1</w:t>
            </w:r>
          </w:p>
        </w:tc>
        <w:tc>
          <w:tcPr>
            <w:tcW w:w="1561" w:type="dxa"/>
          </w:tcPr>
          <w:p w14:paraId="16EE1324" w14:textId="77777777" w:rsidR="0004102A" w:rsidRPr="00247EE7" w:rsidRDefault="0004102A" w:rsidP="0004102A">
            <w:pPr>
              <w:pStyle w:val="Normal6"/>
              <w:rPr>
                <w:lang w:val="en-US"/>
              </w:rPr>
            </w:pPr>
            <w:r w:rsidRPr="00247EE7">
              <w:rPr>
                <w:lang w:val="en-US"/>
              </w:rPr>
              <w:t>1,5</w:t>
            </w:r>
          </w:p>
        </w:tc>
        <w:tc>
          <w:tcPr>
            <w:tcW w:w="1701" w:type="dxa"/>
            <w:gridSpan w:val="2"/>
          </w:tcPr>
          <w:p w14:paraId="46610C84" w14:textId="77777777" w:rsidR="0004102A" w:rsidRPr="00247EE7" w:rsidRDefault="0004102A" w:rsidP="0004102A">
            <w:pPr>
              <w:pStyle w:val="Normal6"/>
              <w:rPr>
                <w:lang w:val="en-US"/>
              </w:rPr>
            </w:pPr>
            <w:r w:rsidRPr="00247EE7">
              <w:rPr>
                <w:lang w:val="en-US"/>
              </w:rPr>
              <w:t>-</w:t>
            </w:r>
          </w:p>
        </w:tc>
        <w:tc>
          <w:tcPr>
            <w:tcW w:w="2126" w:type="dxa"/>
          </w:tcPr>
          <w:p w14:paraId="142A05E3" w14:textId="77777777" w:rsidR="0004102A" w:rsidRPr="00247EE7" w:rsidRDefault="0004102A" w:rsidP="0004102A">
            <w:pPr>
              <w:pStyle w:val="Normal6"/>
              <w:rPr>
                <w:lang w:val="en-US"/>
              </w:rPr>
            </w:pPr>
            <w:r w:rsidRPr="00247EE7">
              <w:rPr>
                <w:lang w:val="en-US"/>
              </w:rPr>
              <w:t>-</w:t>
            </w:r>
          </w:p>
        </w:tc>
        <w:tc>
          <w:tcPr>
            <w:tcW w:w="2251" w:type="dxa"/>
          </w:tcPr>
          <w:p w14:paraId="2B309874" w14:textId="77777777" w:rsidR="0004102A" w:rsidRPr="00247EE7" w:rsidRDefault="0004102A" w:rsidP="0004102A">
            <w:pPr>
              <w:pStyle w:val="Normal6"/>
              <w:rPr>
                <w:lang w:val="en-US"/>
              </w:rPr>
            </w:pPr>
            <w:r w:rsidRPr="00247EE7">
              <w:rPr>
                <w:lang w:val="en-US"/>
              </w:rPr>
              <w:t>-</w:t>
            </w:r>
          </w:p>
        </w:tc>
      </w:tr>
      <w:tr w:rsidR="0004102A" w:rsidRPr="00247EE7" w14:paraId="6E740A48" w14:textId="77777777" w:rsidTr="0004102A">
        <w:trPr>
          <w:trHeight w:val="331"/>
          <w:jc w:val="center"/>
        </w:trPr>
        <w:tc>
          <w:tcPr>
            <w:tcW w:w="11039" w:type="dxa"/>
            <w:gridSpan w:val="9"/>
          </w:tcPr>
          <w:p w14:paraId="1FC89E77" w14:textId="77777777" w:rsidR="0004102A" w:rsidRPr="00247EE7" w:rsidRDefault="00FE70C9" w:rsidP="00803B8D">
            <w:pPr>
              <w:pStyle w:val="Normal6"/>
            </w:pPr>
            <w:r w:rsidRPr="00247EE7">
              <w:rPr>
                <w:b/>
                <w:i/>
                <w:szCs w:val="24"/>
              </w:rPr>
              <w:t>* To be revised downwards on the basis of the imminent assessment of the Joint Research Centre</w:t>
            </w:r>
          </w:p>
        </w:tc>
      </w:tr>
      <w:tr w:rsidR="00803B8D" w:rsidRPr="00247EE7" w14:paraId="50CC4A1F" w14:textId="77777777" w:rsidTr="0004102A">
        <w:trPr>
          <w:trHeight w:val="331"/>
          <w:jc w:val="center"/>
        </w:trPr>
        <w:tc>
          <w:tcPr>
            <w:tcW w:w="11039" w:type="dxa"/>
            <w:gridSpan w:val="9"/>
          </w:tcPr>
          <w:p w14:paraId="74BB4ED5" w14:textId="77777777" w:rsidR="00803B8D" w:rsidRPr="00247EE7" w:rsidRDefault="00803B8D" w:rsidP="0004102A">
            <w:pPr>
              <w:pStyle w:val="Normal6"/>
              <w:rPr>
                <w:b/>
                <w:i/>
                <w:szCs w:val="24"/>
              </w:rPr>
            </w:pPr>
            <w:r w:rsidRPr="00247EE7">
              <w:rPr>
                <w:vertAlign w:val="superscript"/>
              </w:rPr>
              <w:t>(1)</w:t>
            </w:r>
            <w:r w:rsidRPr="00247EE7">
              <w:t xml:space="preserve"> CO emissions shall be measured and recorded for all RDE tests.</w:t>
            </w:r>
          </w:p>
        </w:tc>
      </w:tr>
      <w:tr w:rsidR="0004102A" w:rsidRPr="00247EE7" w14:paraId="05281346" w14:textId="77777777" w:rsidTr="0004102A">
        <w:trPr>
          <w:trHeight w:val="331"/>
          <w:jc w:val="center"/>
        </w:trPr>
        <w:tc>
          <w:tcPr>
            <w:tcW w:w="11039" w:type="dxa"/>
            <w:gridSpan w:val="9"/>
          </w:tcPr>
          <w:p w14:paraId="48447422" w14:textId="77777777" w:rsidR="0004102A" w:rsidRPr="00247EE7" w:rsidRDefault="0004102A" w:rsidP="0004102A">
            <w:pPr>
              <w:pStyle w:val="Normal6"/>
            </w:pPr>
            <w:r w:rsidRPr="00247EE7">
              <w:rPr>
                <w:vertAlign w:val="superscript"/>
              </w:rPr>
              <w:t xml:space="preserve">(2) </w:t>
            </w:r>
            <w:r w:rsidRPr="00247EE7">
              <w:t>CF pollutant-final is the conformity factor used to determine compliance with the Euro 6 emission limits by taking into account the technical uncertainties linked with the use of the Portable Emission Measurement Systems (PEMS).</w:t>
            </w:r>
            <w:r w:rsidR="00FE70C9" w:rsidRPr="00247EE7">
              <w:rPr>
                <w:b/>
                <w:i/>
              </w:rPr>
              <w:t xml:space="preserve"> It is therefore expressed as 1 + a margin of error.</w:t>
            </w:r>
          </w:p>
        </w:tc>
      </w:tr>
      <w:tr w:rsidR="0004102A" w:rsidRPr="00247EE7" w14:paraId="3185049D" w14:textId="77777777" w:rsidTr="0004102A">
        <w:trPr>
          <w:trHeight w:val="331"/>
          <w:jc w:val="center"/>
        </w:trPr>
        <w:tc>
          <w:tcPr>
            <w:tcW w:w="11039" w:type="dxa"/>
            <w:gridSpan w:val="9"/>
          </w:tcPr>
          <w:p w14:paraId="6D780C84" w14:textId="77777777" w:rsidR="0004102A" w:rsidRPr="00247EE7" w:rsidRDefault="0004102A" w:rsidP="0004102A">
            <w:pPr>
              <w:pStyle w:val="Normal6"/>
            </w:pPr>
            <w:r w:rsidRPr="00247EE7">
              <w:rPr>
                <w:vertAlign w:val="superscript"/>
              </w:rPr>
              <w:t xml:space="preserve">(3) </w:t>
            </w:r>
            <w:r w:rsidRPr="00247EE7">
              <w:t>CF pollutant-temp is the temporary conformity factor that may be used upon request of the manufacturer as an alternative to CF pollutant-final during a period of 5 years and 4 months following the dates specified in Article 10(4) and (5).”.</w:t>
            </w:r>
          </w:p>
        </w:tc>
      </w:tr>
    </w:tbl>
    <w:p w14:paraId="570EBACC" w14:textId="77777777" w:rsidR="002669B6" w:rsidRPr="00247EE7" w:rsidRDefault="002669B6" w:rsidP="002669B6">
      <w:pPr>
        <w:pStyle w:val="AmOrLang"/>
      </w:pPr>
      <w:r w:rsidRPr="00247EE7">
        <w:t xml:space="preserve">Or. </w:t>
      </w:r>
      <w:r w:rsidRPr="00247EE7">
        <w:rPr>
          <w:rStyle w:val="HideTWBExt"/>
        </w:rPr>
        <w:t>&lt;Original&gt;</w:t>
      </w:r>
      <w:r w:rsidR="00104259" w:rsidRPr="00247EE7">
        <w:rPr>
          <w:rStyle w:val="HideTWBInt"/>
        </w:rPr>
        <w:t>{EN}</w:t>
      </w:r>
      <w:r w:rsidR="00104259" w:rsidRPr="00247EE7">
        <w:t>en</w:t>
      </w:r>
      <w:r w:rsidRPr="00247EE7">
        <w:rPr>
          <w:rStyle w:val="HideTWBExt"/>
        </w:rPr>
        <w:t>&lt;/Original&gt;</w:t>
      </w:r>
    </w:p>
    <w:p w14:paraId="6B21140D" w14:textId="77777777" w:rsidR="0085168E" w:rsidRPr="00247EE7" w:rsidRDefault="0085168E" w:rsidP="0085168E">
      <w:pPr>
        <w:pStyle w:val="AmJustTitle"/>
      </w:pPr>
      <w:r w:rsidRPr="00247EE7">
        <w:rPr>
          <w:rStyle w:val="HideTWBExt"/>
          <w:i w:val="0"/>
        </w:rPr>
        <w:t>&lt;TitreJust&gt;</w:t>
      </w:r>
      <w:r w:rsidRPr="00247EE7">
        <w:t>Justification</w:t>
      </w:r>
      <w:r w:rsidRPr="00247EE7">
        <w:rPr>
          <w:rStyle w:val="HideTWBExt"/>
          <w:i w:val="0"/>
        </w:rPr>
        <w:t>&lt;/TitreJust&gt;</w:t>
      </w:r>
    </w:p>
    <w:p w14:paraId="6F0B1ECC" w14:textId="77777777" w:rsidR="0085168E" w:rsidRPr="00247EE7" w:rsidRDefault="0085168E" w:rsidP="0085168E">
      <w:pPr>
        <w:pStyle w:val="AmJustText"/>
      </w:pPr>
      <w:r w:rsidRPr="00247EE7">
        <w:t>Clarification that the conformity factor consists of the emission limit standards Euro 5 and 6 and additional measurement uncertainties introduced by the PEMS equipment.</w:t>
      </w:r>
    </w:p>
    <w:p w14:paraId="18A95D7D" w14:textId="77777777" w:rsidR="002669B6" w:rsidRPr="00247EE7" w:rsidRDefault="002669B6" w:rsidP="002669B6">
      <w:r w:rsidRPr="00247EE7">
        <w:rPr>
          <w:rStyle w:val="HideTWBExt"/>
        </w:rPr>
        <w:lastRenderedPageBreak/>
        <w:t>&lt;/Amend&gt;</w:t>
      </w:r>
      <w:bookmarkEnd w:id="2"/>
      <w:r w:rsidRPr="00247EE7">
        <w:rPr>
          <w:rStyle w:val="HideTWBExt"/>
        </w:rPr>
        <w:t>&lt;/RepeatBlock-Amend&gt;</w:t>
      </w:r>
    </w:p>
    <w:p w14:paraId="3474551C" w14:textId="77777777" w:rsidR="0078565F" w:rsidRPr="00247EE7" w:rsidRDefault="0078565F" w:rsidP="002669B6">
      <w:pPr>
        <w:sectPr w:rsidR="0078565F" w:rsidRPr="00247EE7" w:rsidSect="00247EE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6DF1DEB2" w14:textId="77777777" w:rsidR="0078565F" w:rsidRPr="00247EE7" w:rsidRDefault="0078565F" w:rsidP="002669B6"/>
    <w:p w14:paraId="72F95676" w14:textId="77777777" w:rsidR="0078565F" w:rsidRPr="00247EE7" w:rsidRDefault="0078565F" w:rsidP="0078565F">
      <w:pPr>
        <w:pStyle w:val="PageHeading"/>
      </w:pPr>
      <w:bookmarkStart w:id="3" w:name="_Toc27732807"/>
      <w:r w:rsidRPr="00247EE7">
        <w:t>EXPLANATORY STATEMENT</w:t>
      </w:r>
      <w:bookmarkEnd w:id="3"/>
    </w:p>
    <w:p w14:paraId="6276DA30" w14:textId="77777777" w:rsidR="0078565F" w:rsidRPr="00247EE7" w:rsidRDefault="0078565F" w:rsidP="0078565F">
      <w:pPr>
        <w:spacing w:before="100" w:beforeAutospacing="1" w:after="100" w:afterAutospacing="1" w:line="236" w:lineRule="atLeast"/>
        <w:jc w:val="both"/>
        <w:rPr>
          <w:rFonts w:eastAsia="Calibri"/>
        </w:rPr>
      </w:pPr>
      <w:r w:rsidRPr="00247EE7">
        <w:rPr>
          <w:rFonts w:eastAsia="Calibri"/>
        </w:rPr>
        <w:t>On 13 December 2018, the General Court of the European Union partly annulled Commission Regulation (E</w:t>
      </w:r>
      <w:bookmarkStart w:id="4" w:name="_ftnref1"/>
      <w:r w:rsidRPr="00247EE7">
        <w:rPr>
          <w:rFonts w:eastAsia="Calibri"/>
        </w:rPr>
        <w:t>U) 2016/646. The judgment state</w:t>
      </w:r>
      <w:bookmarkEnd w:id="4"/>
      <w:r w:rsidRPr="00247EE7">
        <w:rPr>
          <w:rFonts w:eastAsia="Calibri"/>
        </w:rPr>
        <w:t>s</w:t>
      </w:r>
      <w:r w:rsidRPr="00247EE7">
        <w:rPr>
          <w:rStyle w:val="FootnoteReference"/>
          <w:rFonts w:eastAsia="Calibri"/>
        </w:rPr>
        <w:footnoteReference w:id="2"/>
      </w:r>
      <w:r w:rsidRPr="00247EE7">
        <w:rPr>
          <w:rFonts w:eastAsia="Calibri"/>
        </w:rPr>
        <w:t xml:space="preserve"> that the European Commission </w:t>
      </w:r>
      <w:r w:rsidRPr="00247EE7">
        <w:t xml:space="preserve">had no power to introduce conformity factors used to assess compliance of the vehicle with the emission limits while performing a Real Driving Emissions (RDE) test </w:t>
      </w:r>
      <w:r w:rsidRPr="00247EE7">
        <w:rPr>
          <w:bCs/>
        </w:rPr>
        <w:t>simply by using its implementing powers to</w:t>
      </w:r>
      <w:r w:rsidRPr="00247EE7">
        <w:t xml:space="preserve"> amend Regulation (EC) No 715/2007 on type approval of motor vehicles with respect to emissions from light passenger and commercial vehicles (Euro 5 and Euro 6).</w:t>
      </w:r>
      <w:r w:rsidRPr="00247EE7">
        <w:rPr>
          <w:rFonts w:eastAsia="Calibri"/>
        </w:rPr>
        <w:t xml:space="preserve"> As the Court ruled that conformity factors should be adopted through the ordinary legislative procedure, the European Commission adopted on 14 June 2019 a legislative proposal to amend Regulation (EC) No 715/2007, re-instating the conformity factors previously adopted in Commission Regulation (EU) 2016/646.</w:t>
      </w:r>
    </w:p>
    <w:p w14:paraId="049D3DE1" w14:textId="77777777" w:rsidR="0078565F" w:rsidRPr="00247EE7" w:rsidRDefault="0078565F" w:rsidP="0078565F">
      <w:pPr>
        <w:spacing w:before="100" w:beforeAutospacing="1" w:after="100" w:afterAutospacing="1" w:line="236" w:lineRule="atLeast"/>
        <w:jc w:val="both"/>
        <w:rPr>
          <w:rFonts w:eastAsia="Calibri"/>
        </w:rPr>
      </w:pPr>
      <w:r w:rsidRPr="00247EE7">
        <w:rPr>
          <w:rFonts w:eastAsia="Calibri"/>
        </w:rPr>
        <w:t xml:space="preserve">The Rapporteur finds it appropriate to re-install conformity factors consisting of the requirements for the vehicle to meet the emission limit standards Euro 5 and 6, which may not be exceeded, set out in Regulation (EC) No 715/2007 and the margin of error resulting from statistical and technical uncertainties of the Portable Emission Measurement Systems (PEMS). The Rapporteur introduces amendments to make clear that the conformity factor consists of the emission limits and the device-related error margin. Furthermore, the Rapporteur empowers the Commission to annually review downwards the conformity factors as a result of the improved quality of the measuring procedure or technical progress of the PEMS. Moreover, the Rapporteur calls on the Commission to present its post-Euro 6 proposal by mid-2021 </w:t>
      </w:r>
      <w:r w:rsidRPr="00247EE7">
        <w:t>taking into account the upcoming results of the European Committee for Standardization (CEN TC301) on a draft international standard to assess PEMS equipment</w:t>
      </w:r>
      <w:r w:rsidRPr="00247EE7">
        <w:rPr>
          <w:rFonts w:eastAsia="Calibri"/>
        </w:rPr>
        <w:t xml:space="preserve">. </w:t>
      </w:r>
    </w:p>
    <w:p w14:paraId="1F5B9D6F" w14:textId="77777777" w:rsidR="0078565F" w:rsidRPr="00247EE7" w:rsidRDefault="0078565F" w:rsidP="002669B6"/>
    <w:sectPr w:rsidR="0078565F" w:rsidRPr="00247EE7" w:rsidSect="0078565F">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62973" w14:textId="77777777" w:rsidR="002B422E" w:rsidRPr="00104259" w:rsidRDefault="002B422E">
      <w:r w:rsidRPr="00104259">
        <w:separator/>
      </w:r>
    </w:p>
  </w:endnote>
  <w:endnote w:type="continuationSeparator" w:id="0">
    <w:p w14:paraId="235BD9C1" w14:textId="77777777" w:rsidR="002B422E" w:rsidRPr="00104259" w:rsidRDefault="002B422E">
      <w:r w:rsidRPr="001042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49E6A" w14:textId="4719D722" w:rsidR="00247EE7" w:rsidRPr="00247EE7" w:rsidRDefault="00247EE7" w:rsidP="00247EE7">
    <w:pPr>
      <w:pStyle w:val="EPFooter"/>
      <w:rPr>
        <w:lang w:val="fr-FR"/>
      </w:rPr>
    </w:pPr>
    <w:r w:rsidRPr="00247EE7">
      <w:rPr>
        <w:lang w:val="fr-FR"/>
      </w:rPr>
      <w:t>PE</w:t>
    </w:r>
    <w:r w:rsidRPr="00247EE7">
      <w:rPr>
        <w:rStyle w:val="HideTWBExt"/>
        <w:lang w:val="fr-FR"/>
      </w:rPr>
      <w:t>&lt;NoPE&gt;</w:t>
    </w:r>
    <w:r w:rsidRPr="00247EE7">
      <w:rPr>
        <w:lang w:val="fr-FR"/>
      </w:rPr>
      <w:t>644.883</w:t>
    </w:r>
    <w:r w:rsidRPr="00247EE7">
      <w:rPr>
        <w:rStyle w:val="HideTWBExt"/>
        <w:lang w:val="fr-FR"/>
      </w:rPr>
      <w:t>&lt;/NoPE&gt;&lt;Version&gt;</w:t>
    </w:r>
    <w:r w:rsidRPr="00247EE7">
      <w:rPr>
        <w:lang w:val="fr-FR"/>
      </w:rPr>
      <w:t>v01-00</w:t>
    </w:r>
    <w:r w:rsidRPr="00247EE7">
      <w:rPr>
        <w:rStyle w:val="HideTWBExt"/>
        <w:lang w:val="fr-FR"/>
      </w:rPr>
      <w:t>&lt;/Version&gt;</w:t>
    </w:r>
    <w:r w:rsidRPr="00247EE7">
      <w:rPr>
        <w:lang w:val="fr-FR"/>
      </w:rPr>
      <w:tab/>
    </w:r>
    <w:r>
      <w:fldChar w:fldCharType="begin"/>
    </w:r>
    <w:r w:rsidRPr="00247EE7">
      <w:rPr>
        <w:lang w:val="fr-FR"/>
      </w:rPr>
      <w:instrText xml:space="preserve"> PAGE  \* MERGEFORMAT </w:instrText>
    </w:r>
    <w:r>
      <w:fldChar w:fldCharType="separate"/>
    </w:r>
    <w:r w:rsidR="000947AF">
      <w:rPr>
        <w:noProof/>
        <w:lang w:val="fr-FR"/>
      </w:rPr>
      <w:t>15</w:t>
    </w:r>
    <w:r>
      <w:fldChar w:fldCharType="end"/>
    </w:r>
    <w:r w:rsidRPr="00247EE7">
      <w:rPr>
        <w:lang w:val="fr-FR"/>
      </w:rPr>
      <w:t>/</w:t>
    </w:r>
    <w:r>
      <w:fldChar w:fldCharType="begin"/>
    </w:r>
    <w:r w:rsidRPr="00247EE7">
      <w:rPr>
        <w:lang w:val="fr-FR"/>
      </w:rPr>
      <w:instrText xml:space="preserve"> NUMPAGES  \* MERGEFORMAT </w:instrText>
    </w:r>
    <w:r>
      <w:fldChar w:fldCharType="separate"/>
    </w:r>
    <w:r w:rsidR="000947AF">
      <w:rPr>
        <w:noProof/>
        <w:lang w:val="fr-FR"/>
      </w:rPr>
      <w:t>15</w:t>
    </w:r>
    <w:r>
      <w:fldChar w:fldCharType="end"/>
    </w:r>
    <w:r w:rsidRPr="00247EE7">
      <w:rPr>
        <w:lang w:val="fr-FR"/>
      </w:rPr>
      <w:tab/>
    </w:r>
    <w:r w:rsidRPr="00247EE7">
      <w:rPr>
        <w:rStyle w:val="HideTWBExt"/>
        <w:lang w:val="fr-FR"/>
      </w:rPr>
      <w:t>&lt;PathFdR&gt;</w:t>
    </w:r>
    <w:r w:rsidRPr="00247EE7">
      <w:rPr>
        <w:lang w:val="fr-FR"/>
      </w:rPr>
      <w:t>PR\1194428EN.docx</w:t>
    </w:r>
    <w:r w:rsidRPr="00247EE7">
      <w:rPr>
        <w:rStyle w:val="HideTWBExt"/>
        <w:lang w:val="fr-FR"/>
      </w:rPr>
      <w:t>&lt;/PathFdR&gt;</w:t>
    </w:r>
  </w:p>
  <w:p w14:paraId="176B376A" w14:textId="60E1F831" w:rsidR="00FB52FE" w:rsidRPr="00247EE7" w:rsidRDefault="00247EE7" w:rsidP="00247EE7">
    <w:pPr>
      <w:pStyle w:val="EPFooter2"/>
      <w:rPr>
        <w:lang w:val="fr-FR"/>
      </w:rPr>
    </w:pPr>
    <w:r>
      <w:rPr>
        <w:lang w:val="fr-FR"/>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8FBF" w14:textId="56FC0637" w:rsidR="00247EE7" w:rsidRDefault="00247EE7" w:rsidP="00247EE7">
    <w:pPr>
      <w:pStyle w:val="EPFooter"/>
    </w:pPr>
    <w:r w:rsidRPr="00247EE7">
      <w:rPr>
        <w:rStyle w:val="HideTWBExt"/>
      </w:rPr>
      <w:t>&lt;PathFdR&gt;</w:t>
    </w:r>
    <w:r>
      <w:t>PR\1194428EN.docx</w:t>
    </w:r>
    <w:r w:rsidRPr="00247EE7">
      <w:rPr>
        <w:rStyle w:val="HideTWBExt"/>
      </w:rPr>
      <w:t>&lt;/PathFdR&gt;</w:t>
    </w:r>
    <w:r>
      <w:tab/>
    </w:r>
    <w:r>
      <w:fldChar w:fldCharType="begin"/>
    </w:r>
    <w:r>
      <w:instrText xml:space="preserve"> PAGE  \* MERGEFORMAT </w:instrText>
    </w:r>
    <w:r>
      <w:fldChar w:fldCharType="separate"/>
    </w:r>
    <w:r w:rsidR="000947AF">
      <w:rPr>
        <w:noProof/>
      </w:rPr>
      <w:t>15</w:t>
    </w:r>
    <w:r>
      <w:fldChar w:fldCharType="end"/>
    </w:r>
    <w:r>
      <w:t>/</w:t>
    </w:r>
    <w:fldSimple w:instr=" NUMPAGES  \* MERGEFORMAT ">
      <w:r w:rsidR="000947AF">
        <w:rPr>
          <w:noProof/>
        </w:rPr>
        <w:t>15</w:t>
      </w:r>
    </w:fldSimple>
    <w:r>
      <w:tab/>
      <w:t>PE</w:t>
    </w:r>
    <w:r w:rsidRPr="00247EE7">
      <w:rPr>
        <w:rStyle w:val="HideTWBExt"/>
      </w:rPr>
      <w:t>&lt;NoPE&gt;</w:t>
    </w:r>
    <w:r>
      <w:t>644.883</w:t>
    </w:r>
    <w:r w:rsidRPr="00247EE7">
      <w:rPr>
        <w:rStyle w:val="HideTWBExt"/>
      </w:rPr>
      <w:t>&lt;/NoPE&gt;&lt;Version&gt;</w:t>
    </w:r>
    <w:r>
      <w:t>v01-00</w:t>
    </w:r>
    <w:r w:rsidRPr="00247EE7">
      <w:rPr>
        <w:rStyle w:val="HideTWBExt"/>
      </w:rPr>
      <w:t>&lt;/Version&gt;</w:t>
    </w:r>
  </w:p>
  <w:p w14:paraId="2191E1E2" w14:textId="2F12484E" w:rsidR="00FB52FE" w:rsidRPr="00104259" w:rsidRDefault="00247EE7" w:rsidP="00247EE7">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6ECA" w14:textId="77777777" w:rsidR="00247EE7" w:rsidRDefault="00247EE7" w:rsidP="00247EE7">
    <w:pPr>
      <w:pStyle w:val="EPFooter"/>
    </w:pPr>
    <w:r w:rsidRPr="00247EE7">
      <w:rPr>
        <w:rStyle w:val="HideTWBExt"/>
      </w:rPr>
      <w:t>&lt;PathFdR&gt;</w:t>
    </w:r>
    <w:r>
      <w:t>PR\1194428EN.docx</w:t>
    </w:r>
    <w:r w:rsidRPr="00247EE7">
      <w:rPr>
        <w:rStyle w:val="HideTWBExt"/>
      </w:rPr>
      <w:t>&lt;/PathFdR&gt;</w:t>
    </w:r>
    <w:r>
      <w:tab/>
    </w:r>
    <w:r>
      <w:tab/>
      <w:t>PE</w:t>
    </w:r>
    <w:r w:rsidRPr="00247EE7">
      <w:rPr>
        <w:rStyle w:val="HideTWBExt"/>
      </w:rPr>
      <w:t>&lt;NoPE&gt;</w:t>
    </w:r>
    <w:r>
      <w:t>644.883</w:t>
    </w:r>
    <w:r w:rsidRPr="00247EE7">
      <w:rPr>
        <w:rStyle w:val="HideTWBExt"/>
      </w:rPr>
      <w:t>&lt;/NoPE&gt;&lt;Version&gt;</w:t>
    </w:r>
    <w:r>
      <w:t>v01-00</w:t>
    </w:r>
    <w:r w:rsidRPr="00247EE7">
      <w:rPr>
        <w:rStyle w:val="HideTWBExt"/>
      </w:rPr>
      <w:t>&lt;/Version&gt;</w:t>
    </w:r>
  </w:p>
  <w:p w14:paraId="57330328" w14:textId="6026C4CB" w:rsidR="00FB52FE" w:rsidRPr="00104259" w:rsidRDefault="00247EE7" w:rsidP="00247EE7">
    <w:pPr>
      <w:pStyle w:val="EPFooter2"/>
    </w:pPr>
    <w:r>
      <w:t>EN</w:t>
    </w:r>
    <w:r>
      <w:tab/>
    </w:r>
    <w:r w:rsidRPr="00247EE7">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F2000" w14:textId="77777777" w:rsidR="002B422E" w:rsidRPr="00104259" w:rsidRDefault="002B422E">
      <w:r w:rsidRPr="00104259">
        <w:separator/>
      </w:r>
    </w:p>
  </w:footnote>
  <w:footnote w:type="continuationSeparator" w:id="0">
    <w:p w14:paraId="0AD29E82" w14:textId="77777777" w:rsidR="002B422E" w:rsidRPr="00104259" w:rsidRDefault="002B422E">
      <w:r w:rsidRPr="00104259">
        <w:continuationSeparator/>
      </w:r>
    </w:p>
  </w:footnote>
  <w:footnote w:id="1">
    <w:p w14:paraId="390340E3" w14:textId="77777777" w:rsidR="00754BA0" w:rsidRPr="00104259" w:rsidRDefault="00754BA0">
      <w:pPr>
        <w:pStyle w:val="FootnoteText"/>
      </w:pPr>
      <w:r w:rsidRPr="00104259">
        <w:rPr>
          <w:rStyle w:val="FootnoteReference"/>
        </w:rPr>
        <w:footnoteRef/>
      </w:r>
      <w:r w:rsidRPr="00104259">
        <w:t xml:space="preserve"> OJ C ... / Not yet published in the Official Journal.</w:t>
      </w:r>
    </w:p>
  </w:footnote>
  <w:footnote w:id="2">
    <w:p w14:paraId="4CDD0DD2" w14:textId="77777777" w:rsidR="0078565F" w:rsidRDefault="0078565F" w:rsidP="0078565F">
      <w:pPr>
        <w:spacing w:before="100" w:beforeAutospacing="1" w:after="100" w:afterAutospacing="1"/>
        <w:rPr>
          <w:rFonts w:ascii="Arial" w:eastAsia="Calibri" w:hAnsi="Arial" w:cs="Arial"/>
          <w:sz w:val="19"/>
          <w:szCs w:val="19"/>
          <w:lang w:val="fr-FR"/>
        </w:rPr>
      </w:pPr>
      <w:r>
        <w:rPr>
          <w:rStyle w:val="FootnoteReference"/>
        </w:rPr>
        <w:footnoteRef/>
      </w:r>
      <w:r>
        <w:rPr>
          <w:rFonts w:eastAsia="Calibri"/>
          <w:sz w:val="20"/>
          <w:lang w:val="fr-FR"/>
        </w:rPr>
        <w:t xml:space="preserve"> </w:t>
      </w:r>
      <w:r>
        <w:rPr>
          <w:rFonts w:eastAsia="Calibri"/>
          <w:sz w:val="20"/>
          <w:lang w:val="fr-FR"/>
        </w:rPr>
        <w:tab/>
      </w:r>
      <w:r w:rsidRPr="0078565F">
        <w:rPr>
          <w:rFonts w:eastAsia="Calibri"/>
          <w:sz w:val="20"/>
          <w:lang w:val="fr-FR"/>
        </w:rPr>
        <w:t>Direct Actions T339/16 (Ville de Paris/Commission), T-352/16 (Ville de Bruxelles/Commission) and T-391/16 (Ayuntamiento de Madrid/Commission)</w:t>
      </w:r>
    </w:p>
    <w:p w14:paraId="57680475" w14:textId="77777777" w:rsidR="0078565F" w:rsidRDefault="0078565F" w:rsidP="0078565F">
      <w:pPr>
        <w:pStyle w:val="FootnoteText"/>
        <w:rPr>
          <w:rFonts w:eastAsiaTheme="minorHAnsi"/>
          <w:lang w:val="fr-FR"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20F4" w14:textId="77777777" w:rsidR="00247EE7" w:rsidRDefault="00247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A85C" w14:textId="77777777" w:rsidR="00247EE7" w:rsidRDefault="00247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60A2" w14:textId="77777777" w:rsidR="00247EE7" w:rsidRDefault="00247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2MNU" w:val=" 1"/>
    <w:docVar w:name="AMACTMNU" w:val=" 1"/>
    <w:docVar w:name="CJMNU" w:val="1"/>
    <w:docVar w:name="COMKEY" w:val="ENVI"/>
    <w:docVar w:name="CopyToNetwork" w:val="-1"/>
    <w:docVar w:name="CVar" w:val="1"/>
    <w:docVar w:name="DOCMNU" w:val=" 2"/>
    <w:docVar w:name="EPSTATMNU" w:val=" 5"/>
    <w:docVar w:name="iNoAmend" w:val="1"/>
    <w:docVar w:name="INSTITUTIONSMNU" w:val=" 1"/>
    <w:docVar w:name="JURI1MNU" w:val=" 2"/>
    <w:docVar w:name="JURI2MNU" w:val=" 2"/>
    <w:docVar w:name="LastEditedSection" w:val=" 1"/>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405556 HideTWBExt;}{\*\cs18 \additive \v\f1\fs20\cf15 _x000d__x000a_\spriority0 \styrsid16405556 HideTWBInt;}{\s19\ql \li0\ri0\sa120\nowidctlpar\wrapdefault\aspalpha\aspnum\faauto\adjustright\rin0\lin0\itap0 \rtlch\fcs1 \af0\afs20\alang1025 \ltrch\fcs0 \fs24\lang2057\langfe2057\cgrid\langnp2057\langfenp2057 _x000d__x000a_\sbasedon0 \snext19 \spriority0 \styrsid16405556 Normal6a;}{\s20\ql \li0\ri0\nowidctlpar\wrapdefault\aspalpha\aspnum\faauto\adjustright\rin0\lin0\itap0 \rtlch\fcs1 \af0\afs20\alang1025 \ltrch\fcs0 \b\fs24\lang2057\langfe2057\cgrid\langnp2057\langfenp2057 _x000d__x000a_\sbasedon0 \snext20 \spriority0 \styrsid16405556 NormalBold;}{\s21\ql \li0\ri0\sa240\nowidctlpar\wrapdefault\aspalpha\aspnum\faauto\adjustright\rin0\lin0\itap0 \rtlch\fcs1 \af0\afs20\alang1025 \ltrch\fcs0 _x000d__x000a_\i\fs24\lang2057\langfe2057\cgrid\langnp2057\langfenp2057 \sbasedon0 \snext21 \spriority0 \styrsid16405556 AmJustText;}{\s22\qc \li0\ri0\sb240\sa240\nowidctlpar\wrapdefault\aspalpha\aspnum\faauto\adjustright\rin0\lin0\itap0 \rtlch\fcs1 _x000d__x000a_\af0\afs20\alang1025 \ltrch\fcs0 \i\fs24\lang2057\langfe2057\cgrid\langnp2057\langfenp2057 \sbasedon0 \snext22 \spriority0 \styrsid16405556 AmCrossRef;}{_x000d__x000a_\s23\qc \li0\ri0\sb240\sa240\keepn\nowidctlpar\wrapdefault\aspalpha\aspnum\faauto\adjustright\rin0\lin0\itap0 \rtlch\fcs1 \af0\afs20\alang1025 \ltrch\fcs0 \i\fs24\lang2057\langfe2057\cgrid\langnp2057\langfenp2057 _x000d__x000a_\sbasedon0 \snext21 \spriority0 \styrsid16405556 AmJustTitle;}{\s24\qr \li0\ri0\sb240\sa240\nowidctlpar\wrapdefault\aspalpha\aspnum\faauto\adjustright\rin0\lin0\itap0 \rtlch\fcs1 \af0\afs20\alang1025 \ltrch\fcs0 _x000d__x000a_\fs24\lang2057\langfe2057\cgrid\langnp2057\langfenp2057 \sbasedon0 \snext24 \spriority0 \styrsid16405556 AmOrLang;}{\s25\qc \li0\ri0\sa240\nowidctlpar\wrapdefault\aspalpha\aspnum\faauto\adjustright\rin0\lin0\itap0 \rtlch\fcs1 \af0\afs20\alang1025 _x000d__x000a_\ltrch\fcs0 \i\fs24\lang2057\langfe2057\cgrid\langnp2057\langfenp2057 \sbasedon0 \snext25 \spriority0 \styrsid16405556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405556 AmNumberTabs;}{\s27\ql \li0\ri0\sb240\nowidctlpar\wrapdefault\aspalpha\aspnum\faauto\adjustright\rin0\lin0\itap0 \rtlch\fcs1 _x000d__x000a_\af0\afs20\alang1025 \ltrch\fcs0 \b\fs24\lang2057\langfe2057\cgrid\langnp2057\langfenp2057 \sbasedon0 \snext27 \spriority0 \styrsid16405556 NormalBold12b;}}{\*\rsidtbl \rsid24658\rsid223860\rsid735077\rsid1718133\rsid2892074\rsid3565327\rsid4666813_x000d__x000a_\rsid6641733\rsid7823322\rsid8660365\rsid9636012\rsid10377208\rsid11215221\rsid11549030\rsid12154954\rsid14382809\rsid14424199\rsid15204470\rsid15285974\rsid15950462\rsid16324206\rsid16405556\rsid16662270}{\mmathPr\mmathFont34\mbrkBin0\mbrkBinSub0_x000d__x000a_\msmallFrac0\mdispDef1\mlMargin0\mrMargin0\mdefJc1\mwrapIndent1440\mintLim0\mnaryLim1}{\info{\author KUGI Dusanka}{\operator KUGI Dusanka}{\creatim\yr2019\mo12\dy5\hr9\min56}{\revtim\yr2019\mo12\dy5\hr9\min56}{\version1}{\edmins0}{\nofpages1}{\nofwords56}_x000d__x000a_{\nofchars644}{\nofcharsws647}{\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405556\newtblstyruls\nogrowautofit\usenormstyforlist\noindnmbrts\felnbrelev\nocxsptable\indrlsweleven\noafcnsttbl\afelev\utinl\hwelev\spltpgpar\notcvasp\notbrkcnstfrctbl\notvatxbx\krnprsnet\cachedcolbal _x000d__x000a_\nouicompat \fet0{\*\wgrffmtfilter 013f}\nofeaturethrottle1\ilfomacatclnup0{\*\template C:\\Users\\dkugi\\AppData\\Local\\Temp\\Blank1.dotx}{\*\ftnsep \ltrpar \pard\plain \ltrpar_x000d__x000a_\ql \li0\ri0\widctlpar\wrapdefault\aspalpha\aspnum\faauto\adjustright\rin0\lin0\itap0 \rtlch\fcs1 \af0\afs20\alang1025 \ltrch\fcs0 \fs24\lang2057\langfe2057\cgrid\langnp2057\langfenp2057 {\rtlch\fcs1 \af0 \ltrch\fcs0 \insrsid8660365 \chftnsep _x000d__x000a_\par }}{\*\ftnsepc \ltrpar \pard\plain \ltrpar\ql \li0\ri0\widctlpar\wrapdefault\aspalpha\aspnum\faauto\adjustright\rin0\lin0\itap0 \rtlch\fcs1 \af0\afs20\alang1025 \ltrch\fcs0 \fs24\lang2057\langfe2057\cgrid\langnp2057\langfenp2057 {\rtlch\fcs1 \af0 _x000d__x000a_\ltrch\fcs0 \insrsid8660365 \chftnsepc _x000d__x000a_\par }}{\*\aftnsep \ltrpar \pard\plain \ltrpar\ql \li0\ri0\widctlpar\wrapdefault\aspalpha\aspnum\faauto\adjustright\rin0\lin0\itap0 \rtlch\fcs1 \af0\afs20\alang1025 \ltrch\fcs0 \fs24\lang2057\langfe2057\cgrid\langnp2057\langfenp2057 {\rtlch\fcs1 \af0 _x000d__x000a_\ltrch\fcs0 \insrsid8660365 \chftnsep _x000d__x000a_\par }}{\*\aftnsepc \ltrpar \pard\plain \ltrpar\ql \li0\ri0\widctlpar\wrapdefault\aspalpha\aspnum\faauto\adjustright\rin0\lin0\itap0 \rtlch\fcs1 \af0\afs20\alang1025 \ltrch\fcs0 \fs24\lang2057\langfe2057\cgrid\langnp2057\langfenp2057 {\rtlch\fcs1 \af0 _x000d__x000a_\ltrch\fcs0 \insrsid866036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6405556 \rtlch\fcs1 _x000d__x000a_\af0\afs20\alang1025 \ltrch\fcs0 \b\fs24\lang2057\langfe2057\cgrid\langnp2057\langfenp2057 {\rtlch\fcs1 \af0 \ltrch\fcs0 \cs17\b0\v\fs20\cf9\loch\af1\hich\af1\dbch\af31501\insrsid16405556\charrsid2834990 {\*\bkmkstart restart}_x000d__x000a_\hich\af1\dbch\af31501\loch\f1 &lt;Amend&gt;}{\rtlch\fcs1 \af0 \ltrch\fcs0 \insrsid16405556\charrsid2834990 Amendment\tab \tab }{\rtlch\fcs1 \af0 \ltrch\fcs0 \cs17\b0\v\fs20\cf9\loch\af1\hich\af1\dbch\af31501\insrsid16405556\charrsid2834990 _x000d__x000a_\hich\af1\dbch\af31501\loch\f1 &lt;NumAm&gt;}{\rtlch\fcs1 \af0 \ltrch\fcs0 \insrsid16405556\charrsid2834990 #}{\rtlch\fcs1 \af1 \ltrch\fcs0 \cs18\v\f1\fs20\cf15\insrsid16405556\charrsid2834990 ENMIENDA@NRAM@}{\rtlch\fcs1 \af0 \ltrch\fcs0 _x000d__x000a_\insrsid16405556\charrsid2834990 #}{\rtlch\fcs1 \af0 \ltrch\fcs0 \cs17\b0\v\fs20\cf9\loch\af1\hich\af1\dbch\af31501\insrsid16405556\charrsid2834990 \hich\af1\dbch\af31501\loch\f1 &lt;/NumAm&gt;}{\rtlch\fcs1 \af0 \ltrch\fcs0 \insrsid16405556\charrsid2834990 _x000d__x000a__x000d__x000a_\par }\pard\plain \ltrpar\s27\ql \li0\ri0\sb240\keepn\nowidctlpar\wrapdefault\aspalpha\aspnum\faauto\adjustright\rin0\lin0\itap0\pararsid16405556 \rtlch\fcs1 \af0\afs20\alang1025 \ltrch\fcs0 \b\fs24\lang2057\langfe2057\cgrid\langnp2057\langfenp2057 {_x000d__x000a_\rtlch\fcs1 \af0 \ltrch\fcs0 \cs17\b0\v\fs20\cf9\loch\af1\hich\af1\dbch\af31501\insrsid16405556\charrsid2834990 \hich\af1\dbch\af31501\loch\f1 &lt;DocAmend&gt;}{\rtlch\fcs1 \af0 \ltrch\fcs0 \insrsid16405556\charrsid2834990 Proposal for a #}{\rtlch\fcs1 \af1 _x000d__x000a_\ltrch\fcs0 \cs18\v\f1\fs20\cf15\insrsid16405556\charrsid2834990 MNU[DOC1][DOC2][DOC3]@DOCMSG@DOCMNU}{\rtlch\fcs1 \af0 \ltrch\fcs0 \insrsid16405556\charrsid2834990 ##}{\rtlch\fcs1 \af1 \ltrch\fcs0 \cs18\v\f1\fs20\cf15\insrsid16405556\charrsid2834990 _x000d__x000a_MNU[AMACTYES][NOTAPP]@CHOICE@AMACTMNU}{\rtlch\fcs1 \af0 \ltrch\fcs0 \insrsid16405556\charrsid2834990 #}{\rtlch\fcs1 \af0 \ltrch\fcs0 \cs17\b0\v\fs20\cf9\loch\af1\hich\af1\dbch\af31501\insrsid16405556\charrsid2834990 \hich\af1\dbch\af31501\loch\f1 _x000d__x000a_&lt;/DocAmend&gt;}{\rtlch\fcs1 \af0 \ltrch\fcs0 \insrsid16405556\charrsid2834990 _x000d__x000a_\par }\pard\plain \ltrpar\s20\ql \li0\ri0\keepn\nowidctlpar\wrapdefault\aspalpha\aspnum\faauto\adjustright\rin0\lin0\itap0\pararsid16405556 \rtlch\fcs1 \af0\afs20\alang1025 \ltrch\fcs0 \b\fs24\lang2057\langfe2057\cgrid\langnp2057\langfenp2057 {\rtlch\fcs1 _x000d__x000a_\af0 \ltrch\fcs0 \cs17\b0\v\fs20\cf9\loch\af1\hich\af1\dbch\af31501\insrsid16405556\charrsid2834990 \hich\af1\dbch\af31501\loch\f1 &lt;Article&gt;}{\rtlch\fcs1 \af0 \ltrch\fcs0 \insrsid16405556\charrsid2834990 #}{\rtlch\fcs1 \af1 \ltrch\fcs0 _x000d__x000a_\cs18\v\f1\fs20\cf15\insrsid16405556\charrsid2834990 MNU[AMACTPARTYES][AMACTPARTNO]@CHOICE@AMACTMNU}{\rtlch\fcs1 \af0 \ltrch\fcs0 \insrsid16405556\charrsid2834990 #}{\rtlch\fcs1 \af0 \ltrch\fcs0 _x000d__x000a_\cs17\b0\v\fs20\cf9\loch\af1\hich\af1\dbch\af31501\insrsid16405556\charrsid2834990 \hich\af1\dbch\af31501\loch\f1 &lt;/Article&gt;}{\rtlch\fcs1 \af0 \ltrch\fcs0 \insrsid16405556\charrsid2834990 _x000d__x000a_\par }\pard\plain \ltrpar\ql \li0\ri0\keepn\widctlpar\wrapdefault\aspalpha\aspnum\faauto\adjustright\rin0\lin0\itap0\pararsid16405556 \rtlch\fcs1 \af0\afs20\alang1025 \ltrch\fcs0 \fs24\lang2057\langfe2057\cgrid\langnp2057\langfenp2057 {\rtlch\fcs1 \af0 _x000d__x000a_\ltrch\fcs0 \cs17\v\fs20\cf9\loch\af1\hich\af1\dbch\af31501\insrsid16405556\charrsid2834990 \hich\af1\dbch\af31501\loch\f1 &lt;DocAmend2&gt;&lt;OptDel&gt;}{\rtlch\fcs1 \af0 \ltrch\fcs0 \insrsid16405556\charrsid2834990 #}{\rtlch\fcs1 \af1 \ltrch\fcs0 _x000d__x000a_\cs18\v\f1\fs20\cf15\insrsid16405556\charrsid2834990 MNU[OPTNRACTYES][NOTAPP]@CHOICE@AMACTMNU}{\rtlch\fcs1 \af0 \ltrch\fcs0 \insrsid16405556\charrsid2834990 #}{\rtlch\fcs1 \af0 \ltrch\fcs0 _x000d__x000a_\cs17\v\fs20\cf9\loch\af1\hich\af1\dbch\af31501\insrsid16405556\charrsid2834990 \hich\af1\dbch\af31501\loch\f1 &lt;/OptDel&gt;&lt;/DocAmend2&gt;}{\rtlch\fcs1 \af0 \ltrch\fcs0 \insrsid16405556\charrsid2834990 _x000d__x000a_\par }\pard \ltrpar\ql \li0\ri0\widctlpar\wrapdefault\aspalpha\aspnum\faauto\adjustright\rin0\lin0\itap0\pararsid16405556 {\rtlch\fcs1 \af0 \ltrch\fcs0 \cs17\v\fs20\cf9\loch\af1\hich\af1\dbch\af31501\insrsid16405556\charrsid2834990 _x000d__x000a_\hich\af1\dbch\af31501\loch\f1 &lt;Article2&gt;&lt;OptDel&gt;}{\rtlch\fcs1 \af0 \ltrch\fcs0 \insrsid16405556\charrsid2834990 #}{\rtlch\fcs1 \af1 \ltrch\fcs0 \cs18\v\f1\fs20\cf15\insrsid16405556\charrsid2834990 MNU[OPTACTPARTYES][NOTAPP]@CHOICE@AMACTMNU}{\rtlch\fcs1 _x000d__x000a_\af0 \ltrch\fcs0 \insrsid16405556\charrsid2834990 #}{\rtlch\fcs1 \af0 \ltrch\fcs0 \cs17\v\fs20\cf9\loch\af1\hich\af1\dbch\af31501\insrsid16405556\charrsid2834990 \hich\af1\dbch\af31501\loch\f1 &lt;/OptDel&gt;&lt;/Article2&gt;}{\rtlch\fcs1 \af0 \ltrch\fcs0 _x000d__x000a_\insrsid16405556\charrsid2834990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insrsid16405556\charrsid2834990 \cell }\pard\plain \ltrpar\ql \li0\ri0\widctlpar\intbl\wrapdefault\aspalpha\aspnum\faauto\adjustright\rin0\lin0 \rtlch\fcs1 _x000d__x000a_\af0\afs20\alang1025 \ltrch\fcs0 \fs24\lang2057\langfe2057\cgrid\langnp2057\langfenp2057 {\rtlch\fcs1 \af0 \ltrch\fcs0 \insrsid16405556\charrsid2834990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16405556\charrsid2834990 #}{\rtlch\fcs1 \af1 \ltrch\fcs0 \cs18\v\f1\fs20\cf15\insrsid16405556\charrsid2834990 MNU[OPTLEFTAMACT][LEFTPROP]@CHOICE@AMACTMNU}{\rtlch\fcs1 \af0 \ltrch\fcs0 \insrsid16405556\charrsid2834990 #\cell Amendment\cell _x000d__x000a_}\pard\plain \ltrpar\ql \li0\ri0\widctlpar\intbl\wrapdefault\aspalpha\aspnum\faauto\adjustright\rin0\lin0 \rtlch\fcs1 \af0\afs20\alang1025 \ltrch\fcs0 \fs24\lang2057\langfe2057\cgrid\langnp2057\langfenp2057 {\rtlch\fcs1 \af0 \ltrch\fcs0 _x000d__x000a_\insrsid16405556\charrsid2834990 \trowd \irow1\irowband1\ltrrow\ts11\trqc\trgaph340\trleft-340\trftsWidth3\trwWidth9752\trftsWidthB3\trpaddl340\trpaddr340\trpaddfl3\trpaddft3\trpaddfb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9\ql \li0\ri0\sa120\nowidctlpar\intbl\wrapdefault\aspalpha\aspnum\faauto\adjustright\rin0\lin0\pararsid2517430 \rtlch\fcs1 \af0\afs20\alang1025 \ltrch\fcs0 \fs24\lang2057\langfe2057\cgrid\langnp2057\langfenp2057 {_x000d__x000a_\rtlch\fcs1 \af0 \ltrch\fcs0 \insrsid16405556\charrsid2834990 ##\cell ##}{\rtlch\fcs1 \af0\afs24 \ltrch\fcs0 \insrsid16405556\charrsid2834990 \cell }\pard\plain \ltrpar\ql \li0\ri0\widctlpar\intbl\wrapdefault\aspalpha\aspnum\faauto\adjustright\rin0\lin0 _x000d__x000a_\rtlch\fcs1 \af0\afs20\alang1025 \ltrch\fcs0 \fs24\lang2057\langfe2057\cgrid\langnp2057\langfenp2057 {\rtlch\fcs1 \af0 \ltrch\fcs0 \insrsid16405556\charrsid2834990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405556 \rtlch\fcs1 \af0\afs20\alang1025 \ltrch\fcs0 \fs24\lang2057\langfe2057\cgrid\langnp2057\langfenp2057 {\rtlch\fcs1 \af0 \ltrch\fcs0 _x000d__x000a_\insrsid16405556\charrsid2834990 Or. }{\rtlch\fcs1 \af0 \ltrch\fcs0 \cs17\v\fs20\cf9\loch\af1\hich\af1\dbch\af31501\insrsid16405556\charrsid2834990 \hich\af1\dbch\af31501\loch\f1 &lt;Original&gt;}{\rtlch\fcs1 \af0 \ltrch\fcs0 \insrsid16405556\charrsid2834990 #}_x000d__x000a_{\rtlch\fcs1 \af1 \ltrch\fcs0 \cs18\v\f1\fs20\cf15\insrsid16405556\charrsid2834990 MNU[ORLANGONE][ORLANGMORE]@CHOICE@ORLANGMNU}{\rtlch\fcs1 \af0 \ltrch\fcs0 \insrsid16405556\charrsid2834990 #}{\rtlch\fcs1 \af0 \ltrch\fcs0 _x000d__x000a_\cs17\v\fs20\cf9\loch\af1\hich\af1\dbch\af31501\insrsid16405556\charrsid2834990 \hich\af1\dbch\af31501\loch\f1 &lt;/Original&gt;}{\rtlch\fcs1 \af0 \ltrch\fcs0 \insrsid16405556\charrsid2834990 _x000d__x000a_\par }\pard\plain \ltrpar\s22\qc \li0\ri0\sb240\sa240\nowidctlpar\wrapdefault\aspalpha\aspnum\faauto\adjustright\rin0\lin0\itap0\pararsid16405556 \rtlch\fcs1 \af0\afs20\alang1025 \ltrch\fcs0 \i\fs24\lang2057\langfe2057\cgrid\langnp2057\langfenp2057 {_x000d__x000a_\rtlch\fcs1 \af0 \ltrch\fcs0 \cs17\i0\v\fs20\cf9\loch\af1\hich\af1\dbch\af31501\insrsid16405556\charrsid2834990 \hich\af1\dbch\af31501\loch\f1 &lt;OptDel&gt;}{\rtlch\fcs1 \af0 \ltrch\fcs0 \insrsid16405556\charrsid2834990 #}{\rtlch\fcs1 \af1 \ltrch\fcs0 _x000d__x000a_\cs18\v\f1\fs20\cf15\insrsid16405556\charrsid2834990 MNU[CROSSREFNO][CROSSREFYES]@CHOICE@}{\rtlch\fcs1 \af0 \ltrch\fcs0 \insrsid16405556\charrsid2834990 #}{\rtlch\fcs1 \af0 \ltrch\fcs0 _x000d__x000a_\cs17\i0\v\fs20\cf9\loch\af1\hich\af1\dbch\af31501\insrsid16405556\charrsid2834990 \hich\af1\dbch\af31501\loch\f1 &lt;/OptDel&gt;}{\rtlch\fcs1 \af0 \ltrch\fcs0 \insrsid16405556\charrsid2834990 _x000d__x000a_\par }\pard\plain \ltrpar\s23\qc \li0\ri0\sb240\sa240\keepn\nowidctlpar\wrapdefault\aspalpha\aspnum\faauto\adjustright\rin0\lin0\itap0\pararsid16405556 \rtlch\fcs1 \af0\afs20\alang1025 \ltrch\fcs0 \i\fs24\lang2057\langfe2057\cgrid\langnp2057\langfenp2057 {_x000d__x000a_\rtlch\fcs1 \af0 \ltrch\fcs0 \cs17\i0\v\fs20\cf9\loch\af1\hich\af1\dbch\af31501\insrsid16405556\charrsid2834990 \hich\af1\dbch\af31501\loch\f1 &lt;TitreJust&gt;}{\rtlch\fcs1 \af0 \ltrch\fcs0 \insrsid16405556\charrsid2834990 Justification}{\rtlch\fcs1 \af0 _x000d__x000a_\ltrch\fcs0 \cs17\i0\v\fs20\cf9\loch\af1\hich\af1\dbch\af31501\insrsid16405556\charrsid2834990 \hich\af1\dbch\af31501\loch\f1 &lt;/TitreJust&gt;}{\rtlch\fcs1 \af0 \ltrch\fcs0 \insrsid16405556\charrsid2834990 _x000d__x000a_\par }\pard\plain \ltrpar\s21\ql \li0\ri0\sa240\nowidctlpar\wrapdefault\aspalpha\aspnum\faauto\adjustright\rin0\lin0\itap0\pararsid16405556 \rtlch\fcs1 \af0\afs20\alang1025 \ltrch\fcs0 \i\fs24\lang2057\langfe2057\cgrid\langnp2057\langfenp2057 {\rtlch\fcs1 _x000d__x000a_\af0 \ltrch\fcs0 \cs17\i0\v\fs20\cf9\loch\af1\hich\af1\dbch\af31501\insrsid16405556\charrsid2834990 \hich\af1\dbch\af31501\loch\f1 &lt;OptDelPrev&gt;}{\rtlch\fcs1 \af0 \ltrch\fcs0 \insrsid16405556\charrsid2834990 #}{\rtlch\fcs1 \af1 \ltrch\fcs0 _x000d__x000a_\cs18\v\f1\fs20\cf15\insrsid16405556\charrsid2834990 MNU[TEXTJUSTYES][TEXTJUSTNO]@CHOICE@}{\rtlch\fcs1 \af0 \ltrch\fcs0 \insrsid16405556\charrsid2834990 #}{\rtlch\fcs1 \af0 \ltrch\fcs0 _x000d__x000a_\cs17\i0\v\fs20\cf9\loch\af1\hich\af1\dbch\af31501\insrsid16405556\charrsid2834990 \hich\af1\dbch\af31501\loch\f1 &lt;/OptDelPrev&gt;}{\rtlch\fcs1 \af0 \ltrch\fcs0 \insrsid16405556\charrsid2834990 _x000d__x000a_\par }\pard\plain \ltrpar\ql \li0\ri0\widctlpar\wrapdefault\aspalpha\aspnum\faauto\adjustright\rin0\lin0\itap0\pararsid16405556 \rtlch\fcs1 \af0\afs20\alang1025 \ltrch\fcs0 \fs24\lang2057\langfe2057\cgrid\langnp2057\langfenp2057 {\rtlch\fcs1 \af0 \ltrch\fcs0 _x000d__x000a_\cs17\v\fs20\cf9\loch\af1\hich\af1\dbch\af31501\insrsid16405556\charrsid2834990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5_x000d__x000a_8ed349ab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615661 HideTWBExt;}{\s16\ql \li0\ri0\sa120\nowidctlpar\wrapdefault\aspalpha\aspnum\faauto\adjustright\rin0\lin0\itap0 \rtlch\fcs1 \af0\afs20\alang1025 \ltrch\fcs0 _x000d__x000a_\fs24\lang2057\langfe2057\cgrid\langnp2057\langfenp2057 \sbasedon0 \snext16 \spriority0 \styrsid11615661 Normal6a;}{\s17\ql \li0\ri0\nowidctlpar\wrapdefault\aspalpha\aspnum\faauto\adjustright\rin0\lin0\itap0 \rtlch\fcs1 \af0\afs20\alang1025 \ltrch\fcs0 _x000d__x000a_\b\fs24\lang2057\langfe2057\cgrid\langnp2057\langfenp2057 \sbasedon0 \snext17 \spriority0 \styrsid11615661 NormalBold;}{\s18\ql \li0\ri0\sa240\nowidctlpar\wrapdefault\aspalpha\aspnum\faauto\adjustright\rin0\lin0\itap0 \rtlch\fcs1 \af0\afs20\alang1025 _x000d__x000a_\ltrch\fcs0 \i\fs24\lang2057\langfe2057\cgrid\langnp2057\langfenp2057 \sbasedon0 \snext18 \spriority0 \styrsid11615661 AmJustText;}{\s19\qc \li0\ri0\sb240\sa240\nowidctlpar\wrapdefault\aspalpha\aspnum\faauto\adjustright\rin0\lin0\itap0 \rtlch\fcs1 _x000d__x000a_\af0\afs20\alang1025 \ltrch\fcs0 \i\fs24\lang2057\langfe2057\cgrid\langnp2057\langfenp2057 \sbasedon0 \snext19 \spriority0 \styrsid11615661 AmCrossRef;}{_x000d__x000a_\s20\qc \li0\ri0\sb240\sa240\keepn\nowidctlpar\wrapdefault\aspalpha\aspnum\faauto\adjustright\rin0\lin0\itap0 \rtlch\fcs1 \af0\afs20\alang1025 \ltrch\fcs0 \i\fs24\lang2057\langfe2057\cgrid\langnp2057\langfenp2057 _x000d__x000a_\sbasedon0 \snext18 \spriority0 \styrsid11615661 AmJustTitle;}{\s21\qr \li0\ri0\sb240\sa240\nowidctlpar\wrapdefault\aspalpha\aspnum\faauto\adjustright\rin0\lin0\itap0 \rtlch\fcs1 \af0\afs20\alang1025 \ltrch\fcs0 _x000d__x000a_\fs24\lang2057\langfe2057\cgrid\langnp2057\langfenp2057 \sbasedon0 \snext21 \spriority0 \styrsid11615661 AmOrLang;}{\s22\qc \li0\ri0\sa240\nowidctlpar\wrapdefault\aspalpha\aspnum\faauto\adjustright\rin0\lin0\itap0 \rtlch\fcs1 \af0\afs20\alang1025 _x000d__x000a_\ltrch\fcs0 \i\fs24\lang2057\langfe2057\cgrid\langnp2057\langfenp2057 \sbasedon0 \snext22 \spriority0 \styrsid11615661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1615661 AmNumberTabs;}{\s24\ql \li0\ri0\sb240\nowidctlpar\wrapdefault\aspalpha\aspnum\faauto\adjustright\rin0\lin0\itap0 \rtlch\fcs1 _x000d__x000a_\af0\afs20\alang1025 \ltrch\fcs0 \b\fs24\lang2057\langfe2057\cgrid\langnp2057\langfenp2057 \sbasedon0 \snext24 \spriority0 \styrsid11615661 NormalBold12b;}}{\*\rsidtbl \rsid24658\rsid358857\rsid735077\rsid787282\rsid2101837\rsid2892074\rsid3622648_x000d__x000a_\rsid4666813\rsid5708216\rsid6641733\rsid7553164\rsid8465581\rsid8681905\rsid8724649\rsid9636012\rsid9862312\rsid11215221\rsid11370291\rsid11434737\rsid11607138\rsid11615661\rsid11824949\rsid12154954\rsid14424199\rsid15204470\rsid15285974\rsid15535219_x000d__x000a_\rsid15950462\rsid16324206\rsid16662270}{\mmathPr\mmathFont34\mbrkBin0\mbrkBinSub0\msmallFrac0\mdispDef1\mlMargin0\mrMargin0\mdefJc1\mwrapIndent1440\mintLim0\mnaryLim1}{\info{\author FELIX Karina}{\operator FELIX Karina}_x000d__x000a_{\creatim\yr2019\mo7\dy3\hr20\min19}{\revtim\yr2019\mo7\dy3\hr20\min19}{\version1}{\edmins0}{\nofpages1}{\nofwords32}{\nofchars369}{\*\company European Parliament}{\nofcharsws373}{\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1566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10183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101837 \chftnsepc _x000d__x000a_\par }}{\*\aftnsep \ltrpar \pard\plain \ltrpar\ql \li0\ri0\widctlpar\wrapdefault\aspalpha\aspnum\faauto\adjustright\rin0\lin0\itap0 \rtlch\fcs1 \af0\afs20\alang1025 \ltrch\fcs0 \fs24\lang2057\langfe2057\cgrid\langnp2057\langfenp2057 {\rtlch\fcs1 \af0 _x000d__x000a_\ltrch\fcs0 \insrsid2101837 \chftnsep _x000d__x000a_\par }}{\*\aftnsepc \ltrpar \pard\plain \ltrpar\ql \li0\ri0\widctlpar\wrapdefault\aspalpha\aspnum\faauto\adjustright\rin0\lin0\itap0 \rtlch\fcs1 \af0\afs20\alang1025 \ltrch\fcs0 \fs24\lang2057\langfe2057\cgrid\langnp2057\langfenp2057 {\rtlch\fcs1 \af0 _x000d__x000a_\ltrch\fcs0 \insrsid210183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1615661 \rtlch\fcs1 \af0\afs20\alang1025 \ltrch\fcs0 \b\fs24\lang2057\langfe2057\cgrid\langnp2057\langfenp2057 {\rtlch\fcs1 \af0 \ltrch\fcs0 \cs15\b0\v\f1\fs20\cf9\lang1030\langfe2057\langnp1030\insrsid11615661\charrsid5141309 _x000d__x000a_{\*\bkmkstart restart}&lt;Amend&gt;}{\rtlch\fcs1 \af0 \ltrch\fcs0 \lang1030\langfe2057\langnp1030\insrsid11615661\charrsid5141309 [ZAMENDMENT]\tab \tab }{\rtlch\fcs1 \af0 \ltrch\fcs0 _x000d__x000a_\cs15\b0\v\f1\fs20\cf9\lang1030\langfe2057\langnp1030\insrsid11615661\charrsid5141309 &lt;NumAm&gt;}{\rtlch\fcs1 \af0 \ltrch\fcs0 \lang1030\langfe2057\langnp1030\insrsid11615661\charrsid5141309 [ZNRAM]}{\rtlch\fcs1 \af0 \ltrch\fcs0 _x000d__x000a_\cs15\b0\v\f1\fs20\cf9\lang1030\langfe2057\langnp1030\insrsid11615661\charrsid5141309 &lt;/NumAm&gt;}{\rtlch\fcs1 \af0 \ltrch\fcs0 \lang1030\langfe2057\langnp1030\insrsid11615661\charrsid5141309 _x000d__x000a_\par }\pard\plain \ltrpar\s24\ql \li0\ri0\sb240\keepn\nowidctlpar\wrapdefault\aspalpha\aspnum\faauto\adjustright\rin0\lin0\itap0\pararsid11615661 \rtlch\fcs1 \af0\afs20\alang1025 \ltrch\fcs0 \b\fs24\lang2057\langfe2057\cgrid\langnp2057\langfenp2057 {_x000d__x000a_\rtlch\fcs1 \af0 \ltrch\fcs0 \cs15\b0\v\f1\fs20\cf9\lang1030\langfe2057\langnp1030\insrsid11615661\charrsid5141309 &lt;DocAmend&gt;}{\rtlch\fcs1 \af0 \ltrch\fcs0 \lang1030\langfe2057\langnp1030\insrsid11615661\charrsid5141309 [ZPROPOSAL][ZAMACT]}{\rtlch\fcs1 _x000d__x000a_\af0 \ltrch\fcs0 \cs15\b0\v\f1\fs20\cf9\lang1030\langfe2057\langnp1030\insrsid11615661\charrsid5141309 &lt;/DocAmend&gt;}{\rtlch\fcs1 \af0 \ltrch\fcs0 \lang1030\langfe2057\langnp1030\insrsid11615661\charrsid5141309 _x000d__x000a_\par }\pard\plain \ltrpar\s17\ql \li0\ri0\keepn\nowidctlpar\wrapdefault\aspalpha\aspnum\faauto\adjustright\rin0\lin0\itap0\pararsid11615661 \rtlch\fcs1 \af0\afs20\alang1025 \ltrch\fcs0 \b\fs24\lang2057\langfe2057\cgrid\langnp2057\langfenp2057 {\rtlch\fcs1 _x000d__x000a_\af0 \ltrch\fcs0 \cs15\b0\v\f1\fs20\cf9\lang1030\langfe2057\langnp1030\insrsid11615661\charrsid5141309 &lt;Article&gt;}{\rtlch\fcs1 \af0 \ltrch\fcs0 \lang1030\langfe2057\langnp1030\insrsid11615661\charrsid5141309 [ZAMPART]}{\rtlch\fcs1 \af0 \ltrch\fcs0 _x000d__x000a_\cs15\b0\v\f1\fs20\cf9\lang1030\langfe2057\langnp1030\insrsid11615661\charrsid5141309 &lt;/Article&gt;}{\rtlch\fcs1 \af0 \ltrch\fcs0 \lang1030\langfe2057\langnp1030\insrsid11615661\charrsid5141309 _x000d__x000a_\par }\pard\plain \ltrpar\ql \li0\ri0\keepn\widctlpar\wrapdefault\aspalpha\aspnum\faauto\adjustright\rin0\lin0\itap0\pararsid11615661 \rtlch\fcs1 \af0\afs20\alang1025 \ltrch\fcs0 \fs24\lang2057\langfe2057\cgrid\langnp2057\langfenp2057 {\rtlch\fcs1 \af0 _x000d__x000a_\ltrch\fcs0 \cs15\v\f1\fs20\cf9\lang1043\langfe2057\langnp1043\insrsid11615661\charrsid5141309 &lt;DocAmend2&gt;&lt;OptDel&gt;}{\rtlch\fcs1 \af0 \ltrch\fcs0 \lang1043\langfe2057\langnp1043\insrsid11615661\charrsid5141309 [ZNRACT]}{\rtlch\fcs1 \af0 \ltrch\fcs0 _x000d__x000a_\cs15\v\f1\fs20\cf9\lang1043\langfe2057\langnp1043\insrsid11615661\charrsid5141309 &lt;/OptDel&gt;&lt;/DocAmend2&gt;}{\rtlch\fcs1 \af0 \ltrch\fcs0 \lang1043\langfe2057\langnp1043\insrsid11615661\charrsid5141309 _x000d__x000a_\par }\pard \ltrpar\ql \li0\ri0\widctlpar\wrapdefault\aspalpha\aspnum\faauto\adjustright\rin0\lin0\itap0\pararsid11615661 {\rtlch\fcs1 \af0 \ltrch\fcs0 \cs15\v\f1\fs20\cf9\lang1036\langfe2057\langnp1036\insrsid11615661\charrsid5141309 &lt;Article2&gt;&lt;OptDel&gt;}{_x000d__x000a_\rtlch\fcs1 \af0 \ltrch\fcs0 \lang1036\langfe2057\langnp1036\insrsid11615661\charrsid5141309 [ZACTPART]}{\rtlch\fcs1 \af0 \ltrch\fcs0 \cs15\v\f1\fs20\cf9\lang1036\langfe2057\langnp1036\insrsid11615661\charrsid5141309 &lt;/OptDel&gt;&lt;/Article2&gt;}{\rtlch\fcs1 _x000d__x000a_\af0 \ltrch\fcs0 \lang1036\langfe2057\langnp1036\insrsid11615661\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lang1036\langfe2057\langnp1036\insrsid11615661\charrsid5141309 \cell }\pard\plain \ltrpar_x000d__x000a_\ql \li0\ri0\widctlpar\intbl\wrapdefault\aspalpha\aspnum\faauto\adjustright\rin0\lin0 \rtlch\fcs1 \af0\afs20\alang1025 \ltrch\fcs0 \fs24\lang2057\langfe2057\cgrid\langnp2057\langfenp2057 {\rtlch\fcs1 \af0 \ltrch\fcs0 \insrsid11615661\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15216 \rtlch\fcs1 \af0\afs20\alang1025 \ltrch\fcs0 \i\fs24\lang2057\langfe2057\cgrid\langnp2057\langfenp2057 {\rtlch\fcs1 \af0 \ltrch\fcs0 _x000d__x000a_\insrsid11615661\charrsid4593153 [ZLEFT]\cell [ZRIGHT]\cell }\pard\plain \ltrpar\ql \li0\ri0\widctlpar\intbl\wrapdefault\aspalpha\aspnum\faauto\adjustright\rin0\lin0 \rtlch\fcs1 \af0\afs20\alang1025 \ltrch\fcs0 _x000d__x000a_\fs24\lang2057\langfe2057\cgrid\langnp2057\langfenp2057 {\rtlch\fcs1 \af0 \ltrch\fcs0 \insrsid11615661\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1615661\charrsid4593153 [ZTEXTL]\cell [ZTEXTR]}{\rtlch\fcs1 \af0\afs24 \ltrch\fcs0 \insrsid11615661\charrsid4593153 \cell }\pard\plain \ltrpar\ql \li0\ri0\widctlpar\intbl\wrapdefault\aspalpha\aspnum\faauto\adjustright\rin0\lin0 \rtlch\fcs1 _x000d__x000a_\af0\afs20\alang1025 \ltrch\fcs0 \fs24\lang2057\langfe2057\cgrid\langnp2057\langfenp2057 {\rtlch\fcs1 \af0 \ltrch\fcs0 \insrsid11615661\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1615661 \rtlch\fcs1 \af0\afs20\alang1025 \ltrch\fcs0 \fs24\lang2057\langfe2057\cgrid\langnp2057\langfenp2057 {\rtlch\fcs1 \af0 \ltrch\fcs0 _x000d__x000a_\insrsid11615661\charrsid4593153 Or. }{\rtlch\fcs1 \af0 \ltrch\fcs0 \cs15\v\f1\fs20\cf9\insrsid11615661\charrsid4593153 &lt;Original&gt;}{\rtlch\fcs1 \af0 \ltrch\fcs0 \insrsid11615661\charrsid4593153 [ZORLANG]}{\rtlch\fcs1 \af0 \ltrch\fcs0 _x000d__x000a_\cs15\v\f1\fs20\cf9\insrsid11615661\charrsid4593153 &lt;/Original&gt;}{\rtlch\fcs1 \af0 \ltrch\fcs0 \insrsid11615661\charrsid4593153 _x000d__x000a_\par }\pard\plain \ltrpar\s19\qc \li0\ri0\sb240\sa240\nowidctlpar\wrapdefault\aspalpha\aspnum\faauto\adjustright\rin0\lin0\itap0\pararsid11615661 \rtlch\fcs1 \af0\afs20\alang1025 \ltrch\fcs0 \i\fs24\lang2057\langfe2057\cgrid\langnp2057\langfenp2057 {_x000d__x000a_\rtlch\fcs1 \af0 \ltrch\fcs0 \cs15\i0\v\f1\fs20\cf9\insrsid11615661\charrsid4593153 &lt;OptDel&gt;}{\rtlch\fcs1 \af0 \ltrch\fcs0 \insrsid11615661\charrsid4593153 [ZCROSSREF]}{\rtlch\fcs1 \af0 \ltrch\fcs0 \cs15\i0\v\f1\fs20\cf9\insrsid11615661\charrsid4593153 _x000d__x000a_&lt;/OptDel&gt;}{\rtlch\fcs1 \af0 \ltrch\fcs0 \insrsid11615661\charrsid4593153 _x000d__x000a_\par }\pard\plain \ltrpar\s20\qc \li0\ri0\sb240\sa240\keepn\nowidctlpar\wrapdefault\aspalpha\aspnum\faauto\adjustright\rin0\lin0\itap0\pararsid11615661 \rtlch\fcs1 \af0\afs20\alang1025 \ltrch\fcs0 \i\fs24\lang2057\langfe2057\cgrid\langnp2057\langfenp2057 {_x000d__x000a_\rtlch\fcs1 \af0 \ltrch\fcs0 \cs15\i0\v\f1\fs20\cf9\insrsid11615661\charrsid4593153 &lt;TitreJust&gt;}{\rtlch\fcs1 \af0 \ltrch\fcs0 \insrsid11615661\charrsid4593153 [ZJUSTIFICATION]}{\rtlch\fcs1 \af0 \ltrch\fcs0 _x000d__x000a_\cs15\i0\v\f1\fs20\cf9\insrsid11615661\charrsid4593153 &lt;/TitreJust&gt;}{\rtlch\fcs1 \af0 \ltrch\fcs0 \insrsid11615661\charrsid4593153 _x000d__x000a_\par }\pard\plain \ltrpar\s18\ql \li0\ri0\sa240\nowidctlpar\wrapdefault\aspalpha\aspnum\faauto\adjustright\rin0\lin0\itap0\pararsid11615661 \rtlch\fcs1 \af0\afs20\alang1025 \ltrch\fcs0 \i\fs24\lang2057\langfe2057\cgrid\langnp2057\langfenp2057 {\rtlch\fcs1 _x000d__x000a_\af0 \ltrch\fcs0 \cs15\i0\v\f1\fs20\cf9\insrsid11615661\charrsid4593153 &lt;OptDelPrev&gt;}{\rtlch\fcs1 \af0 \ltrch\fcs0 \insrsid11615661\charrsid4593153 [ZTEXTJUST]}{\rtlch\fcs1 \af0 \ltrch\fcs0 \cs15\i0\v\f1\fs20\cf9\insrsid11615661\charrsid4593153 _x000d__x000a_&lt;/OptDelPrev&gt;}{\rtlch\fcs1 \af0 \ltrch\fcs0 \insrsid11615661\charrsid4593153 _x000d__x000a_\par }\pard\plain \ltrpar\ql \li0\ri0\widctlpar\wrapdefault\aspalpha\aspnum\faauto\adjustright\rin0\lin0\itap0\pararsid11615661 \rtlch\fcs1 \af0\afs20\alang1025 \ltrch\fcs0 \fs24\lang2057\langfe2057\cgrid\langnp2057\langfenp2057 {\rtlch\fcs1 \af0 \ltrch\fcs0 _x000d__x000a_\cs15\v\f1\fs20\cf9\insrsid11615661\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70_x000d__x000a_25cecb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94"/>
    <w:docVar w:name="TVTACTPART" w:val="XXX"/>
    <w:docVar w:name="TVTAMACTPART" w:val="xxxx"/>
    <w:docVar w:name="TXTAUTHOR" w:val="Esther de Lange"/>
    <w:docVar w:name="TXTLANGUE" w:val="EN"/>
    <w:docVar w:name="TXTLANGUEMIN" w:val="en"/>
    <w:docVar w:name="TXTNRC" w:val="0009/2019"/>
    <w:docVar w:name="TXTNRCOD" w:val="2019/1010"/>
    <w:docVar w:name="TXTNRCOM" w:val="(2019)"/>
    <w:docVar w:name="TXTNRFIRSTAM" w:val="1"/>
    <w:docVar w:name="TXTNRLASTAM" w:val="1"/>
    <w:docVar w:name="TXTNRPE" w:val="644.883"/>
    <w:docVar w:name="TXTNRREG" w:val="(EC) No 715/2007"/>
    <w:docVar w:name="TXTPEorAP" w:val="PE"/>
    <w:docVar w:name="TXTROUTE" w:val="PR\1194428EN.docx"/>
    <w:docVar w:name="TXTTITLE" w:val="amending Regulation (EC) No 715/2007 on type approval of motor vehicles with respect to emissions from light passenger and commercial vehicles (Euro 5 and Euro 6) and on access to vehicle repair and maintenance information"/>
    <w:docVar w:name="TXTVERSION" w:val="01-00"/>
  </w:docVars>
  <w:rsids>
    <w:rsidRoot w:val="002B422E"/>
    <w:rsid w:val="00004BA2"/>
    <w:rsid w:val="00011AAB"/>
    <w:rsid w:val="00012351"/>
    <w:rsid w:val="000139E5"/>
    <w:rsid w:val="0004102A"/>
    <w:rsid w:val="00066575"/>
    <w:rsid w:val="00084DD2"/>
    <w:rsid w:val="00084E89"/>
    <w:rsid w:val="000947AF"/>
    <w:rsid w:val="000A00F1"/>
    <w:rsid w:val="000A2C22"/>
    <w:rsid w:val="000B7489"/>
    <w:rsid w:val="000F1096"/>
    <w:rsid w:val="00104259"/>
    <w:rsid w:val="00120948"/>
    <w:rsid w:val="00123DD5"/>
    <w:rsid w:val="001277AE"/>
    <w:rsid w:val="00142215"/>
    <w:rsid w:val="00150868"/>
    <w:rsid w:val="0016203E"/>
    <w:rsid w:val="001767E2"/>
    <w:rsid w:val="00187008"/>
    <w:rsid w:val="001B3829"/>
    <w:rsid w:val="001C5592"/>
    <w:rsid w:val="001C5B44"/>
    <w:rsid w:val="001C6FFC"/>
    <w:rsid w:val="001F7C7C"/>
    <w:rsid w:val="00212B84"/>
    <w:rsid w:val="002346B0"/>
    <w:rsid w:val="00247EE7"/>
    <w:rsid w:val="002667C3"/>
    <w:rsid w:val="002669B6"/>
    <w:rsid w:val="00290BED"/>
    <w:rsid w:val="002B422E"/>
    <w:rsid w:val="002D13EE"/>
    <w:rsid w:val="002E33EE"/>
    <w:rsid w:val="002F40BB"/>
    <w:rsid w:val="002F4B02"/>
    <w:rsid w:val="00323EF8"/>
    <w:rsid w:val="003316DD"/>
    <w:rsid w:val="00366A46"/>
    <w:rsid w:val="00370AC3"/>
    <w:rsid w:val="003824EE"/>
    <w:rsid w:val="003B034B"/>
    <w:rsid w:val="003B4689"/>
    <w:rsid w:val="003C2068"/>
    <w:rsid w:val="003C37CF"/>
    <w:rsid w:val="003C5441"/>
    <w:rsid w:val="004100B1"/>
    <w:rsid w:val="00426E47"/>
    <w:rsid w:val="00455743"/>
    <w:rsid w:val="00461601"/>
    <w:rsid w:val="004C0915"/>
    <w:rsid w:val="004D424E"/>
    <w:rsid w:val="004E42C8"/>
    <w:rsid w:val="004E733D"/>
    <w:rsid w:val="004F3FA5"/>
    <w:rsid w:val="0051271F"/>
    <w:rsid w:val="00521F46"/>
    <w:rsid w:val="00551111"/>
    <w:rsid w:val="00551123"/>
    <w:rsid w:val="00570A6A"/>
    <w:rsid w:val="00586E50"/>
    <w:rsid w:val="005942FB"/>
    <w:rsid w:val="0059583D"/>
    <w:rsid w:val="005A42D9"/>
    <w:rsid w:val="005C2BEF"/>
    <w:rsid w:val="005D1A99"/>
    <w:rsid w:val="005D7609"/>
    <w:rsid w:val="005D7A28"/>
    <w:rsid w:val="005D7EE8"/>
    <w:rsid w:val="00642325"/>
    <w:rsid w:val="00670E7E"/>
    <w:rsid w:val="006A2F5D"/>
    <w:rsid w:val="006F7907"/>
    <w:rsid w:val="00743189"/>
    <w:rsid w:val="00743D33"/>
    <w:rsid w:val="00754BA0"/>
    <w:rsid w:val="0078565F"/>
    <w:rsid w:val="007932B3"/>
    <w:rsid w:val="00793EA9"/>
    <w:rsid w:val="007D6F68"/>
    <w:rsid w:val="00803B8D"/>
    <w:rsid w:val="00823E6B"/>
    <w:rsid w:val="00826780"/>
    <w:rsid w:val="00837CCD"/>
    <w:rsid w:val="00846FAD"/>
    <w:rsid w:val="0085168E"/>
    <w:rsid w:val="008633CC"/>
    <w:rsid w:val="00865190"/>
    <w:rsid w:val="008719B9"/>
    <w:rsid w:val="00886AD4"/>
    <w:rsid w:val="00894ECE"/>
    <w:rsid w:val="00896BB4"/>
    <w:rsid w:val="008A7FB8"/>
    <w:rsid w:val="009022B8"/>
    <w:rsid w:val="009075CB"/>
    <w:rsid w:val="00914537"/>
    <w:rsid w:val="00917CC4"/>
    <w:rsid w:val="009763DA"/>
    <w:rsid w:val="0098571D"/>
    <w:rsid w:val="009975B3"/>
    <w:rsid w:val="009A216D"/>
    <w:rsid w:val="009B4B93"/>
    <w:rsid w:val="009F24BE"/>
    <w:rsid w:val="009F6C2F"/>
    <w:rsid w:val="009F767A"/>
    <w:rsid w:val="00A22533"/>
    <w:rsid w:val="00A26F46"/>
    <w:rsid w:val="00A34FD3"/>
    <w:rsid w:val="00A36929"/>
    <w:rsid w:val="00A50548"/>
    <w:rsid w:val="00A60EE7"/>
    <w:rsid w:val="00A910C9"/>
    <w:rsid w:val="00AA35B0"/>
    <w:rsid w:val="00AD18C8"/>
    <w:rsid w:val="00AD7FA6"/>
    <w:rsid w:val="00AE4643"/>
    <w:rsid w:val="00AF0416"/>
    <w:rsid w:val="00B03B18"/>
    <w:rsid w:val="00B10CB4"/>
    <w:rsid w:val="00B23B72"/>
    <w:rsid w:val="00B42702"/>
    <w:rsid w:val="00B57B8B"/>
    <w:rsid w:val="00B85407"/>
    <w:rsid w:val="00B914AE"/>
    <w:rsid w:val="00B95702"/>
    <w:rsid w:val="00BB1474"/>
    <w:rsid w:val="00BC6489"/>
    <w:rsid w:val="00BD480C"/>
    <w:rsid w:val="00BF2606"/>
    <w:rsid w:val="00C20954"/>
    <w:rsid w:val="00C20BB0"/>
    <w:rsid w:val="00C23324"/>
    <w:rsid w:val="00C42A41"/>
    <w:rsid w:val="00C47E74"/>
    <w:rsid w:val="00C515FF"/>
    <w:rsid w:val="00C57A72"/>
    <w:rsid w:val="00C73602"/>
    <w:rsid w:val="00CC51E3"/>
    <w:rsid w:val="00CF60C8"/>
    <w:rsid w:val="00D30DE2"/>
    <w:rsid w:val="00D32924"/>
    <w:rsid w:val="00D37125"/>
    <w:rsid w:val="00D503A3"/>
    <w:rsid w:val="00D63357"/>
    <w:rsid w:val="00D742F0"/>
    <w:rsid w:val="00DA6ED0"/>
    <w:rsid w:val="00DC5011"/>
    <w:rsid w:val="00E171B6"/>
    <w:rsid w:val="00E33B20"/>
    <w:rsid w:val="00E72695"/>
    <w:rsid w:val="00EB1753"/>
    <w:rsid w:val="00EB6CFF"/>
    <w:rsid w:val="00EE3996"/>
    <w:rsid w:val="00EE39FD"/>
    <w:rsid w:val="00F07062"/>
    <w:rsid w:val="00F23CFC"/>
    <w:rsid w:val="00F433E2"/>
    <w:rsid w:val="00F645B4"/>
    <w:rsid w:val="00F904AE"/>
    <w:rsid w:val="00F934F8"/>
    <w:rsid w:val="00FB52FE"/>
    <w:rsid w:val="00FC0A34"/>
    <w:rsid w:val="00FD1DEF"/>
    <w:rsid w:val="00FE090A"/>
    <w:rsid w:val="00FE3B3F"/>
    <w:rsid w:val="00FE70C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EF3E6"/>
  <w15:chartTrackingRefBased/>
  <w15:docId w15:val="{686CCFD7-8F31-49CC-A742-CF8E6E11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B8D"/>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basedOn w:val="DefaultParagraphFont"/>
    <w:rPr>
      <w:rFonts w:ascii="Arial" w:hAnsi="Arial" w:cs="Arial"/>
      <w:noProof/>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754BA0"/>
    <w:pPr>
      <w:tabs>
        <w:tab w:val="right" w:pos="454"/>
        <w:tab w:val="left" w:pos="737"/>
      </w:tabs>
      <w:ind w:left="737" w:hanging="737"/>
    </w:pPr>
    <w:rPr>
      <w:snapToGrid w:val="0"/>
      <w:sz w:val="18"/>
      <w:lang w:eastAsia="en-US"/>
    </w:rPr>
  </w:style>
  <w:style w:type="paragraph" w:customStyle="1" w:styleId="Lgendetitre">
    <w:name w:val="Légende titre"/>
    <w:basedOn w:val="Normal"/>
    <w:rsid w:val="00754BA0"/>
    <w:pPr>
      <w:spacing w:before="240" w:after="240"/>
    </w:pPr>
    <w:rPr>
      <w:b/>
      <w:i/>
      <w:snapToGrid w:val="0"/>
      <w:lang w:eastAsia="en-US"/>
    </w:rPr>
  </w:style>
  <w:style w:type="paragraph" w:customStyle="1" w:styleId="Lgendestandard">
    <w:name w:val="Légende standard"/>
    <w:basedOn w:val="Normal"/>
    <w:rsid w:val="00754BA0"/>
    <w:rPr>
      <w:sz w:val="18"/>
    </w:rPr>
  </w:style>
  <w:style w:type="paragraph" w:styleId="FootnoteText">
    <w:name w:val="footnote text"/>
    <w:basedOn w:val="Normal"/>
    <w:link w:val="FootnoteTextChar"/>
    <w:uiPriority w:val="99"/>
    <w:rsid w:val="00754BA0"/>
    <w:rPr>
      <w:sz w:val="20"/>
    </w:rPr>
  </w:style>
  <w:style w:type="character" w:customStyle="1" w:styleId="FootnoteTextChar">
    <w:name w:val="Footnote Text Char"/>
    <w:basedOn w:val="DefaultParagraphFont"/>
    <w:link w:val="FootnoteText"/>
    <w:uiPriority w:val="99"/>
    <w:rsid w:val="00754BA0"/>
  </w:style>
  <w:style w:type="character" w:styleId="FootnoteReference">
    <w:name w:val="footnote reference"/>
    <w:basedOn w:val="DefaultParagraphFont"/>
    <w:uiPriority w:val="99"/>
    <w:rsid w:val="00754BA0"/>
    <w:rPr>
      <w:vertAlign w:val="superscript"/>
    </w:rPr>
  </w:style>
  <w:style w:type="character" w:customStyle="1" w:styleId="Normal6Char">
    <w:name w:val="Normal6 Char"/>
    <w:link w:val="Normal6"/>
    <w:locked/>
    <w:rsid w:val="009075CB"/>
    <w:rPr>
      <w:sz w:val="24"/>
    </w:rPr>
  </w:style>
  <w:style w:type="paragraph" w:customStyle="1" w:styleId="Normal6">
    <w:name w:val="Normal6"/>
    <w:basedOn w:val="Normal"/>
    <w:link w:val="Normal6Char"/>
    <w:rsid w:val="009075CB"/>
    <w:pPr>
      <w:spacing w:after="120"/>
    </w:pPr>
  </w:style>
  <w:style w:type="paragraph" w:customStyle="1" w:styleId="ColumnHeading">
    <w:name w:val="ColumnHeading"/>
    <w:basedOn w:val="Normal"/>
    <w:rsid w:val="009075CB"/>
    <w:pPr>
      <w:spacing w:after="240"/>
      <w:jc w:val="center"/>
    </w:pPr>
    <w:rPr>
      <w:i/>
    </w:rPr>
  </w:style>
  <w:style w:type="paragraph" w:customStyle="1" w:styleId="NormalCentered">
    <w:name w:val="Normal Centered"/>
    <w:basedOn w:val="Normal"/>
    <w:rsid w:val="009075CB"/>
    <w:pPr>
      <w:widowControl/>
      <w:spacing w:before="120" w:after="120"/>
      <w:jc w:val="center"/>
    </w:pPr>
    <w:rPr>
      <w:rFonts w:eastAsiaTheme="minorHAnsi"/>
      <w:szCs w:val="22"/>
      <w:lang w:eastAsia="en-US"/>
    </w:rPr>
  </w:style>
  <w:style w:type="paragraph" w:customStyle="1" w:styleId="NormalLeft">
    <w:name w:val="Normal Left"/>
    <w:basedOn w:val="Normal"/>
    <w:rsid w:val="009075CB"/>
    <w:pPr>
      <w:widowControl/>
      <w:spacing w:before="120" w:after="120"/>
    </w:pPr>
    <w:rPr>
      <w:rFonts w:eastAsiaTheme="minorHAnsi"/>
      <w:szCs w:val="22"/>
      <w:lang w:eastAsia="en-US"/>
    </w:rPr>
  </w:style>
  <w:style w:type="character" w:customStyle="1" w:styleId="Sup">
    <w:name w:val="Sup"/>
    <w:uiPriority w:val="1"/>
    <w:qFormat/>
    <w:rsid w:val="0078565F"/>
    <w:rPr>
      <w:vertAlign w:val="superscript"/>
    </w:rPr>
  </w:style>
  <w:style w:type="character" w:customStyle="1" w:styleId="SupBoldItalic">
    <w:name w:val="SupBoldItalic"/>
    <w:uiPriority w:val="1"/>
    <w:qFormat/>
    <w:rsid w:val="0078565F"/>
    <w:rPr>
      <w:b/>
      <w:bCs w:val="0"/>
      <w:i/>
      <w:iCs w:val="0"/>
      <w:vertAlign w:val="superscript"/>
    </w:rPr>
  </w:style>
  <w:style w:type="paragraph" w:styleId="Footer">
    <w:name w:val="footer"/>
    <w:basedOn w:val="Normal"/>
    <w:link w:val="FooterChar"/>
    <w:semiHidden/>
    <w:rsid w:val="0085168E"/>
    <w:pPr>
      <w:tabs>
        <w:tab w:val="center" w:pos="4513"/>
        <w:tab w:val="right" w:pos="9026"/>
      </w:tabs>
    </w:pPr>
  </w:style>
  <w:style w:type="character" w:customStyle="1" w:styleId="FooterChar">
    <w:name w:val="Footer Char"/>
    <w:basedOn w:val="DefaultParagraphFont"/>
    <w:link w:val="Footer"/>
    <w:semiHidden/>
    <w:rsid w:val="0085168E"/>
    <w:rPr>
      <w:sz w:val="24"/>
    </w:rPr>
  </w:style>
  <w:style w:type="character" w:styleId="CommentReference">
    <w:name w:val="annotation reference"/>
    <w:basedOn w:val="DefaultParagraphFont"/>
    <w:rsid w:val="00E33B20"/>
    <w:rPr>
      <w:sz w:val="16"/>
      <w:szCs w:val="16"/>
    </w:rPr>
  </w:style>
  <w:style w:type="paragraph" w:styleId="CommentText">
    <w:name w:val="annotation text"/>
    <w:basedOn w:val="Normal"/>
    <w:link w:val="CommentTextChar"/>
    <w:rsid w:val="00E33B20"/>
    <w:rPr>
      <w:sz w:val="20"/>
    </w:rPr>
  </w:style>
  <w:style w:type="character" w:customStyle="1" w:styleId="CommentTextChar">
    <w:name w:val="Comment Text Char"/>
    <w:basedOn w:val="DefaultParagraphFont"/>
    <w:link w:val="CommentText"/>
    <w:rsid w:val="00E33B20"/>
  </w:style>
  <w:style w:type="paragraph" w:styleId="CommentSubject">
    <w:name w:val="annotation subject"/>
    <w:basedOn w:val="CommentText"/>
    <w:next w:val="CommentText"/>
    <w:link w:val="CommentSubjectChar"/>
    <w:rsid w:val="00E33B20"/>
    <w:rPr>
      <w:b/>
      <w:bCs/>
    </w:rPr>
  </w:style>
  <w:style w:type="character" w:customStyle="1" w:styleId="CommentSubjectChar">
    <w:name w:val="Comment Subject Char"/>
    <w:basedOn w:val="CommentTextChar"/>
    <w:link w:val="CommentSubject"/>
    <w:rsid w:val="00E33B20"/>
    <w:rPr>
      <w:b/>
      <w:bCs/>
    </w:rPr>
  </w:style>
  <w:style w:type="paragraph" w:styleId="Revision">
    <w:name w:val="Revision"/>
    <w:hidden/>
    <w:uiPriority w:val="99"/>
    <w:semiHidden/>
    <w:rsid w:val="00E33B20"/>
    <w:rPr>
      <w:sz w:val="24"/>
    </w:rPr>
  </w:style>
  <w:style w:type="paragraph" w:styleId="BalloonText">
    <w:name w:val="Balloon Text"/>
    <w:basedOn w:val="Normal"/>
    <w:link w:val="BalloonTextChar"/>
    <w:rsid w:val="00E33B20"/>
    <w:rPr>
      <w:rFonts w:ascii="Segoe UI" w:hAnsi="Segoe UI" w:cs="Segoe UI"/>
      <w:sz w:val="18"/>
      <w:szCs w:val="18"/>
    </w:rPr>
  </w:style>
  <w:style w:type="character" w:customStyle="1" w:styleId="BalloonTextChar">
    <w:name w:val="Balloon Text Char"/>
    <w:basedOn w:val="DefaultParagraphFont"/>
    <w:link w:val="BalloonText"/>
    <w:rsid w:val="00E33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5881">
      <w:bodyDiv w:val="1"/>
      <w:marLeft w:val="0"/>
      <w:marRight w:val="0"/>
      <w:marTop w:val="0"/>
      <w:marBottom w:val="0"/>
      <w:divBdr>
        <w:top w:val="none" w:sz="0" w:space="0" w:color="auto"/>
        <w:left w:val="none" w:sz="0" w:space="0" w:color="auto"/>
        <w:bottom w:val="none" w:sz="0" w:space="0" w:color="auto"/>
        <w:right w:val="none" w:sz="0" w:space="0" w:color="auto"/>
      </w:divBdr>
    </w:div>
    <w:div w:id="477921150">
      <w:bodyDiv w:val="1"/>
      <w:marLeft w:val="0"/>
      <w:marRight w:val="0"/>
      <w:marTop w:val="0"/>
      <w:marBottom w:val="0"/>
      <w:divBdr>
        <w:top w:val="none" w:sz="0" w:space="0" w:color="auto"/>
        <w:left w:val="none" w:sz="0" w:space="0" w:color="auto"/>
        <w:bottom w:val="none" w:sz="0" w:space="0" w:color="auto"/>
        <w:right w:val="none" w:sz="0" w:space="0" w:color="auto"/>
      </w:divBdr>
    </w:div>
    <w:div w:id="846482041">
      <w:bodyDiv w:val="1"/>
      <w:marLeft w:val="0"/>
      <w:marRight w:val="0"/>
      <w:marTop w:val="0"/>
      <w:marBottom w:val="0"/>
      <w:divBdr>
        <w:top w:val="none" w:sz="0" w:space="0" w:color="auto"/>
        <w:left w:val="none" w:sz="0" w:space="0" w:color="auto"/>
        <w:bottom w:val="none" w:sz="0" w:space="0" w:color="auto"/>
        <w:right w:val="none" w:sz="0" w:space="0" w:color="auto"/>
      </w:divBdr>
    </w:div>
    <w:div w:id="963583513">
      <w:bodyDiv w:val="1"/>
      <w:marLeft w:val="0"/>
      <w:marRight w:val="0"/>
      <w:marTop w:val="0"/>
      <w:marBottom w:val="0"/>
      <w:divBdr>
        <w:top w:val="none" w:sz="0" w:space="0" w:color="auto"/>
        <w:left w:val="none" w:sz="0" w:space="0" w:color="auto"/>
        <w:bottom w:val="none" w:sz="0" w:space="0" w:color="auto"/>
        <w:right w:val="none" w:sz="0" w:space="0" w:color="auto"/>
      </w:divBdr>
    </w:div>
    <w:div w:id="1609196967">
      <w:bodyDiv w:val="1"/>
      <w:marLeft w:val="0"/>
      <w:marRight w:val="0"/>
      <w:marTop w:val="0"/>
      <w:marBottom w:val="0"/>
      <w:divBdr>
        <w:top w:val="none" w:sz="0" w:space="0" w:color="auto"/>
        <w:left w:val="none" w:sz="0" w:space="0" w:color="auto"/>
        <w:bottom w:val="none" w:sz="0" w:space="0" w:color="auto"/>
        <w:right w:val="none" w:sz="0" w:space="0" w:color="auto"/>
      </w:divBdr>
    </w:div>
    <w:div w:id="1653753906">
      <w:bodyDiv w:val="1"/>
      <w:marLeft w:val="0"/>
      <w:marRight w:val="0"/>
      <w:marTop w:val="0"/>
      <w:marBottom w:val="0"/>
      <w:divBdr>
        <w:top w:val="none" w:sz="0" w:space="0" w:color="auto"/>
        <w:left w:val="none" w:sz="0" w:space="0" w:color="auto"/>
        <w:bottom w:val="none" w:sz="0" w:space="0" w:color="auto"/>
        <w:right w:val="none" w:sz="0" w:space="0" w:color="auto"/>
      </w:divBdr>
    </w:div>
    <w:div w:id="19291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0CE97-692D-4F99-A2D0-984FD24D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3607</Words>
  <Characters>19840</Characters>
  <Application>Microsoft Office Word</Application>
  <DocSecurity>0</DocSecurity>
  <Lines>708</Lines>
  <Paragraphs>252</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KUGI Dusanka</dc:creator>
  <cp:keywords/>
  <dc:description/>
  <cp:lastModifiedBy>SZILAGYI Judit</cp:lastModifiedBy>
  <cp:revision>3</cp:revision>
  <cp:lastPrinted>2004-11-04T09:41:00Z</cp:lastPrinted>
  <dcterms:created xsi:type="dcterms:W3CDTF">2019-12-20T10:13:00Z</dcterms:created>
  <dcterms:modified xsi:type="dcterms:W3CDTF">2019-12-20T10:13:00Z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1194428</vt:lpwstr>
  </property>
  <property fmtid="{D5CDD505-2E9C-101B-9397-08002B2CF9AE}" pid="6" name="&lt;Type&gt;">
    <vt:lpwstr>PR</vt:lpwstr>
  </property>
  <property fmtid="{D5CDD505-2E9C-101B-9397-08002B2CF9AE}" pid="7" name="&lt;ModelCod&gt;">
    <vt:lpwstr>\\eiciBRUpr1\pdocep$\DocEP\DOCS\General\PR\PR_Leg\COD\COD_1st\PR_COD_1amCom.dotx(15/10/2019 06:17:24)</vt:lpwstr>
  </property>
  <property fmtid="{D5CDD505-2E9C-101B-9397-08002B2CF9AE}" pid="8" name="&lt;ModelTra&gt;">
    <vt:lpwstr>\\eiciBRUpr1\pdocep$\DocEP\TRANSFIL\EN\PR_COD_1amCom.EN(11/10/2019 09:25:41)</vt:lpwstr>
  </property>
  <property fmtid="{D5CDD505-2E9C-101B-9397-08002B2CF9AE}" pid="9" name="&lt;Model&gt;">
    <vt:lpwstr>PR_COD_1amCom</vt:lpwstr>
  </property>
  <property fmtid="{D5CDD505-2E9C-101B-9397-08002B2CF9AE}" pid="10" name="FooterPath">
    <vt:lpwstr>PR\1194428EN.docx</vt:lpwstr>
  </property>
  <property fmtid="{D5CDD505-2E9C-101B-9397-08002B2CF9AE}" pid="11" name="PE number">
    <vt:lpwstr>644.883</vt:lpwstr>
  </property>
  <property fmtid="{D5CDD505-2E9C-101B-9397-08002B2CF9AE}" pid="12" name="SubscribeElise">
    <vt:lpwstr/>
  </property>
  <property fmtid="{D5CDD505-2E9C-101B-9397-08002B2CF9AE}" pid="13" name="SendToEpades">
    <vt:lpwstr>OK(AMNUM) - 2019/12/18 17:48</vt:lpwstr>
  </property>
</Properties>
</file>