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41A79" w:rsidRPr="00800956" w14:paraId="61DAF4CA" w14:textId="77777777" w:rsidTr="00C85D0F">
        <w:trPr>
          <w:trHeight w:hRule="exact" w:val="1418"/>
        </w:trPr>
        <w:tc>
          <w:tcPr>
            <w:tcW w:w="6804" w:type="dxa"/>
            <w:shd w:val="clear" w:color="auto" w:fill="auto"/>
            <w:vAlign w:val="center"/>
          </w:tcPr>
          <w:p w14:paraId="4AB4009C" w14:textId="77777777" w:rsidR="00041A79" w:rsidRPr="00800956" w:rsidRDefault="00D95F76" w:rsidP="00C85D0F">
            <w:pPr>
              <w:pStyle w:val="EPName"/>
            </w:pPr>
            <w:r w:rsidRPr="00800956">
              <w:t>Parlament Europejski</w:t>
            </w:r>
          </w:p>
          <w:p w14:paraId="76883EA1" w14:textId="77777777" w:rsidR="00041A79" w:rsidRPr="00800956" w:rsidRDefault="008445B0" w:rsidP="008445B0">
            <w:pPr>
              <w:pStyle w:val="EPTerm"/>
            </w:pPr>
            <w:r w:rsidRPr="00800956">
              <w:t>2019-2024</w:t>
            </w:r>
          </w:p>
        </w:tc>
        <w:tc>
          <w:tcPr>
            <w:tcW w:w="2268" w:type="dxa"/>
            <w:shd w:val="clear" w:color="auto" w:fill="auto"/>
          </w:tcPr>
          <w:p w14:paraId="63D79E26" w14:textId="77777777" w:rsidR="00041A79" w:rsidRPr="00800956" w:rsidRDefault="00041A79" w:rsidP="00C85D0F">
            <w:pPr>
              <w:pStyle w:val="EPLogo"/>
            </w:pPr>
            <w:r w:rsidRPr="00800956">
              <w:drawing>
                <wp:inline distT="0" distB="0" distL="0" distR="0" wp14:anchorId="3D8222E7" wp14:editId="4481DBB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27EDD32F" w14:textId="77777777" w:rsidR="00F64B87" w:rsidRPr="00800956" w:rsidRDefault="00F64B87" w:rsidP="00F64B87">
      <w:pPr>
        <w:pStyle w:val="LineTop"/>
      </w:pPr>
    </w:p>
    <w:p w14:paraId="69CB77D5" w14:textId="77777777" w:rsidR="00F64B87" w:rsidRPr="00800956" w:rsidRDefault="00F64B87" w:rsidP="00F64B87">
      <w:pPr>
        <w:pStyle w:val="EPBody"/>
      </w:pPr>
      <w:r w:rsidRPr="00800956">
        <w:rPr>
          <w:rStyle w:val="HideTWBExt"/>
          <w:noProof w:val="0"/>
        </w:rPr>
        <w:t>&lt;</w:t>
      </w:r>
      <w:r w:rsidRPr="00800956">
        <w:rPr>
          <w:rStyle w:val="HideTWBExt"/>
          <w:i w:val="0"/>
          <w:noProof w:val="0"/>
        </w:rPr>
        <w:t>Commission&gt;</w:t>
      </w:r>
      <w:r w:rsidRPr="00800956">
        <w:rPr>
          <w:rStyle w:val="HideTWBInt"/>
        </w:rPr>
        <w:t>{ENVI}</w:t>
      </w:r>
      <w:r w:rsidRPr="00800956">
        <w:t>Komisja Ochrony Środowiska Naturalnego, Zdrowia Publicznego i Bezpieczeństwa Żywności</w:t>
      </w:r>
      <w:r w:rsidRPr="00800956">
        <w:rPr>
          <w:rStyle w:val="HideTWBExt"/>
          <w:noProof w:val="0"/>
        </w:rPr>
        <w:t>&lt;/</w:t>
      </w:r>
      <w:r w:rsidRPr="00800956">
        <w:rPr>
          <w:rStyle w:val="HideTWBExt"/>
          <w:i w:val="0"/>
          <w:noProof w:val="0"/>
        </w:rPr>
        <w:t>Commission</w:t>
      </w:r>
      <w:r w:rsidRPr="00800956">
        <w:rPr>
          <w:rStyle w:val="HideTWBExt"/>
          <w:noProof w:val="0"/>
        </w:rPr>
        <w:t>&gt;</w:t>
      </w:r>
    </w:p>
    <w:p w14:paraId="3DC10457" w14:textId="77777777" w:rsidR="001173AC" w:rsidRPr="00800956" w:rsidRDefault="001173AC" w:rsidP="001173AC">
      <w:pPr>
        <w:pStyle w:val="LineBottom"/>
      </w:pPr>
    </w:p>
    <w:p w14:paraId="30D04EE7" w14:textId="77777777" w:rsidR="00EA74BF" w:rsidRPr="00800956" w:rsidRDefault="008445B0" w:rsidP="001173AC">
      <w:pPr>
        <w:pStyle w:val="HeadingReferenceOJPV"/>
      </w:pPr>
      <w:r w:rsidRPr="00800956">
        <w:t>ENVI_PV(2020)0518_1</w:t>
      </w:r>
    </w:p>
    <w:p w14:paraId="426FD0D4" w14:textId="77777777" w:rsidR="00EA74BF" w:rsidRPr="00800956" w:rsidRDefault="00D95F76" w:rsidP="001173AC">
      <w:pPr>
        <w:pStyle w:val="HeadingDocType24a"/>
      </w:pPr>
      <w:r w:rsidRPr="00800956">
        <w:t>PROTOKÓŁ</w:t>
      </w:r>
    </w:p>
    <w:p w14:paraId="56AB37D8" w14:textId="32B26AC4" w:rsidR="00EA74BF" w:rsidRPr="00800956" w:rsidRDefault="00D95F76" w:rsidP="001173AC">
      <w:pPr>
        <w:pStyle w:val="HeadingCenter12a"/>
      </w:pPr>
      <w:r w:rsidRPr="00800956">
        <w:t xml:space="preserve">Posiedzenie </w:t>
      </w:r>
      <w:r w:rsidR="00800956" w:rsidRPr="00800956">
        <w:t>w dniu</w:t>
      </w:r>
      <w:r w:rsidRPr="00800956">
        <w:t xml:space="preserve"> 18 maja 2020 r.</w:t>
      </w:r>
      <w:r w:rsidR="00800956" w:rsidRPr="00800956">
        <w:t>,</w:t>
      </w:r>
      <w:r w:rsidRPr="00800956">
        <w:t xml:space="preserve"> w godz. 9.30–10.30</w:t>
      </w:r>
    </w:p>
    <w:p w14:paraId="018A49B7" w14:textId="77777777" w:rsidR="00EA74BF" w:rsidRPr="00800956" w:rsidRDefault="008445B0" w:rsidP="001173AC">
      <w:pPr>
        <w:pStyle w:val="HeadingCenter12a"/>
      </w:pPr>
      <w:r w:rsidRPr="00800956">
        <w:t>BRUKSELA</w:t>
      </w:r>
    </w:p>
    <w:p w14:paraId="313AA8B4" w14:textId="142D2A9D" w:rsidR="00EA74BF" w:rsidRPr="00800956" w:rsidRDefault="00D95F76" w:rsidP="001173AC">
      <w:pPr>
        <w:pStyle w:val="MeetingIntro"/>
      </w:pPr>
      <w:r w:rsidRPr="00800956">
        <w:t>Pascal Canfin (przewodniczący) otworzył posiedzenie w poniedziałek 18 maja 2020 r. o</w:t>
      </w:r>
      <w:r w:rsidR="00800956" w:rsidRPr="00800956">
        <w:t> </w:t>
      </w:r>
      <w:r w:rsidRPr="00800956">
        <w:t>godz.</w:t>
      </w:r>
      <w:r w:rsidR="00800956" w:rsidRPr="00800956">
        <w:t> </w:t>
      </w:r>
      <w:r w:rsidRPr="00800956">
        <w:t>9.40.</w:t>
      </w:r>
    </w:p>
    <w:p w14:paraId="3266D636" w14:textId="026DE914" w:rsidR="008445B0" w:rsidRPr="00800956" w:rsidRDefault="00B56572" w:rsidP="00B56572">
      <w:pPr>
        <w:pStyle w:val="PVxHeading"/>
        <w:numPr>
          <w:ilvl w:val="0"/>
          <w:numId w:val="0"/>
        </w:numPr>
        <w:ind w:left="567" w:hanging="567"/>
      </w:pPr>
      <w:r w:rsidRPr="00800956">
        <w:t>1.</w:t>
      </w:r>
      <w:r w:rsidRPr="00800956">
        <w:tab/>
        <w:t>Przyjęcie porządku dziennego</w:t>
      </w:r>
      <w:r w:rsidRPr="00800956">
        <w:tab/>
      </w:r>
      <w:r w:rsidRPr="00800956">
        <w:rPr>
          <w:b w:val="0"/>
        </w:rPr>
        <w:t>ENVI_OJ(2020)0518_1</w:t>
      </w:r>
    </w:p>
    <w:p w14:paraId="2E34AC46" w14:textId="0290DCF2" w:rsidR="008445B0" w:rsidRPr="00800956" w:rsidRDefault="008445B0" w:rsidP="00850ECD">
      <w:pPr>
        <w:pStyle w:val="PVxIndent"/>
      </w:pPr>
      <w:r w:rsidRPr="00800956">
        <w:t>Porządek dzienny przyjęto w formie przedstawionej w niniejszym protokole.</w:t>
      </w:r>
    </w:p>
    <w:p w14:paraId="35C1C2AC" w14:textId="7C87D7C7" w:rsidR="008445B0" w:rsidRPr="00800956" w:rsidRDefault="00B56572" w:rsidP="00B56572">
      <w:pPr>
        <w:pStyle w:val="PVxHeading"/>
        <w:numPr>
          <w:ilvl w:val="0"/>
          <w:numId w:val="0"/>
        </w:numPr>
        <w:ind w:left="567" w:hanging="567"/>
      </w:pPr>
      <w:r w:rsidRPr="00800956">
        <w:t>2.</w:t>
      </w:r>
      <w:r w:rsidRPr="00800956">
        <w:tab/>
        <w:t>Komunikaty przewodniczącego</w:t>
      </w:r>
    </w:p>
    <w:p w14:paraId="65561C62" w14:textId="45B37DFC" w:rsidR="008445B0" w:rsidRPr="00800956" w:rsidRDefault="00B56572" w:rsidP="00B56572">
      <w:pPr>
        <w:pStyle w:val="PVxSubheading12a"/>
        <w:ind w:left="1287" w:hanging="360"/>
        <w:rPr>
          <w:i w:val="0"/>
          <w:snapToGrid/>
        </w:rPr>
      </w:pPr>
      <w:r w:rsidRPr="00800956">
        <w:rPr>
          <w:rFonts w:ascii="Symbol" w:hAnsi="Symbol"/>
          <w:b w:val="0"/>
          <w:i w:val="0"/>
          <w:snapToGrid/>
        </w:rPr>
        <w:t></w:t>
      </w:r>
      <w:r w:rsidRPr="00800956">
        <w:rPr>
          <w:rFonts w:ascii="Symbol" w:hAnsi="Symbol"/>
          <w:b w:val="0"/>
          <w:i w:val="0"/>
          <w:snapToGrid/>
        </w:rPr>
        <w:tab/>
      </w:r>
      <w:r w:rsidRPr="00800956">
        <w:rPr>
          <w:i w:val="0"/>
        </w:rPr>
        <w:t xml:space="preserve">Dostępność tłumaczenia ustnego: </w:t>
      </w:r>
      <w:r w:rsidRPr="00800956">
        <w:rPr>
          <w:b w:val="0"/>
          <w:i w:val="0"/>
        </w:rPr>
        <w:t>ze względu na niedobór zasobów i</w:t>
      </w:r>
      <w:r w:rsidR="00800956" w:rsidRPr="00800956">
        <w:rPr>
          <w:b w:val="0"/>
          <w:i w:val="0"/>
        </w:rPr>
        <w:t> </w:t>
      </w:r>
      <w:r w:rsidRPr="00800956">
        <w:rPr>
          <w:b w:val="0"/>
          <w:i w:val="0"/>
        </w:rPr>
        <w:t>ograniczenia techniczne w sali posiedzeń (limit 6 języków) oraz profil językowy członków komisji ENVI dostępne było tłumaczenie ustne na język francuski, niemiecki, włoski, angielski, hiszpański i polski.</w:t>
      </w:r>
    </w:p>
    <w:p w14:paraId="338BC04E" w14:textId="7102A525" w:rsidR="008445B0" w:rsidRPr="00800956" w:rsidRDefault="00B56572" w:rsidP="00B56572">
      <w:pPr>
        <w:pStyle w:val="PVxSubheading12a"/>
        <w:ind w:left="1287" w:hanging="360"/>
        <w:rPr>
          <w:b w:val="0"/>
          <w:i w:val="0"/>
        </w:rPr>
      </w:pPr>
      <w:r w:rsidRPr="00800956">
        <w:rPr>
          <w:rFonts w:ascii="Symbol" w:hAnsi="Symbol"/>
          <w:b w:val="0"/>
          <w:i w:val="0"/>
        </w:rPr>
        <w:t></w:t>
      </w:r>
      <w:r w:rsidRPr="00800956">
        <w:rPr>
          <w:rFonts w:ascii="Symbol" w:hAnsi="Symbol"/>
          <w:b w:val="0"/>
          <w:i w:val="0"/>
        </w:rPr>
        <w:tab/>
      </w:r>
      <w:r w:rsidRPr="00800956">
        <w:rPr>
          <w:i w:val="0"/>
        </w:rPr>
        <w:t>Dokumenty na posiedzenie w formie elektronicznej i transmisja na żywo w</w:t>
      </w:r>
      <w:r w:rsidR="00800956" w:rsidRPr="00800956">
        <w:rPr>
          <w:i w:val="0"/>
        </w:rPr>
        <w:t> </w:t>
      </w:r>
      <w:r w:rsidRPr="00800956">
        <w:rPr>
          <w:i w:val="0"/>
        </w:rPr>
        <w:t xml:space="preserve">internecie: </w:t>
      </w:r>
      <w:r w:rsidRPr="00800956">
        <w:rPr>
          <w:b w:val="0"/>
          <w:i w:val="0"/>
        </w:rPr>
        <w:t>przewodniczący ogłosił, że dokumenty na posiedzenie dostępne są jak zwykle w formie elektronicznej za pośrednictwem aplikacji e-meeting oraz że posiedzenie jest transmitowane na żywo w internecie.</w:t>
      </w:r>
    </w:p>
    <w:p w14:paraId="135D4EF9" w14:textId="3ACEDAEC" w:rsidR="008445B0" w:rsidRPr="00800956" w:rsidRDefault="00B56572" w:rsidP="00B56572">
      <w:pPr>
        <w:pStyle w:val="PVxIndent12a"/>
        <w:ind w:left="1287" w:hanging="360"/>
      </w:pPr>
      <w:r w:rsidRPr="00800956">
        <w:rPr>
          <w:rFonts w:ascii="Symbol" w:hAnsi="Symbol"/>
        </w:rPr>
        <w:t></w:t>
      </w:r>
      <w:r w:rsidRPr="00800956">
        <w:rPr>
          <w:rFonts w:ascii="Symbol" w:hAnsi="Symbol"/>
        </w:rPr>
        <w:tab/>
      </w:r>
      <w:r w:rsidRPr="00800956">
        <w:rPr>
          <w:b/>
        </w:rPr>
        <w:t xml:space="preserve">Zdalny udział członków komisji ENVI: </w:t>
      </w:r>
      <w:r w:rsidRPr="00800956">
        <w:t>przewodniczący ogłosił, że posiedzenie odbywa się w formie zdalnej.</w:t>
      </w:r>
    </w:p>
    <w:p w14:paraId="7DAB69BD" w14:textId="0BBBB301" w:rsidR="008445B0" w:rsidRPr="00800956" w:rsidRDefault="00B56572" w:rsidP="00B56572">
      <w:pPr>
        <w:pStyle w:val="PVxHeading"/>
        <w:numPr>
          <w:ilvl w:val="0"/>
          <w:numId w:val="0"/>
        </w:numPr>
        <w:ind w:left="567" w:hanging="567"/>
        <w:rPr>
          <w:rFonts w:eastAsiaTheme="minorEastAsia"/>
          <w:bCs/>
          <w:snapToGrid/>
          <w:color w:val="000000"/>
          <w:szCs w:val="24"/>
        </w:rPr>
      </w:pPr>
      <w:r w:rsidRPr="00800956">
        <w:rPr>
          <w:bCs/>
          <w:snapToGrid/>
          <w:color w:val="000000"/>
          <w:szCs w:val="24"/>
        </w:rPr>
        <w:lastRenderedPageBreak/>
        <w:t>3.</w:t>
      </w:r>
      <w:r w:rsidRPr="00800956">
        <w:rPr>
          <w:bCs/>
          <w:snapToGrid/>
          <w:color w:val="000000"/>
          <w:szCs w:val="24"/>
        </w:rPr>
        <w:tab/>
        <w:t>Wymiana poglądów z Guido Rasim, dyrektorem wykonawczym Europejskiej Agencji Leków (EMA), na temat działań EMA w kontekście COVID-19 oraz perspektyw na przyszłość</w:t>
      </w:r>
    </w:p>
    <w:p w14:paraId="34047C36" w14:textId="77777777" w:rsidR="008445B0" w:rsidRPr="00800956" w:rsidRDefault="008445B0">
      <w:pPr>
        <w:pStyle w:val="PVxSubheadingTab12b"/>
        <w:rPr>
          <w:b w:val="0"/>
          <w:i w:val="0"/>
        </w:rPr>
      </w:pPr>
      <w:r w:rsidRPr="00800956">
        <w:t>Głos zabrali:</w:t>
      </w:r>
      <w:r w:rsidRPr="00800956">
        <w:rPr>
          <w:b w:val="0"/>
          <w:i w:val="0"/>
        </w:rPr>
        <w:t xml:space="preserve"> prof. Guido Rasi (dyrektor wykonawczy Europejskiej Agencji Leków), Peter Liese, César Luena, Chrysoula Zacharopoulou, Catherine Griset, Jutta Paulus, Joanna Kopcińska, Mick Wallace, Antoni Comín i Oliveres, Cristian</w:t>
      </w:r>
      <w:r w:rsidRPr="00800956">
        <w:rPr>
          <w:b w:val="0"/>
          <w:i w:val="0"/>
        </w:rPr>
        <w:noBreakHyphen/>
        <w:t>Silviu Buşoi, Véronique Trillet</w:t>
      </w:r>
      <w:r w:rsidRPr="00800956">
        <w:rPr>
          <w:b w:val="0"/>
          <w:i w:val="0"/>
        </w:rPr>
        <w:noBreakHyphen/>
        <w:t>Lenoir, Margrete Auken, Grzegorz Tobiszowski, Marek Paweł Balt, Nathalie Colin</w:t>
      </w:r>
      <w:r w:rsidRPr="00800956">
        <w:rPr>
          <w:b w:val="0"/>
          <w:i w:val="0"/>
        </w:rPr>
        <w:noBreakHyphen/>
        <w:t>Oesterlé, Sara Cerdas, Frédérique Ries, Michèle Rivasi, Margarita de la Pisa Carrión, Mairead McGuinness</w:t>
      </w:r>
    </w:p>
    <w:p w14:paraId="2B1DE388" w14:textId="0DC9B514" w:rsidR="008445B0" w:rsidRPr="00800956" w:rsidRDefault="00B56572" w:rsidP="00B56572">
      <w:pPr>
        <w:pStyle w:val="PVxHeading"/>
        <w:numPr>
          <w:ilvl w:val="0"/>
          <w:numId w:val="0"/>
        </w:numPr>
        <w:ind w:left="567" w:hanging="567"/>
      </w:pPr>
      <w:bookmarkStart w:id="0" w:name="DocEPTmpPVA1"/>
      <w:bookmarkEnd w:id="0"/>
      <w:r w:rsidRPr="00800956">
        <w:t>4.</w:t>
      </w:r>
      <w:r w:rsidRPr="00800956">
        <w:tab/>
        <w:t>Sprawy różne</w:t>
      </w:r>
    </w:p>
    <w:p w14:paraId="34AEAFEC" w14:textId="77777777" w:rsidR="008445B0" w:rsidRPr="00800956" w:rsidRDefault="008445B0" w:rsidP="006B2AF7">
      <w:pPr>
        <w:pStyle w:val="PVxIndent"/>
      </w:pPr>
      <w:r w:rsidRPr="00800956">
        <w:t>Brak</w:t>
      </w:r>
    </w:p>
    <w:p w14:paraId="2C9FD092" w14:textId="5C8B52B8" w:rsidR="008445B0" w:rsidRPr="00800956" w:rsidRDefault="00B56572" w:rsidP="00B56572">
      <w:pPr>
        <w:pStyle w:val="PVxHeading"/>
        <w:numPr>
          <w:ilvl w:val="0"/>
          <w:numId w:val="0"/>
        </w:numPr>
        <w:tabs>
          <w:tab w:val="left" w:pos="360"/>
        </w:tabs>
        <w:ind w:left="567" w:hanging="567"/>
      </w:pPr>
      <w:bookmarkStart w:id="1" w:name="DocEPTmpPVA2"/>
      <w:bookmarkEnd w:id="1"/>
      <w:r w:rsidRPr="00800956">
        <w:t>5.</w:t>
      </w:r>
      <w:r w:rsidRPr="00800956">
        <w:tab/>
        <w:t>Termin i miejsce następnego posiedzenia</w:t>
      </w:r>
    </w:p>
    <w:p w14:paraId="0A1130BB" w14:textId="212C43AD" w:rsidR="008445B0" w:rsidRPr="00800956" w:rsidRDefault="00AC1B0F" w:rsidP="008445B0">
      <w:pPr>
        <w:pStyle w:val="PVxIndent"/>
      </w:pPr>
      <w:r w:rsidRPr="00800956">
        <w:t>28 maja 2020 r.</w:t>
      </w:r>
      <w:r w:rsidR="00800956" w:rsidRPr="00800956">
        <w:t xml:space="preserve">, w godz. 9.00–11.00, </w:t>
      </w:r>
      <w:bookmarkStart w:id="2" w:name="_GoBack"/>
      <w:bookmarkEnd w:id="2"/>
      <w:r w:rsidRPr="00800956">
        <w:t>16.30–18.30 oraz 18.30–19.30 (Bruksela)</w:t>
      </w:r>
    </w:p>
    <w:p w14:paraId="5087388B" w14:textId="77777777" w:rsidR="008445B0" w:rsidRPr="00800956" w:rsidRDefault="008445B0" w:rsidP="008445B0">
      <w:pPr>
        <w:pStyle w:val="MeetingClosing"/>
      </w:pPr>
      <w:bookmarkStart w:id="3" w:name="PVXContinue"/>
      <w:bookmarkEnd w:id="3"/>
      <w:r w:rsidRPr="00800956">
        <w:t>Posiedzenie zamknięto o godz. 10.50.</w:t>
      </w:r>
    </w:p>
    <w:p w14:paraId="4F6D233B" w14:textId="77777777" w:rsidR="00D45997" w:rsidRPr="00800956" w:rsidRDefault="00D45997" w:rsidP="00F4356E"/>
    <w:p w14:paraId="28ED5BB0" w14:textId="77777777" w:rsidR="001E4EBD" w:rsidRPr="00800956" w:rsidRDefault="001E4EBD" w:rsidP="001E4EBD">
      <w:pPr>
        <w:sectPr w:rsidR="001E4EBD" w:rsidRPr="00800956" w:rsidSect="000F252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134" w:right="1418" w:bottom="1418" w:left="1418" w:header="567" w:footer="567" w:gutter="0"/>
          <w:cols w:space="720"/>
          <w:titlePg/>
          <w:docGrid w:linePitch="326"/>
        </w:sectPr>
      </w:pPr>
    </w:p>
    <w:p w14:paraId="34E32CD4" w14:textId="77777777" w:rsidR="008452E8" w:rsidRPr="00800956" w:rsidRDefault="00CC6E1E" w:rsidP="00E2660A">
      <w:pPr>
        <w:pStyle w:val="AttendancePVTitle"/>
      </w:pPr>
      <w:r w:rsidRPr="00800956">
        <w:lastRenderedPageBreak/>
        <w:t>ПРИСЪСТВЕН ЛИСТ/LISTA DE ASISTENCIA/PREZENČNÍ LISTINA/DELTAGERLISTE/ ANWESENHEITSLISTE/KOHALOLIJATE NIMEKIRI/ΚΑΤΑΣΤΑΣΗ ΠΑΡΟΝΤΩΝ/RECORD OF ATTENDANCE/ LISTE DE PRÉSENCE/POPIS NAZOČNIH/ELENCO DI PRESENZA/APMEKLĒJUMU REĢISTRS/DALYVIŲ SĄRAŠAS/ JELENLÉTI ÍV/REĠISTRU TA' ATTENDENZA/PRESENTIELIJST/LISTA OBECNOŚCI/LISTA DE PRESENÇAS/ LISTĂ DE PREZENŢĂ/PREZENČNÁ LISTINA/SEZNAM NAVZOČIH/LÄSNÄOLOLISTA/NÄRVAROLISTA</w:t>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auto"/>
          <w:insideV w:val="single" w:sz="4" w:space="0" w:color="auto"/>
        </w:tblBorders>
        <w:tblLayout w:type="fixed"/>
        <w:tblCellMar>
          <w:left w:w="153" w:type="dxa"/>
          <w:right w:w="153" w:type="dxa"/>
        </w:tblCellMar>
        <w:tblLook w:val="0000" w:firstRow="0" w:lastRow="0" w:firstColumn="0" w:lastColumn="0" w:noHBand="0" w:noVBand="0"/>
      </w:tblPr>
      <w:tblGrid>
        <w:gridCol w:w="9072"/>
      </w:tblGrid>
      <w:tr w:rsidR="008452E8" w:rsidRPr="00800956" w14:paraId="2BE452E7" w14:textId="77777777">
        <w:trPr>
          <w:cantSplit/>
        </w:trPr>
        <w:tc>
          <w:tcPr>
            <w:tcW w:w="9072" w:type="dxa"/>
            <w:shd w:val="pct10" w:color="000000" w:fill="FFFFFF"/>
          </w:tcPr>
          <w:p w14:paraId="0A3B9C35" w14:textId="77777777" w:rsidR="008452E8" w:rsidRPr="00800956" w:rsidRDefault="00CC6E1E" w:rsidP="00AD4CEB">
            <w:pPr>
              <w:pStyle w:val="AttendancePVTable"/>
            </w:pPr>
            <w:r w:rsidRPr="00800956">
              <w:t>Бюро/Mesa/Předsednictvo/Formandskabet/Vorstand/Juhatus/Προεδρείο/Bureau/Predsjedništvo/Ufficio di presidenza/Prezidijs/ Biuras/Elnökség/Prezydium/Birou/Predsedníctvo/Predsedstvo/Puheenjohtajisto/Presidiet (*)</w:t>
            </w:r>
          </w:p>
        </w:tc>
      </w:tr>
      <w:tr w:rsidR="008452E8" w:rsidRPr="00800956" w14:paraId="3C30FD87" w14:textId="77777777">
        <w:trPr>
          <w:cantSplit/>
          <w:trHeight w:val="720"/>
        </w:trPr>
        <w:tc>
          <w:tcPr>
            <w:tcW w:w="9072" w:type="dxa"/>
            <w:shd w:val="clear" w:color="000000" w:fill="FFFFFF"/>
          </w:tcPr>
          <w:p w14:paraId="714D43DA" w14:textId="56A56AA0" w:rsidR="008452E8" w:rsidRPr="00800956" w:rsidRDefault="00E44301" w:rsidP="00AD4CEB">
            <w:pPr>
              <w:pStyle w:val="AttendancePVTable"/>
            </w:pPr>
            <w:bookmarkStart w:id="4" w:name="DocEPLastPosition"/>
            <w:bookmarkEnd w:id="4"/>
            <w:r w:rsidRPr="00800956">
              <w:t>Pascal Canfin (P), César Luena (VP), Dan</w:t>
            </w:r>
            <w:r w:rsidRPr="00800956">
              <w:noBreakHyphen/>
              <w:t>Ștefan Motreanu (VP)</w:t>
            </w:r>
          </w:p>
        </w:tc>
      </w:tr>
      <w:tr w:rsidR="008452E8" w:rsidRPr="00800956" w14:paraId="0F5399D0" w14:textId="77777777">
        <w:trPr>
          <w:cantSplit/>
        </w:trPr>
        <w:tc>
          <w:tcPr>
            <w:tcW w:w="9072" w:type="dxa"/>
            <w:shd w:val="pct10" w:color="000000" w:fill="FFFFFF"/>
          </w:tcPr>
          <w:p w14:paraId="3E7AFD48" w14:textId="77777777" w:rsidR="008452E8" w:rsidRPr="00800956" w:rsidRDefault="00CC6E1E" w:rsidP="00AD4CEB">
            <w:pPr>
              <w:pStyle w:val="AttendancePVTable"/>
            </w:pPr>
            <w:r w:rsidRPr="00800956">
              <w:t>Членове/Diputados/Poslanci/Medlemmer/Mitglieder/Parlamendiliikmed/Βουλευτές/Members/Députés/Zastupnici/Deputati/Deputāti/ Nariai/Képviselõk/Membri/Leden/Posłowie/Deputados/Deputaţi/Jäsenet/Ledamöter</w:t>
            </w:r>
          </w:p>
        </w:tc>
      </w:tr>
      <w:tr w:rsidR="008452E8" w:rsidRPr="00800956" w14:paraId="63D03F64" w14:textId="77777777">
        <w:trPr>
          <w:cantSplit/>
          <w:trHeight w:val="1200"/>
        </w:trPr>
        <w:tc>
          <w:tcPr>
            <w:tcW w:w="9072" w:type="dxa"/>
            <w:shd w:val="clear" w:color="000000" w:fill="FFFFFF"/>
          </w:tcPr>
          <w:p w14:paraId="15406E32" w14:textId="455987FC" w:rsidR="008452E8" w:rsidRPr="00800956" w:rsidRDefault="006C0503" w:rsidP="008D17A3">
            <w:pPr>
              <w:pStyle w:val="AttendancePVTable"/>
            </w:pPr>
            <w:r w:rsidRPr="00800956">
              <w:t>Margrete Auken, Simona Baldassarre, Marek Paweł Balt, Delara Burkhardt, Traian Băsescu, Sara Cerdas, Nathalie Colin</w:t>
            </w:r>
            <w:r w:rsidRPr="00800956">
              <w:noBreakHyphen/>
              <w:t>Oesterlé, Christian Doleschal, Catherine Griset, Jan Huitema, Ewa Kopacz, Joanna Kopcińska, Peter Liese, Javi López, Silvia Modig, Alessandra Moretti, Ville Niinistö, Jutta Paulus, Jessica Polfjärd, Frédérique Ries, María Soraya Rodríguez Ramos, Christine Schneider, Véronique Trillet</w:t>
            </w:r>
            <w:r w:rsidRPr="00800956">
              <w:noBreakHyphen/>
              <w:t>Lenoir, Edina Tóth, Mick Wallace, Michal Wiezik, Tiemo Wölken, Esther de Lange, Nicolae Ştefănuță</w:t>
            </w:r>
          </w:p>
        </w:tc>
      </w:tr>
      <w:tr w:rsidR="008452E8" w:rsidRPr="00800956" w14:paraId="3614DFFB" w14:textId="77777777">
        <w:trPr>
          <w:cantSplit/>
        </w:trPr>
        <w:tc>
          <w:tcPr>
            <w:tcW w:w="9072" w:type="dxa"/>
            <w:shd w:val="pct10" w:color="000000" w:fill="FFFFFF"/>
          </w:tcPr>
          <w:p w14:paraId="471CC741" w14:textId="77777777" w:rsidR="008452E8" w:rsidRPr="00800956" w:rsidRDefault="00CC6E1E" w:rsidP="00AD4CEB">
            <w:pPr>
              <w:pStyle w:val="AttendancePVTable"/>
            </w:pPr>
            <w:r w:rsidRPr="00800956">
              <w:t>Заместници/Suplentes/Náhradníci/Stedfortrædere/Stellvertreter/Asendusliikmed/Αναπληρωτές/Substitutes/Suppléants/Zamjenici/ Supplenti/Aizstājēji/Pavaduojantysnariai/Póttagok/Sostituti/Plaatsvervangers/Zastępcy/Membros suplentes/Supleanţi/Náhradníci/ Namestniki/Varajäsenet/Suppleanter</w:t>
            </w:r>
          </w:p>
        </w:tc>
      </w:tr>
      <w:tr w:rsidR="008452E8" w:rsidRPr="00800956" w14:paraId="38E25790" w14:textId="77777777">
        <w:trPr>
          <w:cantSplit/>
          <w:trHeight w:val="1200"/>
        </w:trPr>
        <w:tc>
          <w:tcPr>
            <w:tcW w:w="9072" w:type="dxa"/>
            <w:shd w:val="clear" w:color="000000" w:fill="FFFFFF"/>
          </w:tcPr>
          <w:p w14:paraId="59E17214" w14:textId="67FC24B5" w:rsidR="008452E8" w:rsidRPr="00800956" w:rsidRDefault="006C0503" w:rsidP="006C0503">
            <w:pPr>
              <w:pStyle w:val="AttendancePVTable"/>
            </w:pPr>
            <w:r w:rsidRPr="00800956">
              <w:t>Biljana Borzan, Klaus Buchner, Cristian</w:t>
            </w:r>
            <w:r w:rsidRPr="00800956">
              <w:noBreakHyphen/>
              <w:t>Silviu Buşoi, Antoni Comín i Oliveres, Sunčana Glavak, Christophe Hansen, Marian</w:t>
            </w:r>
            <w:r w:rsidRPr="00800956">
              <w:noBreakHyphen/>
              <w:t>Jean Marinescu, Mairead McGuinness, Sirpa Pietikäinen, Michèle Rivasi, Christel Schaldemose, Andrey Slabakov, Susana Solís Pérez, Sylwia Spurek, Hermann Tertsch, Róża Thun und Hohenstein, Grzegorz Tobiszowski, Marie Toussaint, Sarah Wiener, Chrysoula Zacharopoulou, Margarita de la Pisa Carrión</w:t>
            </w:r>
          </w:p>
        </w:tc>
      </w:tr>
    </w:tbl>
    <w:p w14:paraId="5E45F12C" w14:textId="77777777" w:rsidR="008452E8" w:rsidRPr="00800956" w:rsidRDefault="008452E8" w:rsidP="005D5A08">
      <w:pPr>
        <w:pStyle w:val="AttendancePV"/>
      </w:pPr>
    </w:p>
    <w:p w14:paraId="3C42183A" w14:textId="77777777" w:rsidR="008452E8" w:rsidRPr="00800956" w:rsidRDefault="008452E8" w:rsidP="005D5A08">
      <w:pPr>
        <w:pStyle w:val="AttendancePV"/>
      </w:pPr>
    </w:p>
    <w:p w14:paraId="4EA82A7B" w14:textId="77777777" w:rsidR="00714F25" w:rsidRPr="00800956" w:rsidRDefault="00714F25" w:rsidP="005D5A08">
      <w:pPr>
        <w:pStyle w:val="AttendancePV"/>
      </w:pP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7513"/>
        <w:gridCol w:w="1559"/>
      </w:tblGrid>
      <w:tr w:rsidR="008452E8" w:rsidRPr="00800956" w14:paraId="5C834275" w14:textId="77777777">
        <w:trPr>
          <w:cantSplit/>
        </w:trPr>
        <w:tc>
          <w:tcPr>
            <w:tcW w:w="9072" w:type="dxa"/>
            <w:gridSpan w:val="2"/>
            <w:shd w:val="pct10" w:color="000000" w:fill="FFFFFF"/>
          </w:tcPr>
          <w:p w14:paraId="2472A07B" w14:textId="77777777" w:rsidR="008452E8" w:rsidRPr="00800956" w:rsidRDefault="006D2283" w:rsidP="00467244">
            <w:pPr>
              <w:pStyle w:val="AttendancePVTable"/>
            </w:pPr>
            <w:r w:rsidRPr="00800956">
              <w:t>209 (7)</w:t>
            </w:r>
          </w:p>
        </w:tc>
      </w:tr>
      <w:tr w:rsidR="008452E8" w:rsidRPr="00800956" w14:paraId="436C6BA1" w14:textId="77777777">
        <w:trPr>
          <w:cantSplit/>
          <w:trHeight w:val="720"/>
        </w:trPr>
        <w:tc>
          <w:tcPr>
            <w:tcW w:w="9072" w:type="dxa"/>
            <w:gridSpan w:val="2"/>
          </w:tcPr>
          <w:p w14:paraId="3299700D" w14:textId="7BEE9E48" w:rsidR="008452E8" w:rsidRPr="00800956" w:rsidRDefault="008452E8" w:rsidP="00AD4CEB">
            <w:pPr>
              <w:pStyle w:val="AttendancePVTable"/>
            </w:pPr>
          </w:p>
        </w:tc>
      </w:tr>
      <w:tr w:rsidR="008452E8" w:rsidRPr="00800956" w14:paraId="433F2EA6" w14:textId="77777777">
        <w:trPr>
          <w:cantSplit/>
        </w:trPr>
        <w:tc>
          <w:tcPr>
            <w:tcW w:w="9072" w:type="dxa"/>
            <w:gridSpan w:val="2"/>
            <w:shd w:val="pct10" w:color="000000" w:fill="FFFFFF"/>
          </w:tcPr>
          <w:p w14:paraId="3169CF37" w14:textId="77777777" w:rsidR="008452E8" w:rsidRPr="00800956" w:rsidRDefault="00467244" w:rsidP="00AD4CEB">
            <w:pPr>
              <w:pStyle w:val="AttendancePVTable"/>
            </w:pPr>
            <w:r w:rsidRPr="00800956">
              <w:t>216 (3)</w:t>
            </w:r>
          </w:p>
        </w:tc>
      </w:tr>
      <w:tr w:rsidR="008452E8" w:rsidRPr="00800956" w14:paraId="5205CEDE" w14:textId="77777777">
        <w:trPr>
          <w:cantSplit/>
          <w:trHeight w:val="720"/>
        </w:trPr>
        <w:tc>
          <w:tcPr>
            <w:tcW w:w="9072" w:type="dxa"/>
            <w:gridSpan w:val="2"/>
          </w:tcPr>
          <w:p w14:paraId="69ED5C96" w14:textId="4B629B07" w:rsidR="008452E8" w:rsidRPr="00800956" w:rsidRDefault="008452E8" w:rsidP="00AD4CEB">
            <w:pPr>
              <w:pStyle w:val="AttendancePVTable"/>
            </w:pPr>
          </w:p>
        </w:tc>
      </w:tr>
      <w:tr w:rsidR="008452E8" w:rsidRPr="00800956" w14:paraId="351E8F67" w14:textId="77777777">
        <w:trPr>
          <w:cantSplit/>
        </w:trPr>
        <w:tc>
          <w:tcPr>
            <w:tcW w:w="9072" w:type="dxa"/>
            <w:gridSpan w:val="2"/>
            <w:shd w:val="pct10" w:color="000000" w:fill="FFFFFF"/>
          </w:tcPr>
          <w:p w14:paraId="43DDF576" w14:textId="77777777" w:rsidR="008452E8" w:rsidRPr="00800956" w:rsidRDefault="006D2283" w:rsidP="00467244">
            <w:pPr>
              <w:pStyle w:val="AttendancePVTable"/>
            </w:pPr>
            <w:r w:rsidRPr="00800956">
              <w:t>56 (8) (Точка от дневния ред/Punto del orden del día/Bod pořadu jednání (OJ)/Punkt på dagsordenen/Tagesordnungspunkt/ Päevakorra punkt/Σημείο της ημερήσιας διάταξης/Agenda item/Point OJ/Točka dnevnog reda/Punto all'ordine del giorno/Darba kārtības punkts/Darbotvarkės punktas/Napirendi pont/Punt Aġenda/Agendapunt/Punkt porządku dziennego/Ponto OD/Punct de pe ordinea de zi/Bod programu schôdze/Točka UL/Esityslistan kohta/Punkt på föredragningslistan)</w:t>
            </w:r>
          </w:p>
        </w:tc>
      </w:tr>
      <w:tr w:rsidR="008452E8" w:rsidRPr="00800956" w14:paraId="3232239F" w14:textId="77777777">
        <w:trPr>
          <w:trHeight w:val="720"/>
        </w:trPr>
        <w:tc>
          <w:tcPr>
            <w:tcW w:w="7513" w:type="dxa"/>
          </w:tcPr>
          <w:p w14:paraId="70702C98" w14:textId="1FB0138C" w:rsidR="008452E8" w:rsidRPr="00800956" w:rsidRDefault="008452E8" w:rsidP="00AD4CEB">
            <w:pPr>
              <w:pStyle w:val="AttendancePVTable"/>
            </w:pPr>
          </w:p>
        </w:tc>
        <w:tc>
          <w:tcPr>
            <w:tcW w:w="1559" w:type="dxa"/>
          </w:tcPr>
          <w:p w14:paraId="1A6BBCAE" w14:textId="74919BA4" w:rsidR="008452E8" w:rsidRPr="00800956" w:rsidRDefault="008452E8" w:rsidP="00AD4CEB">
            <w:pPr>
              <w:pStyle w:val="AttendancePVTable"/>
            </w:pPr>
          </w:p>
        </w:tc>
      </w:tr>
    </w:tbl>
    <w:p w14:paraId="488D5E62" w14:textId="77777777" w:rsidR="008452E8" w:rsidRPr="00800956" w:rsidRDefault="008452E8" w:rsidP="005D5A08">
      <w:pPr>
        <w:pStyle w:val="AttendancePV"/>
      </w:pPr>
    </w:p>
    <w:p w14:paraId="726AA459" w14:textId="77777777" w:rsidR="0083601E" w:rsidRPr="00800956" w:rsidRDefault="0083601E" w:rsidP="005D5A08">
      <w:pPr>
        <w:pStyle w:val="AttendancePV"/>
      </w:pPr>
    </w:p>
    <w:p w14:paraId="002FE6DE" w14:textId="77777777" w:rsidR="0083601E" w:rsidRPr="00800956" w:rsidRDefault="0083601E" w:rsidP="005D5A08">
      <w:pPr>
        <w:pStyle w:val="AttendancePV"/>
      </w:pPr>
    </w:p>
    <w:p w14:paraId="5290FD2A" w14:textId="77777777" w:rsidR="0083601E" w:rsidRPr="00800956" w:rsidRDefault="0076749D" w:rsidP="005D5A08">
      <w:pPr>
        <w:pStyle w:val="AttendancePV"/>
      </w:pPr>
      <w:r w:rsidRPr="00800956">
        <w:br w:type="page"/>
      </w:r>
    </w:p>
    <w:tbl>
      <w:tblPr>
        <w:tblW w:w="0" w:type="auto"/>
        <w:tblInd w:w="153"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53" w:type="dxa"/>
          <w:right w:w="153" w:type="dxa"/>
        </w:tblCellMar>
        <w:tblLook w:val="0000" w:firstRow="0" w:lastRow="0" w:firstColumn="0" w:lastColumn="0" w:noHBand="0" w:noVBand="0"/>
      </w:tblPr>
      <w:tblGrid>
        <w:gridCol w:w="9072"/>
      </w:tblGrid>
      <w:tr w:rsidR="0083601E" w:rsidRPr="00800956" w14:paraId="6D899F91" w14:textId="77777777" w:rsidTr="00B15084">
        <w:trPr>
          <w:cantSplit/>
        </w:trPr>
        <w:tc>
          <w:tcPr>
            <w:tcW w:w="9072" w:type="dxa"/>
            <w:shd w:val="pct10" w:color="000000" w:fill="FFFFFF"/>
          </w:tcPr>
          <w:p w14:paraId="1F4D24CD" w14:textId="77777777" w:rsidR="0083601E" w:rsidRPr="00800956" w:rsidRDefault="0083601E" w:rsidP="00AD4CEB">
            <w:pPr>
              <w:pStyle w:val="AttendancePVTable"/>
            </w:pPr>
            <w:r w:rsidRPr="00800956">
              <w:lastRenderedPageBreak/>
              <w:t>Наблюдатели/Observadores/Pozorovatelé/Observatører/Beobachter/Vaatlejad/Παρατηρητές/Observers/Observateurs/Promatrači/ Osservatori/Novērotāji/Stebėtojai/Megfigyelők/Osservaturi/Waarnemers/Obserwatorzy/Observadores/Observatori/Pozorovatelia/ Opazovalci/Tarkkailijat/Observatörer</w:t>
            </w:r>
          </w:p>
        </w:tc>
      </w:tr>
      <w:tr w:rsidR="0083601E" w:rsidRPr="00800956" w14:paraId="579FF787" w14:textId="77777777" w:rsidTr="00B15084">
        <w:trPr>
          <w:cantSplit/>
          <w:trHeight w:val="720"/>
        </w:trPr>
        <w:tc>
          <w:tcPr>
            <w:tcW w:w="9072" w:type="dxa"/>
          </w:tcPr>
          <w:p w14:paraId="53BB685F" w14:textId="299918C7" w:rsidR="0083601E" w:rsidRPr="00800956" w:rsidRDefault="0083601E" w:rsidP="00AD4CEB">
            <w:pPr>
              <w:pStyle w:val="AttendancePVTable"/>
            </w:pPr>
          </w:p>
        </w:tc>
      </w:tr>
    </w:tbl>
    <w:p w14:paraId="2EE7C8EA" w14:textId="77777777" w:rsidR="008452E8" w:rsidRPr="00800956" w:rsidRDefault="008452E8" w:rsidP="005D5A08">
      <w:pPr>
        <w:pStyle w:val="AttendancePV"/>
      </w:pPr>
    </w:p>
    <w:p w14:paraId="0D138ECE" w14:textId="77777777" w:rsidR="0083601E" w:rsidRPr="00800956" w:rsidRDefault="0083601E" w:rsidP="005D5A08">
      <w:pPr>
        <w:pStyle w:val="AttendancePV"/>
      </w:pPr>
    </w:p>
    <w:p w14:paraId="425A277D" w14:textId="77777777" w:rsidR="00DB5CC6" w:rsidRPr="00800956" w:rsidRDefault="00DB5CC6"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4" w:space="0" w:color="000000"/>
        </w:tblBorders>
        <w:tblLayout w:type="fixed"/>
        <w:tblCellMar>
          <w:left w:w="177" w:type="dxa"/>
          <w:right w:w="177" w:type="dxa"/>
        </w:tblCellMar>
        <w:tblLook w:val="0000" w:firstRow="0" w:lastRow="0" w:firstColumn="0" w:lastColumn="0" w:noHBand="0" w:noVBand="0"/>
      </w:tblPr>
      <w:tblGrid>
        <w:gridCol w:w="9072"/>
      </w:tblGrid>
      <w:tr w:rsidR="008452E8" w:rsidRPr="00800956" w14:paraId="650AB6E3" w14:textId="77777777">
        <w:tc>
          <w:tcPr>
            <w:tcW w:w="9072" w:type="dxa"/>
            <w:shd w:val="pct10" w:color="000000" w:fill="FFFFFF"/>
          </w:tcPr>
          <w:p w14:paraId="17A9B829" w14:textId="77777777" w:rsidR="008452E8" w:rsidRPr="00800956" w:rsidRDefault="00CC6E1E" w:rsidP="00F51C97">
            <w:pPr>
              <w:pStyle w:val="AttendancePVTable"/>
            </w:pPr>
            <w:r w:rsidRPr="00800956">
              <w:t>По покана на председателя/Por invitación del presidente/Na pozvání předsedy/Efter indbydelse fra formanden/Auf Einladung des Vorsitzenden/Esimehe kutsel/Με πρόσκληση του Προέδρου/At the invitation of the Chair/Sur l’invitation du président/ Na poziv predsjednika/Su invito del presidente/Pēc priekšsēdētāja uzaicinājuma/Pirmininkui pakvietus/Az elnök meghívására/ Fuq stedina taċ</w:t>
            </w:r>
            <w:r w:rsidRPr="00800956">
              <w:noBreakHyphen/>
              <w:t>'Chairman'/Op uitnodiging van de voorzitter/Na zaproszenie Przewodniczącego/A convite do Presidente/La invitaţia preşedintelui/ Na pozvanie predsedu/Na povabilo predsednika/Puheenjohtajan kutsusta/På ordförandens inbjudan</w:t>
            </w:r>
          </w:p>
        </w:tc>
      </w:tr>
      <w:tr w:rsidR="008452E8" w:rsidRPr="00800956" w14:paraId="7B3E26F3" w14:textId="77777777">
        <w:trPr>
          <w:trHeight w:val="720"/>
        </w:trPr>
        <w:tc>
          <w:tcPr>
            <w:tcW w:w="9072" w:type="dxa"/>
          </w:tcPr>
          <w:p w14:paraId="671712EE" w14:textId="59FE5167" w:rsidR="008452E8" w:rsidRPr="00800956" w:rsidRDefault="00850ECD" w:rsidP="00AD4CEB">
            <w:pPr>
              <w:pStyle w:val="AttendancePVTable"/>
            </w:pPr>
            <w:r w:rsidRPr="00800956">
              <w:t>Prof. Guido Rasi (Executive Director of European Medicines Agency)</w:t>
            </w:r>
          </w:p>
        </w:tc>
      </w:tr>
    </w:tbl>
    <w:p w14:paraId="1A692719" w14:textId="77777777" w:rsidR="008452E8" w:rsidRPr="00800956" w:rsidRDefault="008452E8" w:rsidP="005D5A08">
      <w:pPr>
        <w:pStyle w:val="AttendancePV"/>
      </w:pPr>
    </w:p>
    <w:p w14:paraId="4F0DB66F" w14:textId="77777777" w:rsidR="0083601E" w:rsidRPr="00800956" w:rsidRDefault="0083601E" w:rsidP="005D5A08">
      <w:pPr>
        <w:pStyle w:val="AttendancePV"/>
      </w:pPr>
    </w:p>
    <w:p w14:paraId="5C1C9DAF" w14:textId="77777777" w:rsidR="008452E8" w:rsidRPr="00800956" w:rsidRDefault="008452E8" w:rsidP="005D5A08">
      <w:pPr>
        <w:pStyle w:val="AttendancePV"/>
      </w:pPr>
    </w:p>
    <w:tbl>
      <w:tblPr>
        <w:tblW w:w="0" w:type="auto"/>
        <w:tblInd w:w="177"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77" w:type="dxa"/>
          <w:right w:w="177" w:type="dxa"/>
        </w:tblCellMar>
        <w:tblLook w:val="0000" w:firstRow="0" w:lastRow="0" w:firstColumn="0" w:lastColumn="0" w:noHBand="0" w:noVBand="0"/>
      </w:tblPr>
      <w:tblGrid>
        <w:gridCol w:w="1701"/>
        <w:gridCol w:w="7371"/>
      </w:tblGrid>
      <w:tr w:rsidR="008452E8" w:rsidRPr="00800956" w14:paraId="5C5E0AB6" w14:textId="77777777">
        <w:tc>
          <w:tcPr>
            <w:tcW w:w="9072" w:type="dxa"/>
            <w:gridSpan w:val="2"/>
            <w:shd w:val="pct10" w:color="000000" w:fill="FFFFFF"/>
          </w:tcPr>
          <w:p w14:paraId="50DA28DA" w14:textId="77777777" w:rsidR="008452E8" w:rsidRPr="00800956" w:rsidRDefault="00CC6E1E" w:rsidP="00AD4CEB">
            <w:pPr>
              <w:pStyle w:val="AttendancePVTable"/>
            </w:pPr>
            <w:r w:rsidRPr="00800956">
              <w:t>Съвет/Consejo/Rada/Rådet/Rat/Nõukogu/Συμβούλιο/Council/Conseil/Vijeće/Consiglio/Padome/Taryba/Tanács/Kunsill/Raad/ Conselho/Consiliu/Svet/Neuvosto/Rådet (*)</w:t>
            </w:r>
          </w:p>
        </w:tc>
      </w:tr>
      <w:tr w:rsidR="008452E8" w:rsidRPr="00800956" w14:paraId="577C9B54" w14:textId="77777777">
        <w:trPr>
          <w:trHeight w:val="720"/>
        </w:trPr>
        <w:tc>
          <w:tcPr>
            <w:tcW w:w="9072" w:type="dxa"/>
            <w:gridSpan w:val="2"/>
          </w:tcPr>
          <w:p w14:paraId="1ECDC7F4" w14:textId="6A4AB44F" w:rsidR="008452E8" w:rsidRPr="00800956" w:rsidRDefault="008452E8" w:rsidP="00AD4CEB">
            <w:pPr>
              <w:pStyle w:val="AttendancePVTable"/>
            </w:pPr>
          </w:p>
        </w:tc>
      </w:tr>
      <w:tr w:rsidR="008452E8" w:rsidRPr="00800956" w14:paraId="10817D9C" w14:textId="77777777">
        <w:tc>
          <w:tcPr>
            <w:tcW w:w="9072" w:type="dxa"/>
            <w:gridSpan w:val="2"/>
            <w:shd w:val="pct10" w:color="000000" w:fill="FFFFFF"/>
          </w:tcPr>
          <w:p w14:paraId="625FCE7D" w14:textId="77777777" w:rsidR="008452E8" w:rsidRPr="00800956" w:rsidRDefault="00CC6E1E" w:rsidP="002E2B09">
            <w:pPr>
              <w:pStyle w:val="AttendancePVTable"/>
            </w:pPr>
            <w:r w:rsidRPr="00800956">
              <w:t>Комисия/Comisión/Komise/Kommissionen/Kommission/Komisjon/Επιτροπή/Commission/Komisija/Commissione/Bizottság/ Kummissjoni/Commissie/Komisja/Comissão/Comisie/Komisia/Komissio/Kommissionen (*)</w:t>
            </w:r>
          </w:p>
        </w:tc>
      </w:tr>
      <w:tr w:rsidR="008452E8" w:rsidRPr="00800956" w14:paraId="25C35957" w14:textId="77777777">
        <w:trPr>
          <w:trHeight w:val="720"/>
        </w:trPr>
        <w:tc>
          <w:tcPr>
            <w:tcW w:w="9072" w:type="dxa"/>
            <w:gridSpan w:val="2"/>
          </w:tcPr>
          <w:p w14:paraId="52BC883C" w14:textId="3A5C220A" w:rsidR="008452E8" w:rsidRPr="00800956" w:rsidRDefault="008452E8" w:rsidP="00AD4CEB">
            <w:pPr>
              <w:pStyle w:val="AttendancePVTable"/>
            </w:pPr>
          </w:p>
        </w:tc>
      </w:tr>
      <w:tr w:rsidR="008452E8" w:rsidRPr="00800956" w14:paraId="0C11BB5B" w14:textId="77777777">
        <w:tc>
          <w:tcPr>
            <w:tcW w:w="9072" w:type="dxa"/>
            <w:gridSpan w:val="2"/>
            <w:shd w:val="pct10" w:color="000000" w:fill="FFFFFF"/>
          </w:tcPr>
          <w:p w14:paraId="52471587" w14:textId="77777777" w:rsidR="008452E8" w:rsidRPr="00800956" w:rsidRDefault="00F0068D" w:rsidP="00F0068D">
            <w:pPr>
              <w:pStyle w:val="AttendancePVTable"/>
            </w:pPr>
            <w:r w:rsidRPr="00800956">
              <w:t>Други институции и органи/Otras instituciones y organismos/Ostatní orgány a instituce/Andre institutioner og organer/Andere Organe und Einrichtungen/Muud institutsioonid ja organid/Λοιπά θεσμικά όργανα και οργανισμοί/Other institutions and bodies/Autres institutions et organes/Druge institucije i tijela/Altre istituzioni e altri organi/Citas iestādes un struktūras/Kitos institucijos ir įstaigos/ Más intézmények és szervek/Istituzzjonijiet u korpi oħra/Andere instellingen en organen/Inne instytucje i organy/Outras instituições e outros órgãos/Alte instituții și organe/Iné inštitúcie a orgány/Muut toimielimet ja elimet/Andra institutioner och organ</w:t>
            </w:r>
          </w:p>
        </w:tc>
      </w:tr>
      <w:tr w:rsidR="008452E8" w:rsidRPr="00800956" w14:paraId="5AA737D1" w14:textId="77777777">
        <w:trPr>
          <w:cantSplit/>
          <w:trHeight w:val="720"/>
        </w:trPr>
        <w:tc>
          <w:tcPr>
            <w:tcW w:w="1701" w:type="dxa"/>
          </w:tcPr>
          <w:p w14:paraId="1F4D4756" w14:textId="4F4F35F0" w:rsidR="008452E8" w:rsidRPr="00800956" w:rsidRDefault="008452E8" w:rsidP="00AD4CEB">
            <w:pPr>
              <w:pStyle w:val="AttendancePVTable"/>
            </w:pPr>
          </w:p>
        </w:tc>
        <w:tc>
          <w:tcPr>
            <w:tcW w:w="7371" w:type="dxa"/>
          </w:tcPr>
          <w:p w14:paraId="72B66756" w14:textId="5FBA6A3A" w:rsidR="008452E8" w:rsidRPr="00800956" w:rsidRDefault="008452E8" w:rsidP="00D66509">
            <w:pPr>
              <w:pStyle w:val="AttendancePVTable"/>
            </w:pPr>
          </w:p>
        </w:tc>
      </w:tr>
    </w:tbl>
    <w:p w14:paraId="5C152437" w14:textId="77777777" w:rsidR="008452E8" w:rsidRPr="00800956" w:rsidRDefault="008452E8" w:rsidP="005D5A08">
      <w:pPr>
        <w:pStyle w:val="AttendancePV"/>
      </w:pPr>
    </w:p>
    <w:p w14:paraId="321B4346" w14:textId="77777777" w:rsidR="008452E8" w:rsidRPr="00800956" w:rsidRDefault="008452E8"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8452E8" w:rsidRPr="00800956" w14:paraId="5C497688" w14:textId="77777777">
        <w:trPr>
          <w:cantSplit/>
        </w:trPr>
        <w:tc>
          <w:tcPr>
            <w:tcW w:w="9072" w:type="dxa"/>
            <w:shd w:val="pct10" w:color="000000" w:fill="FFFFFF"/>
          </w:tcPr>
          <w:p w14:paraId="5AF0A07B" w14:textId="77777777" w:rsidR="008452E8" w:rsidRPr="00800956" w:rsidRDefault="00007788" w:rsidP="00AD4CEB">
            <w:pPr>
              <w:pStyle w:val="AttendancePVTable"/>
            </w:pPr>
            <w:r w:rsidRPr="00800956">
              <w:t>Други участници/Otros participantes/Ostatní účastníci/Endvidere deltog/Andere Teilnehmer/Muud osalejad/Επίσης παρόντες/Other participants/Autres participants/Drugi sudionici/Altri partecipanti/Citi klātesošie/Kiti dalyviai/Más résztvevők/Parteċipanti ohra/Andere aanwezigen/Inni uczestnicy/Outros participantes/Alţi participanţi/Iní účastníci/Drugi udeleženci/Muut osallistujat/Övriga deltagare</w:t>
            </w:r>
          </w:p>
        </w:tc>
      </w:tr>
      <w:tr w:rsidR="008452E8" w:rsidRPr="00800956" w14:paraId="250BE5A4" w14:textId="77777777">
        <w:trPr>
          <w:cantSplit/>
          <w:trHeight w:val="1200"/>
        </w:trPr>
        <w:tc>
          <w:tcPr>
            <w:tcW w:w="9072" w:type="dxa"/>
          </w:tcPr>
          <w:p w14:paraId="0955362C" w14:textId="4286D051" w:rsidR="008452E8" w:rsidRPr="00800956" w:rsidRDefault="008452E8" w:rsidP="00AD4CEB">
            <w:pPr>
              <w:pStyle w:val="AttendancePVTable"/>
            </w:pPr>
          </w:p>
        </w:tc>
      </w:tr>
    </w:tbl>
    <w:p w14:paraId="54758C22" w14:textId="77777777" w:rsidR="0083601E" w:rsidRPr="00800956" w:rsidRDefault="0083601E" w:rsidP="005D5A08">
      <w:pPr>
        <w:pStyle w:val="AttendancePV"/>
      </w:pPr>
      <w:r w:rsidRPr="0080095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00956" w14:paraId="29DB0091" w14:textId="77777777">
        <w:trPr>
          <w:cantSplit/>
        </w:trPr>
        <w:tc>
          <w:tcPr>
            <w:tcW w:w="9072" w:type="dxa"/>
            <w:gridSpan w:val="2"/>
            <w:shd w:val="pct10" w:color="000000" w:fill="FFFFFF"/>
          </w:tcPr>
          <w:p w14:paraId="3C8DE019" w14:textId="77777777" w:rsidR="008452E8" w:rsidRPr="00800956" w:rsidRDefault="00C634EF" w:rsidP="005F6C89">
            <w:pPr>
              <w:pStyle w:val="AttendancePVTable"/>
            </w:pPr>
            <w:r w:rsidRPr="00800956">
              <w:lastRenderedPageBreak/>
              <w:t>Секретариат на политическите групи/Secretaría de los Grupos políticos/Sekretariát politických skupin/Gruppernes sekretariat/ Sekretariat der Fraktionen/Fraktsioonide sekretariaat/Γραμματεία των Πολιτικών Ομάδων/Secretariats of political groups/Secrétariat des groupes politiques/Tajništva klubova zastupnika/Segreteria gruppi politici/Politisko grupu sekretariāts/Frakcijų sekretoriai/ Képviselőcsoportok titkársága/Segretarjat gruppi politiċi/Fractiesecretariaten/Sekretariat Grup Politycznych/Secretariado dos grupos políticos/Secretariate grupuri politice/Sekretariát politických skupín/Sekretariat političnih skupin/Poliittisten ryhmien sihteeristöt/ De politiska gruppernas sekretariat</w:t>
            </w:r>
          </w:p>
        </w:tc>
      </w:tr>
      <w:tr w:rsidR="008452E8" w:rsidRPr="00800956" w14:paraId="474487BE" w14:textId="77777777">
        <w:trPr>
          <w:cantSplit/>
        </w:trPr>
        <w:tc>
          <w:tcPr>
            <w:tcW w:w="1701" w:type="dxa"/>
            <w:shd w:val="clear" w:color="auto" w:fill="FFFFFF"/>
          </w:tcPr>
          <w:p w14:paraId="51B17A37" w14:textId="77777777" w:rsidR="008452E8" w:rsidRPr="00800956" w:rsidRDefault="008452E8" w:rsidP="00A66B35">
            <w:pPr>
              <w:pStyle w:val="AttendancePVTable"/>
            </w:pPr>
            <w:r w:rsidRPr="00800956">
              <w:t>PPE</w:t>
            </w:r>
          </w:p>
          <w:p w14:paraId="20AA6B05" w14:textId="77777777" w:rsidR="008452E8" w:rsidRPr="00800956" w:rsidRDefault="00CE5AEB" w:rsidP="00A66B35">
            <w:pPr>
              <w:pStyle w:val="AttendancePVTable"/>
            </w:pPr>
            <w:r w:rsidRPr="00800956">
              <w:t>S&amp;D</w:t>
            </w:r>
          </w:p>
          <w:p w14:paraId="44D86CE4" w14:textId="77777777" w:rsidR="00A5325A" w:rsidRPr="00800956" w:rsidRDefault="00A5325A" w:rsidP="00A66B35">
            <w:pPr>
              <w:pStyle w:val="AttendancePVTable"/>
            </w:pPr>
            <w:r w:rsidRPr="00800956">
              <w:t>Renew</w:t>
            </w:r>
          </w:p>
          <w:p w14:paraId="3DD64B02" w14:textId="77777777" w:rsidR="008452E8" w:rsidRPr="00800956" w:rsidRDefault="006D6EB9" w:rsidP="00A66B35">
            <w:pPr>
              <w:pStyle w:val="AttendancePVTable"/>
            </w:pPr>
            <w:r w:rsidRPr="00800956">
              <w:t>ID</w:t>
            </w:r>
          </w:p>
          <w:p w14:paraId="61085FF2" w14:textId="77777777" w:rsidR="00A5325A" w:rsidRPr="00800956" w:rsidRDefault="006D6EB9" w:rsidP="006D6EB9">
            <w:pPr>
              <w:pStyle w:val="AttendancePVTable"/>
            </w:pPr>
            <w:r w:rsidRPr="00800956">
              <w:t>Verts/ALE</w:t>
            </w:r>
          </w:p>
          <w:p w14:paraId="1955A70D" w14:textId="77777777" w:rsidR="00A5325A" w:rsidRPr="00800956" w:rsidRDefault="00A5325A" w:rsidP="00A5325A">
            <w:pPr>
              <w:pStyle w:val="AttendancePVTable"/>
            </w:pPr>
            <w:r w:rsidRPr="00800956">
              <w:t>ECR</w:t>
            </w:r>
          </w:p>
          <w:p w14:paraId="05F652ED" w14:textId="77777777" w:rsidR="008452E8" w:rsidRPr="00800956" w:rsidRDefault="00926DB0" w:rsidP="00A66B35">
            <w:pPr>
              <w:pStyle w:val="AttendancePVTable"/>
            </w:pPr>
            <w:r w:rsidRPr="00800956">
              <w:t>GUE/NGL</w:t>
            </w:r>
          </w:p>
          <w:p w14:paraId="55D80039" w14:textId="77777777" w:rsidR="008452E8" w:rsidRPr="00800956" w:rsidRDefault="008452E8" w:rsidP="00A66B35">
            <w:pPr>
              <w:pStyle w:val="AttendancePVTable"/>
            </w:pPr>
            <w:r w:rsidRPr="00800956">
              <w:t>NI</w:t>
            </w:r>
          </w:p>
        </w:tc>
        <w:tc>
          <w:tcPr>
            <w:tcW w:w="7371" w:type="dxa"/>
            <w:shd w:val="clear" w:color="auto" w:fill="FFFFFF"/>
          </w:tcPr>
          <w:p w14:paraId="4806C872" w14:textId="0529A61E" w:rsidR="0006514D" w:rsidRPr="00800956" w:rsidRDefault="0006514D" w:rsidP="00374A20">
            <w:pPr>
              <w:pStyle w:val="AttendancePVTable"/>
            </w:pPr>
          </w:p>
        </w:tc>
      </w:tr>
    </w:tbl>
    <w:p w14:paraId="2B18650F" w14:textId="77777777" w:rsidR="00DB5CC6" w:rsidRPr="00800956" w:rsidRDefault="00DB5CC6" w:rsidP="005D5A08">
      <w:pPr>
        <w:pStyle w:val="AttendancePV"/>
      </w:pPr>
    </w:p>
    <w:p w14:paraId="61E9AC8A" w14:textId="77777777" w:rsidR="0083601E" w:rsidRPr="00800956" w:rsidRDefault="0083601E" w:rsidP="005D5A08">
      <w:pPr>
        <w:pStyle w:val="AttendancePV"/>
      </w:pPr>
    </w:p>
    <w:p w14:paraId="5C8D1DE5" w14:textId="77777777" w:rsidR="0083601E" w:rsidRPr="00800956" w:rsidRDefault="0083601E" w:rsidP="005D5A08">
      <w:pPr>
        <w:pStyle w:val="AttendancePV"/>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8452E8" w:rsidRPr="00800956" w14:paraId="7B6D9E8B" w14:textId="77777777">
        <w:trPr>
          <w:cantSplit/>
        </w:trPr>
        <w:tc>
          <w:tcPr>
            <w:tcW w:w="9072" w:type="dxa"/>
            <w:gridSpan w:val="2"/>
            <w:shd w:val="pct10" w:color="000000" w:fill="FFFFFF"/>
          </w:tcPr>
          <w:p w14:paraId="2CC0CC62" w14:textId="77777777" w:rsidR="008452E8" w:rsidRPr="00800956" w:rsidRDefault="00DC629C" w:rsidP="00AD4CEB">
            <w:pPr>
              <w:pStyle w:val="AttendancePVTable"/>
            </w:pPr>
            <w:r w:rsidRPr="00800956">
              <w:br w:type="page"/>
              <w:t>Кабинет на председателя/Gabinete del Presidente/Kancelář předsedy/Formandens Kabinet/Kabinett des Präsidenten/Presidendi kantselei/Γραφείο του Προέδρου/President's Office/Cabinet du Président/Ured predsjednika/Gabinetto del Presidente/Priekšsēdētāja kabinets/Pirmininko kabinetas/Elnöki hivatal/Kabinett tal-President/Kabinet van de Voorzitter/Gabinet Przewodniczącego/Gabinete do Presidente/Cabinet Preşedinte/Kancelária predsedu/Urad predsednika/Puhemiehen kabinetti/Talmannens kansli</w:t>
            </w:r>
          </w:p>
        </w:tc>
      </w:tr>
      <w:tr w:rsidR="008452E8" w:rsidRPr="00800956" w14:paraId="3510D1CE" w14:textId="77777777" w:rsidTr="003C7A12">
        <w:trPr>
          <w:cantSplit/>
          <w:trHeight w:val="510"/>
        </w:trPr>
        <w:tc>
          <w:tcPr>
            <w:tcW w:w="9072" w:type="dxa"/>
            <w:gridSpan w:val="2"/>
            <w:shd w:val="clear" w:color="auto" w:fill="FFFFFF"/>
          </w:tcPr>
          <w:p w14:paraId="37683D9F" w14:textId="2999D782" w:rsidR="008452E8" w:rsidRPr="00800956" w:rsidRDefault="008452E8" w:rsidP="00AD4CEB">
            <w:pPr>
              <w:pStyle w:val="AttendancePVTable"/>
            </w:pPr>
          </w:p>
        </w:tc>
      </w:tr>
      <w:tr w:rsidR="008452E8" w:rsidRPr="00800956" w14:paraId="7BC844C8" w14:textId="77777777">
        <w:trPr>
          <w:cantSplit/>
        </w:trPr>
        <w:tc>
          <w:tcPr>
            <w:tcW w:w="9072" w:type="dxa"/>
            <w:gridSpan w:val="2"/>
            <w:shd w:val="pct10" w:color="000000" w:fill="FFFFFF"/>
          </w:tcPr>
          <w:p w14:paraId="614DABE4" w14:textId="77777777" w:rsidR="008452E8" w:rsidRPr="00800956" w:rsidRDefault="00C634EF" w:rsidP="00AD4CEB">
            <w:pPr>
              <w:pStyle w:val="AttendancePVTable"/>
            </w:pPr>
            <w:r w:rsidRPr="00800956">
              <w:t>Кабинет на генералния секретар/Gabinete del Secretario General/Kancelář generálního tajemníka/Generalsekretærens Kabinet/ Kabinett des Generalsekretärs/Peasekretäri büroo/Γραφείο του Γενικού Γραμματέα/Secretary-General's Office/Cabinet du Secrétaire général/Ured glavnog tajnika/Gabinetto del Segretario generale/Ģenerālsekretāra kabinets/Generalinio sekretoriaus kabinetas/ Főtitkári hivatal/Kabinett tas-Segretarju Ġenerali/Kabinet van de secretaris-generaal/Gabinet Sekretarza Generalnego/Gabinete do Secretário-Geral/Cabinet Secretar General/Kancelária generálneho tajomníka/Urad generalnega sekretarja/Pääsihteerin kabinetti/ Generalsekreterarens kansli</w:t>
            </w:r>
          </w:p>
        </w:tc>
      </w:tr>
      <w:tr w:rsidR="008452E8" w:rsidRPr="00800956" w14:paraId="2175A0D0" w14:textId="77777777" w:rsidTr="003C7A12">
        <w:trPr>
          <w:cantSplit/>
          <w:trHeight w:val="510"/>
        </w:trPr>
        <w:tc>
          <w:tcPr>
            <w:tcW w:w="9072" w:type="dxa"/>
            <w:gridSpan w:val="2"/>
            <w:shd w:val="clear" w:color="auto" w:fill="FFFFFF"/>
          </w:tcPr>
          <w:p w14:paraId="4D03AFA1" w14:textId="4AD57850" w:rsidR="008452E8" w:rsidRPr="00800956" w:rsidRDefault="008452E8" w:rsidP="00AD4CEB">
            <w:pPr>
              <w:pStyle w:val="AttendancePVTable"/>
            </w:pPr>
          </w:p>
        </w:tc>
      </w:tr>
      <w:tr w:rsidR="008452E8" w:rsidRPr="00800956" w14:paraId="79A71365" w14:textId="77777777">
        <w:trPr>
          <w:cantSplit/>
        </w:trPr>
        <w:tc>
          <w:tcPr>
            <w:tcW w:w="9072" w:type="dxa"/>
            <w:gridSpan w:val="2"/>
            <w:shd w:val="pct10" w:color="000000" w:fill="FFFFFF"/>
          </w:tcPr>
          <w:p w14:paraId="38A6FF90" w14:textId="77777777" w:rsidR="008452E8" w:rsidRPr="00800956" w:rsidRDefault="00C634EF" w:rsidP="00AD4CEB">
            <w:pPr>
              <w:pStyle w:val="AttendancePVTable"/>
            </w:pPr>
            <w:r w:rsidRPr="00800956">
              <w:t>Генерална дирекция/Dirección General/Generální ředitelství/Generaldirektorat/Generaldirektion/Peadirektoraat/Γενική Διεύθυνση/ Directorate-General/Direction générale/Glavna uprava/Direzione generale/Ģenerāldirektorāts/Generalinis direktoratas/Főigazgatóság/ Direttorat Ġenerali/Directoraten</w:t>
            </w:r>
            <w:r w:rsidRPr="00800956">
              <w:noBreakHyphen/>
              <w:t>generaal/Dyrekcja Generalna/Direcção-Geral/Direcţii Generale/Generálne riaditeľstvo/Generalni direktorat/Pääosasto/Generaldirektorat</w:t>
            </w:r>
          </w:p>
        </w:tc>
      </w:tr>
      <w:tr w:rsidR="008452E8" w:rsidRPr="00800956" w14:paraId="1276A7D5" w14:textId="77777777">
        <w:trPr>
          <w:cantSplit/>
          <w:trHeight w:val="720"/>
        </w:trPr>
        <w:tc>
          <w:tcPr>
            <w:tcW w:w="1701" w:type="dxa"/>
            <w:shd w:val="clear" w:color="auto" w:fill="FFFFFF"/>
          </w:tcPr>
          <w:p w14:paraId="19A012F6" w14:textId="77777777" w:rsidR="008452E8" w:rsidRPr="00800956" w:rsidRDefault="008452E8" w:rsidP="00A66B35">
            <w:pPr>
              <w:pStyle w:val="AttendancePVTable"/>
            </w:pPr>
            <w:r w:rsidRPr="00800956">
              <w:t>DG PRES</w:t>
            </w:r>
          </w:p>
          <w:p w14:paraId="2D043837" w14:textId="77777777" w:rsidR="008452E8" w:rsidRPr="00800956" w:rsidRDefault="008452E8" w:rsidP="00A66B35">
            <w:pPr>
              <w:pStyle w:val="AttendancePVTable"/>
            </w:pPr>
            <w:r w:rsidRPr="00800956">
              <w:t>DG IPOL</w:t>
            </w:r>
          </w:p>
          <w:p w14:paraId="15ED6F73" w14:textId="77777777" w:rsidR="008452E8" w:rsidRPr="00800956" w:rsidRDefault="008452E8" w:rsidP="00A66B35">
            <w:pPr>
              <w:pStyle w:val="AttendancePVTable"/>
            </w:pPr>
            <w:r w:rsidRPr="00800956">
              <w:t>DG EXPO</w:t>
            </w:r>
          </w:p>
          <w:p w14:paraId="50D93D9B" w14:textId="77777777" w:rsidR="00CA53ED" w:rsidRPr="00800956" w:rsidRDefault="00CA53ED" w:rsidP="00A66B35">
            <w:pPr>
              <w:pStyle w:val="AttendancePVTable"/>
            </w:pPr>
            <w:r w:rsidRPr="00800956">
              <w:t>DG EPRS</w:t>
            </w:r>
          </w:p>
          <w:p w14:paraId="391D514E" w14:textId="77777777" w:rsidR="008452E8" w:rsidRPr="00800956" w:rsidRDefault="008452E8" w:rsidP="00A66B35">
            <w:pPr>
              <w:pStyle w:val="AttendancePVTable"/>
            </w:pPr>
            <w:r w:rsidRPr="00800956">
              <w:t>DG COMM</w:t>
            </w:r>
          </w:p>
          <w:p w14:paraId="34C4E9B0" w14:textId="77777777" w:rsidR="008452E8" w:rsidRPr="00800956" w:rsidRDefault="008452E8" w:rsidP="00A66B35">
            <w:pPr>
              <w:pStyle w:val="AttendancePVTable"/>
            </w:pPr>
            <w:r w:rsidRPr="00800956">
              <w:t>DG PERS</w:t>
            </w:r>
          </w:p>
          <w:p w14:paraId="0145E24D" w14:textId="77777777" w:rsidR="008452E8" w:rsidRPr="00800956" w:rsidRDefault="007C674A" w:rsidP="00A66B35">
            <w:pPr>
              <w:pStyle w:val="AttendancePVTable"/>
            </w:pPr>
            <w:r w:rsidRPr="00800956">
              <w:t>DG INLO</w:t>
            </w:r>
          </w:p>
          <w:p w14:paraId="710763E2" w14:textId="77777777" w:rsidR="008452E8" w:rsidRPr="00800956" w:rsidRDefault="008452E8" w:rsidP="00A66B35">
            <w:pPr>
              <w:pStyle w:val="AttendancePVTable"/>
            </w:pPr>
            <w:r w:rsidRPr="00800956">
              <w:t>DG TRAD</w:t>
            </w:r>
          </w:p>
          <w:p w14:paraId="438FD2FB" w14:textId="77777777" w:rsidR="007C674A" w:rsidRPr="00800956" w:rsidRDefault="007C674A" w:rsidP="00A66B35">
            <w:pPr>
              <w:pStyle w:val="AttendancePVTable"/>
            </w:pPr>
            <w:r w:rsidRPr="00800956">
              <w:t>DG LINC</w:t>
            </w:r>
          </w:p>
          <w:p w14:paraId="7F9DD28D" w14:textId="77777777" w:rsidR="008452E8" w:rsidRPr="00800956" w:rsidRDefault="008452E8" w:rsidP="00A66B35">
            <w:pPr>
              <w:pStyle w:val="AttendancePVTable"/>
            </w:pPr>
            <w:r w:rsidRPr="00800956">
              <w:t>DG FINS</w:t>
            </w:r>
          </w:p>
          <w:p w14:paraId="64A37696" w14:textId="77777777" w:rsidR="00CA53ED" w:rsidRPr="00800956" w:rsidRDefault="00CA53ED" w:rsidP="00A66B35">
            <w:pPr>
              <w:pStyle w:val="AttendancePVTable"/>
            </w:pPr>
            <w:r w:rsidRPr="00800956">
              <w:t>DG ITEC</w:t>
            </w:r>
          </w:p>
          <w:p w14:paraId="6E0952FF" w14:textId="77777777" w:rsidR="007C674A" w:rsidRPr="00800956" w:rsidRDefault="00CA53ED" w:rsidP="00A66B35">
            <w:pPr>
              <w:pStyle w:val="AttendancePVTable"/>
            </w:pPr>
            <w:r w:rsidRPr="00800956">
              <w:t>DG SAFE</w:t>
            </w:r>
          </w:p>
        </w:tc>
        <w:tc>
          <w:tcPr>
            <w:tcW w:w="7371" w:type="dxa"/>
            <w:shd w:val="clear" w:color="auto" w:fill="FFFFFF"/>
          </w:tcPr>
          <w:p w14:paraId="55B16B85" w14:textId="6B82E114" w:rsidR="00CA53ED" w:rsidRPr="00800956" w:rsidRDefault="00CA53ED" w:rsidP="00AD4CEB">
            <w:pPr>
              <w:pStyle w:val="AttendancePVTable"/>
            </w:pPr>
          </w:p>
        </w:tc>
      </w:tr>
    </w:tbl>
    <w:p w14:paraId="6D115A09" w14:textId="77777777" w:rsidR="0083601E" w:rsidRPr="00800956" w:rsidRDefault="0083601E" w:rsidP="005D5A08">
      <w:pPr>
        <w:pStyle w:val="AttendancePV"/>
      </w:pPr>
      <w:r w:rsidRPr="00800956">
        <w:br w:type="page"/>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9072"/>
      </w:tblGrid>
      <w:tr w:rsidR="00A13D65" w:rsidRPr="00800956" w14:paraId="28BC915C" w14:textId="77777777">
        <w:trPr>
          <w:cantSplit/>
        </w:trPr>
        <w:tc>
          <w:tcPr>
            <w:tcW w:w="9072" w:type="dxa"/>
            <w:shd w:val="pct10" w:color="000000" w:fill="FFFFFF"/>
          </w:tcPr>
          <w:p w14:paraId="4DB80C4C" w14:textId="77777777" w:rsidR="00A13D65" w:rsidRPr="00800956" w:rsidRDefault="00A13D65" w:rsidP="00AD4CEB">
            <w:pPr>
              <w:pStyle w:val="AttendancePVTable"/>
            </w:pPr>
            <w:r w:rsidRPr="00800956">
              <w:lastRenderedPageBreak/>
              <w:t>Правна служба/Servicio Jurídico/Právní služba/Juridisk Tjeneste/Juristischer Dienst/Õigusteenistus/Νομική Υπηρεσία/Legal Service/ Service juridique/Pravna služba/Servizio giuridico/Juridiskais dienests/Teisės tarnyba/Jogi szolgálat/Servizz legali/Juridische Dienst/ Wydział prawny/Serviço Jurídico/Serviciu Juridic/Právny servis/Oikeudellinen yksikkö/Rättstjänsten</w:t>
            </w:r>
          </w:p>
        </w:tc>
      </w:tr>
      <w:tr w:rsidR="00A13D65" w:rsidRPr="00800956" w14:paraId="454B42FA" w14:textId="77777777" w:rsidTr="003C7A12">
        <w:trPr>
          <w:cantSplit/>
          <w:trHeight w:val="510"/>
        </w:trPr>
        <w:tc>
          <w:tcPr>
            <w:tcW w:w="9072" w:type="dxa"/>
            <w:shd w:val="clear" w:color="auto" w:fill="FFFFFF"/>
          </w:tcPr>
          <w:p w14:paraId="6521306A" w14:textId="15E1EA49" w:rsidR="00A13D65" w:rsidRPr="00800956" w:rsidRDefault="00A13D65" w:rsidP="00AD4CEB">
            <w:pPr>
              <w:pStyle w:val="AttendancePVTable"/>
            </w:pPr>
          </w:p>
        </w:tc>
      </w:tr>
      <w:tr w:rsidR="00A13D65" w:rsidRPr="00800956" w14:paraId="280FFEBC" w14:textId="77777777">
        <w:trPr>
          <w:cantSplit/>
        </w:trPr>
        <w:tc>
          <w:tcPr>
            <w:tcW w:w="9072" w:type="dxa"/>
            <w:shd w:val="pct10" w:color="000000" w:fill="FFFFFF"/>
          </w:tcPr>
          <w:p w14:paraId="73553CF2" w14:textId="77777777" w:rsidR="00A13D65" w:rsidRPr="00800956" w:rsidRDefault="00A13D65" w:rsidP="00E2213D">
            <w:pPr>
              <w:pStyle w:val="AttendancePVTable"/>
            </w:pPr>
            <w:r w:rsidRPr="00800956">
              <w:t>Секретариат на комисията/Secretaría de la comisión/Sekretariát výboru/Udvalgssekretariatet/Ausschusssekretariat/Komisjoni sekretariaat/Γραμματεία της επιτροπής/Committee secretariat/Secrétariat de la commission/Tajništvo odbora/Segreteria della commissione/Komitejas sekretariāts/Komiteto sekretoriatas/A bizottság titkársága/Segretarjat tal-kumitat/Commissiesecretariaat/ Sekretariat komisji/Secretariado da comissão/Secretariat comisie/Sekretariat odbora/Valiokunnan sihteeristö/Utskottssekretariatet</w:t>
            </w:r>
          </w:p>
        </w:tc>
      </w:tr>
      <w:tr w:rsidR="00A13D65" w:rsidRPr="00800956" w14:paraId="52EC43AA" w14:textId="77777777" w:rsidTr="003C7A12">
        <w:trPr>
          <w:cantSplit/>
          <w:trHeight w:val="510"/>
        </w:trPr>
        <w:tc>
          <w:tcPr>
            <w:tcW w:w="9072" w:type="dxa"/>
            <w:shd w:val="clear" w:color="auto" w:fill="FFFFFF"/>
          </w:tcPr>
          <w:p w14:paraId="08AC3EA7" w14:textId="0836EC12" w:rsidR="00A13D65" w:rsidRPr="00800956" w:rsidRDefault="00D66509" w:rsidP="00AD4CEB">
            <w:pPr>
              <w:pStyle w:val="AttendancePVTable"/>
            </w:pPr>
            <w:r w:rsidRPr="00800956">
              <w:t>Sarah Blau, Bozica Matic, Valentina Papa</w:t>
            </w:r>
          </w:p>
        </w:tc>
      </w:tr>
      <w:tr w:rsidR="00A13D65" w:rsidRPr="00800956" w14:paraId="3036ABC9" w14:textId="77777777">
        <w:trPr>
          <w:cantSplit/>
        </w:trPr>
        <w:tc>
          <w:tcPr>
            <w:tcW w:w="9072" w:type="dxa"/>
            <w:shd w:val="pct10" w:color="000000" w:fill="FFFFFF"/>
          </w:tcPr>
          <w:p w14:paraId="4CECB709" w14:textId="77777777" w:rsidR="00A13D65" w:rsidRPr="00800956" w:rsidRDefault="00A13D65" w:rsidP="00AD4CEB">
            <w:pPr>
              <w:pStyle w:val="AttendancePVTable"/>
            </w:pPr>
            <w:r w:rsidRPr="00800956">
              <w:t>Сътрудник/Asistente/Asistent/Assistent/Assistenz/Βοηθός/Assistant/Assistente/Palīgs/Padėjėjas/Asszisztens/Asystent/Pomočnik/ Avustaja/Assistenter</w:t>
            </w:r>
          </w:p>
        </w:tc>
      </w:tr>
      <w:tr w:rsidR="00A13D65" w:rsidRPr="00800956" w14:paraId="27AB1A40" w14:textId="77777777" w:rsidTr="003C7A12">
        <w:trPr>
          <w:cantSplit/>
          <w:trHeight w:val="510"/>
        </w:trPr>
        <w:tc>
          <w:tcPr>
            <w:tcW w:w="9072" w:type="dxa"/>
            <w:shd w:val="clear" w:color="auto" w:fill="FFFFFF"/>
          </w:tcPr>
          <w:p w14:paraId="3C691DDA" w14:textId="469779C1" w:rsidR="00A13D65" w:rsidRPr="00800956" w:rsidRDefault="00D66509" w:rsidP="00D66509">
            <w:pPr>
              <w:pStyle w:val="AttendancePVTable"/>
            </w:pPr>
            <w:r w:rsidRPr="00800956">
              <w:t>Margareta Broodcoorens, Magdalena Guzowska</w:t>
            </w:r>
          </w:p>
        </w:tc>
      </w:tr>
    </w:tbl>
    <w:p w14:paraId="6A1ACBDC" w14:textId="77777777" w:rsidR="008452E8" w:rsidRPr="00800956" w:rsidRDefault="008452E8" w:rsidP="005D5A08">
      <w:pPr>
        <w:pStyle w:val="AttendancePV"/>
      </w:pPr>
    </w:p>
    <w:p w14:paraId="210BA31F" w14:textId="77777777" w:rsidR="00801684" w:rsidRPr="00800956" w:rsidRDefault="00801684" w:rsidP="005D5A08">
      <w:pPr>
        <w:pStyle w:val="AttendancePV"/>
      </w:pPr>
    </w:p>
    <w:p w14:paraId="567D9AD3" w14:textId="77777777" w:rsidR="00801684" w:rsidRPr="00800956" w:rsidRDefault="00801684" w:rsidP="005D5A08">
      <w:pPr>
        <w:pStyle w:val="AttendancePV"/>
      </w:pPr>
    </w:p>
    <w:p w14:paraId="2BA98431" w14:textId="77777777" w:rsidR="00C634EF" w:rsidRPr="00800956" w:rsidRDefault="00C634EF" w:rsidP="00AD4CEB">
      <w:pPr>
        <w:pStyle w:val="AttendancePVFootnote"/>
      </w:pPr>
      <w:r w:rsidRPr="00800956">
        <w:t xml:space="preserve">* </w:t>
      </w:r>
      <w:r w:rsidRPr="00800956">
        <w:tab/>
        <w:t>(P)</w:t>
      </w:r>
      <w:r w:rsidRPr="00800956">
        <w:tab/>
        <w:t>=</w:t>
      </w:r>
      <w:r w:rsidRPr="00800956">
        <w:tab/>
        <w:t>Председател/Presidente/Předseda/Formand/Vorsitzender/Esimees/Πρόεδρος/Chair/Président/Predsjednik/Priekšsēdētājs/ Pirmininkas/Elnök/'Chairman'/Voorzitter/Przewodniczący/Preşedinte/Predseda/Predsednik/Puheenjohtaja/Ordförande</w:t>
      </w:r>
    </w:p>
    <w:p w14:paraId="21412917" w14:textId="77777777" w:rsidR="00C634EF" w:rsidRPr="00800956" w:rsidRDefault="00C634EF" w:rsidP="00AD4CEB">
      <w:pPr>
        <w:pStyle w:val="AttendancePVFootnote"/>
      </w:pPr>
      <w:r w:rsidRPr="00800956">
        <w:tab/>
        <w:t>(VP) =</w:t>
      </w:r>
      <w:r w:rsidRPr="00800956">
        <w:tab/>
        <w:t>Заместник-председател/Vicepresidente/Místopředseda/Næstformand/Stellvertretender Vorsitzender/Aseesimees/Αντιπρόεδρος/ Vice</w:t>
      </w:r>
      <w:r w:rsidRPr="00800956">
        <w:noBreakHyphen/>
        <w:t>Chair/Potpredsjednik/Vice</w:t>
      </w:r>
      <w:r w:rsidRPr="00800956">
        <w:noBreakHyphen/>
        <w:t>Président/Potpredsjednik/Priekšsēdētāja vietnieks/Pirmininko pavaduotojas/Alelnök/ Viċi 'Chairman'/Ondervoorzitter/Wiceprzewodniczący/Vice-Presidente/Vicepreşedinte/Podpredseda/Podpredsednik/ Varapuheenjohtaja/Vice ordförande</w:t>
      </w:r>
    </w:p>
    <w:p w14:paraId="5BD2104D" w14:textId="77777777" w:rsidR="00C634EF" w:rsidRPr="00800956" w:rsidRDefault="00C634EF" w:rsidP="00AD4CEB">
      <w:pPr>
        <w:pStyle w:val="AttendancePVFootnote"/>
      </w:pPr>
      <w:r w:rsidRPr="00800956">
        <w:tab/>
        <w:t>(M)</w:t>
      </w:r>
      <w:r w:rsidRPr="00800956">
        <w:tab/>
        <w:t>=</w:t>
      </w:r>
      <w:r w:rsidRPr="00800956">
        <w:tab/>
        <w:t>Член/Miembro/Člen/Medlem./Mitglied/Parlamendiliige/Βουλευτής/Member/Membre/Član/Membro/Deputāts/Narys/Képviselő/ Membru/Lid/Członek/Membro/Membru/Člen/Poslanec/Jäsen/Ledamot</w:t>
      </w:r>
    </w:p>
    <w:p w14:paraId="24C8359D" w14:textId="77777777" w:rsidR="006275CD" w:rsidRPr="00800956" w:rsidRDefault="00C634EF" w:rsidP="00AD4CEB">
      <w:pPr>
        <w:pStyle w:val="AttendancePVFootnote"/>
      </w:pPr>
      <w:r w:rsidRPr="00800956">
        <w:tab/>
        <w:t>(F)</w:t>
      </w:r>
      <w:r w:rsidRPr="00800956">
        <w:tab/>
        <w:t>=</w:t>
      </w:r>
      <w:r w:rsidRPr="00800956">
        <w:tab/>
        <w:t>Длъжностно лице/Funcionario/Úředník/Tjenestemand/Beamter/Ametnik/Υπάλληλος/Official/Fonctionnaire/Dužnosnik/ Funzionario/Ierēdnis/Pareigūnas/Tisztviselő/Uffiċjal/Ambtenaar/Urzędnik/Funcionário/Funcţionar/Úradník/Uradnik/Virkamies/ Tjänsteman</w:t>
      </w:r>
    </w:p>
    <w:p w14:paraId="2FBD8122" w14:textId="77777777" w:rsidR="0022027F" w:rsidRPr="00800956" w:rsidRDefault="0022027F" w:rsidP="0022027F">
      <w:pPr>
        <w:pStyle w:val="AttendancePV"/>
      </w:pPr>
    </w:p>
    <w:sectPr w:rsidR="0022027F" w:rsidRPr="00800956" w:rsidSect="001E4EBD">
      <w:footnotePr>
        <w:numRestart w:val="eachSect"/>
      </w:footnotePr>
      <w:pgSz w:w="11907" w:h="16840" w:code="9"/>
      <w:pgMar w:top="1134"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2BA1" w14:textId="77777777" w:rsidR="00D95F76" w:rsidRPr="000F2522" w:rsidRDefault="00D95F76">
      <w:r w:rsidRPr="000F2522">
        <w:separator/>
      </w:r>
    </w:p>
    <w:p w14:paraId="46DAB739" w14:textId="77777777" w:rsidR="00D95F76" w:rsidRPr="000F2522" w:rsidRDefault="00D95F76"/>
  </w:endnote>
  <w:endnote w:type="continuationSeparator" w:id="0">
    <w:p w14:paraId="4414FE34" w14:textId="77777777" w:rsidR="00D95F76" w:rsidRPr="000F2522" w:rsidRDefault="00D95F76">
      <w:r w:rsidRPr="000F2522">
        <w:continuationSeparator/>
      </w:r>
    </w:p>
    <w:p w14:paraId="7468DB24" w14:textId="77777777" w:rsidR="00D95F76" w:rsidRPr="000F2522" w:rsidRDefault="00D95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5E9D" w14:textId="2A247D0B" w:rsidR="000F2522" w:rsidRPr="000F2522" w:rsidRDefault="000F2522" w:rsidP="000F2522">
    <w:pPr>
      <w:pStyle w:val="EPFooter"/>
    </w:pPr>
    <w:r w:rsidRPr="000F2522">
      <w:t>PE</w:t>
    </w:r>
    <w:r w:rsidRPr="000F2522">
      <w:rPr>
        <w:rStyle w:val="HideTWBExt"/>
        <w:noProof w:val="0"/>
      </w:rPr>
      <w:t>&lt;NoPE&gt;</w:t>
    </w:r>
    <w:r w:rsidRPr="000F2522">
      <w:t>652.382</w:t>
    </w:r>
    <w:r w:rsidRPr="000F2522">
      <w:rPr>
        <w:rStyle w:val="HideTWBExt"/>
        <w:noProof w:val="0"/>
      </w:rPr>
      <w:t>&lt;/NoPE&gt;&lt;Version&gt;</w:t>
    </w:r>
    <w:r w:rsidRPr="000F2522">
      <w:t>v01-00</w:t>
    </w:r>
    <w:r w:rsidRPr="000F2522">
      <w:rPr>
        <w:rStyle w:val="HideTWBExt"/>
        <w:noProof w:val="0"/>
      </w:rPr>
      <w:t>&lt;/Version&gt;</w:t>
    </w:r>
    <w:r w:rsidRPr="000F2522">
      <w:tab/>
    </w:r>
    <w:r w:rsidRPr="000F2522">
      <w:fldChar w:fldCharType="begin"/>
    </w:r>
    <w:r w:rsidRPr="000F2522">
      <w:instrText xml:space="preserve"> PAGE  \* MERGEFORMAT </w:instrText>
    </w:r>
    <w:r w:rsidRPr="000F2522">
      <w:fldChar w:fldCharType="separate"/>
    </w:r>
    <w:r w:rsidR="00800956">
      <w:rPr>
        <w:noProof/>
      </w:rPr>
      <w:t>2</w:t>
    </w:r>
    <w:r w:rsidRPr="000F2522">
      <w:fldChar w:fldCharType="end"/>
    </w:r>
    <w:r w:rsidRPr="000F2522">
      <w:t>/</w:t>
    </w:r>
    <w:fldSimple w:instr=" NUMPAGES  \* MERGEFORMAT ">
      <w:r w:rsidR="00800956">
        <w:rPr>
          <w:noProof/>
        </w:rPr>
        <w:t>6</w:t>
      </w:r>
    </w:fldSimple>
    <w:r w:rsidRPr="000F2522">
      <w:tab/>
    </w:r>
    <w:r w:rsidRPr="000F2522">
      <w:rPr>
        <w:rStyle w:val="HideTWBExt"/>
        <w:noProof w:val="0"/>
      </w:rPr>
      <w:t>&lt;PathFdR&gt;</w:t>
    </w:r>
    <w:r w:rsidRPr="000F2522">
      <w:t>PV\1205495PL.docx</w:t>
    </w:r>
    <w:r w:rsidRPr="000F2522">
      <w:rPr>
        <w:rStyle w:val="HideTWBExt"/>
        <w:noProof w:val="0"/>
      </w:rPr>
      <w:t>&lt;/PathFdR&gt;</w:t>
    </w:r>
  </w:p>
  <w:p w14:paraId="21C17EE5" w14:textId="4E1E6965" w:rsidR="00A13D65" w:rsidRPr="000F2522" w:rsidRDefault="000F2522" w:rsidP="000F2522">
    <w:pPr>
      <w:pStyle w:val="EPFooter2"/>
    </w:pPr>
    <w:r w:rsidRPr="000F2522">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04EA" w14:textId="35125E38" w:rsidR="000F2522" w:rsidRPr="000F2522" w:rsidRDefault="000F2522" w:rsidP="000F2522">
    <w:pPr>
      <w:pStyle w:val="EPFooter"/>
    </w:pPr>
    <w:r w:rsidRPr="000F2522">
      <w:rPr>
        <w:rStyle w:val="HideTWBExt"/>
        <w:noProof w:val="0"/>
      </w:rPr>
      <w:t>&lt;PathFdR&gt;</w:t>
    </w:r>
    <w:r w:rsidRPr="000F2522">
      <w:t>PV\1205495PL.docx</w:t>
    </w:r>
    <w:r w:rsidRPr="000F2522">
      <w:rPr>
        <w:rStyle w:val="HideTWBExt"/>
        <w:noProof w:val="0"/>
      </w:rPr>
      <w:t>&lt;/PathFdR&gt;</w:t>
    </w:r>
    <w:r w:rsidRPr="000F2522">
      <w:tab/>
    </w:r>
    <w:r w:rsidRPr="000F2522">
      <w:fldChar w:fldCharType="begin"/>
    </w:r>
    <w:r w:rsidRPr="000F2522">
      <w:instrText xml:space="preserve"> PAGE  \* MERGEFORMAT </w:instrText>
    </w:r>
    <w:r w:rsidRPr="000F2522">
      <w:fldChar w:fldCharType="separate"/>
    </w:r>
    <w:r w:rsidR="00800956">
      <w:rPr>
        <w:noProof/>
      </w:rPr>
      <w:t>3</w:t>
    </w:r>
    <w:r w:rsidRPr="000F2522">
      <w:fldChar w:fldCharType="end"/>
    </w:r>
    <w:r w:rsidRPr="000F2522">
      <w:t>/</w:t>
    </w:r>
    <w:fldSimple w:instr=" NUMPAGES  \* MERGEFORMAT ">
      <w:r w:rsidR="00800956">
        <w:rPr>
          <w:noProof/>
        </w:rPr>
        <w:t>6</w:t>
      </w:r>
    </w:fldSimple>
    <w:r w:rsidRPr="000F2522">
      <w:tab/>
      <w:t>PE</w:t>
    </w:r>
    <w:r w:rsidRPr="000F2522">
      <w:rPr>
        <w:rStyle w:val="HideTWBExt"/>
        <w:noProof w:val="0"/>
      </w:rPr>
      <w:t>&lt;NoPE&gt;</w:t>
    </w:r>
    <w:r w:rsidRPr="000F2522">
      <w:t>652.382</w:t>
    </w:r>
    <w:r w:rsidRPr="000F2522">
      <w:rPr>
        <w:rStyle w:val="HideTWBExt"/>
        <w:noProof w:val="0"/>
      </w:rPr>
      <w:t>&lt;/NoPE&gt;&lt;Version&gt;</w:t>
    </w:r>
    <w:r w:rsidRPr="000F2522">
      <w:t>v01-00</w:t>
    </w:r>
    <w:r w:rsidRPr="000F2522">
      <w:rPr>
        <w:rStyle w:val="HideTWBExt"/>
        <w:noProof w:val="0"/>
      </w:rPr>
      <w:t>&lt;/Version&gt;</w:t>
    </w:r>
  </w:p>
  <w:p w14:paraId="4FA2C352" w14:textId="338CFEA3" w:rsidR="00A13D65" w:rsidRPr="000F2522" w:rsidRDefault="000F2522" w:rsidP="000F2522">
    <w:pPr>
      <w:pStyle w:val="EPFooter2"/>
    </w:pPr>
    <w:r w:rsidRPr="000F2522">
      <w:tab/>
    </w:r>
    <w:r w:rsidRPr="000F2522">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4A87" w14:textId="77777777" w:rsidR="000F2522" w:rsidRPr="000F2522" w:rsidRDefault="000F2522" w:rsidP="000F2522">
    <w:pPr>
      <w:pStyle w:val="EPFooter"/>
    </w:pPr>
    <w:r w:rsidRPr="000F2522">
      <w:rPr>
        <w:rStyle w:val="HideTWBExt"/>
        <w:noProof w:val="0"/>
      </w:rPr>
      <w:t>&lt;PathFdR&gt;</w:t>
    </w:r>
    <w:r w:rsidRPr="000F2522">
      <w:t>PV\1205495PL.docx</w:t>
    </w:r>
    <w:r w:rsidRPr="000F2522">
      <w:rPr>
        <w:rStyle w:val="HideTWBExt"/>
        <w:noProof w:val="0"/>
      </w:rPr>
      <w:t>&lt;/PathFdR&gt;</w:t>
    </w:r>
    <w:r w:rsidRPr="000F2522">
      <w:tab/>
    </w:r>
    <w:r w:rsidRPr="000F2522">
      <w:tab/>
      <w:t>PE</w:t>
    </w:r>
    <w:r w:rsidRPr="000F2522">
      <w:rPr>
        <w:rStyle w:val="HideTWBExt"/>
        <w:noProof w:val="0"/>
      </w:rPr>
      <w:t>&lt;NoPE&gt;</w:t>
    </w:r>
    <w:r w:rsidRPr="000F2522">
      <w:t>652.382</w:t>
    </w:r>
    <w:r w:rsidRPr="000F2522">
      <w:rPr>
        <w:rStyle w:val="HideTWBExt"/>
        <w:noProof w:val="0"/>
      </w:rPr>
      <w:t>&lt;/NoPE&gt;&lt;Version&gt;</w:t>
    </w:r>
    <w:r w:rsidRPr="000F2522">
      <w:t>v01-00</w:t>
    </w:r>
    <w:r w:rsidRPr="000F2522">
      <w:rPr>
        <w:rStyle w:val="HideTWBExt"/>
        <w:noProof w:val="0"/>
      </w:rPr>
      <w:t>&lt;/Version&gt;</w:t>
    </w:r>
  </w:p>
  <w:p w14:paraId="049EF11B" w14:textId="00248001" w:rsidR="00A13D65" w:rsidRPr="000F2522" w:rsidRDefault="000F2522" w:rsidP="000F2522">
    <w:pPr>
      <w:pStyle w:val="EPFooter2"/>
    </w:pPr>
    <w:r w:rsidRPr="000F2522">
      <w:t>PL</w:t>
    </w:r>
    <w:r w:rsidRPr="000F2522">
      <w:tab/>
    </w:r>
    <w:r w:rsidRPr="000F2522">
      <w:rPr>
        <w:b w:val="0"/>
        <w:i/>
        <w:color w:val="C0C0C0"/>
        <w:sz w:val="22"/>
      </w:rPr>
      <w:t>Zjednoczona w różnorodności</w:t>
    </w:r>
    <w:r w:rsidRPr="000F2522">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18F5B" w14:textId="77777777" w:rsidR="00D95F76" w:rsidRPr="000F2522" w:rsidRDefault="00D95F76">
      <w:r w:rsidRPr="000F2522">
        <w:separator/>
      </w:r>
    </w:p>
    <w:p w14:paraId="04858029" w14:textId="77777777" w:rsidR="00D95F76" w:rsidRPr="000F2522" w:rsidRDefault="00D95F76"/>
  </w:footnote>
  <w:footnote w:type="continuationSeparator" w:id="0">
    <w:p w14:paraId="5A7FF8BB" w14:textId="77777777" w:rsidR="00D95F76" w:rsidRPr="000F2522" w:rsidRDefault="00D95F76">
      <w:r w:rsidRPr="000F2522">
        <w:continuationSeparator/>
      </w:r>
    </w:p>
    <w:p w14:paraId="7A761717" w14:textId="77777777" w:rsidR="00D95F76" w:rsidRPr="000F2522" w:rsidRDefault="00D95F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455A" w14:textId="77777777" w:rsidR="00800956" w:rsidRDefault="00800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E1C2" w14:textId="77777777" w:rsidR="00800956" w:rsidRDefault="00800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8EEC" w14:textId="77777777" w:rsidR="00800956" w:rsidRDefault="00800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9EDE335A"/>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3E4CA5"/>
    <w:multiLevelType w:val="multilevel"/>
    <w:tmpl w:val="6856381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58130E"/>
    <w:multiLevelType w:val="multilevel"/>
    <w:tmpl w:val="47FC11E8"/>
    <w:lvl w:ilvl="0">
      <w:start w:val="1"/>
      <w:numFmt w:val="decimal"/>
      <w:pStyle w:val="PVxHeading"/>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47D0C51"/>
    <w:multiLevelType w:val="multilevel"/>
    <w:tmpl w:val="80B062B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7E3788E"/>
    <w:multiLevelType w:val="multilevel"/>
    <w:tmpl w:val="F35CC88C"/>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AF01B1"/>
    <w:multiLevelType w:val="singleLevel"/>
    <w:tmpl w:val="65C6BFBC"/>
    <w:lvl w:ilvl="0">
      <w:start w:val="1"/>
      <w:numFmt w:val="decimal"/>
      <w:lvlText w:val="%1."/>
      <w:lvlJc w:val="left"/>
      <w:pPr>
        <w:tabs>
          <w:tab w:val="num" w:pos="360"/>
        </w:tabs>
        <w:ind w:left="360" w:hanging="360"/>
      </w:pPr>
    </w:lvl>
  </w:abstractNum>
  <w:abstractNum w:abstractNumId="7" w15:restartNumberingAfterBreak="0">
    <w:nsid w:val="4CE833CE"/>
    <w:multiLevelType w:val="multilevel"/>
    <w:tmpl w:val="74FC51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5519790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D35DAB"/>
    <w:multiLevelType w:val="multilevel"/>
    <w:tmpl w:val="827EAE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B4F0640"/>
    <w:multiLevelType w:val="multilevel"/>
    <w:tmpl w:val="4A041180"/>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2E76083"/>
    <w:multiLevelType w:val="multilevel"/>
    <w:tmpl w:val="381276F4"/>
    <w:lvl w:ilvl="0">
      <w:start w:val="1"/>
      <w:numFmt w:val="lowerLetter"/>
      <w:lvlText w:val="%1)"/>
      <w:lvlJc w:val="left"/>
      <w:pPr>
        <w:tabs>
          <w:tab w:val="num" w:pos="1440"/>
        </w:tabs>
        <w:ind w:left="144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B86F0B"/>
    <w:multiLevelType w:val="hybridMultilevel"/>
    <w:tmpl w:val="EA2EAE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1"/>
  </w:num>
  <w:num w:numId="6">
    <w:abstractNumId w:val="5"/>
  </w:num>
  <w:num w:numId="7">
    <w:abstractNumId w:val="2"/>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
  </w:num>
  <w:num w:numId="16">
    <w:abstractNumId w:val="2"/>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
  </w:num>
  <w:num w:numId="25">
    <w:abstractNumId w:val="2"/>
  </w:num>
  <w:num w:numId="26">
    <w:abstractNumId w:val="4"/>
  </w:num>
  <w:num w:numId="27">
    <w:abstractNumId w:val="3"/>
  </w:num>
  <w:num w:numId="28">
    <w:abstractNumId w:val="9"/>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LastEditedSection" w:val=" 2"/>
    <w:docVar w:name="MEETMNU" w:val=" 1"/>
    <w:docVar w:name="STOREDT1" w:val="18/05/2020"/>
    <w:docVar w:name="strDocTypeID" w:val="PVx"/>
    <w:docVar w:name="strSubDir" w:val="1205"/>
    <w:docVar w:name="TXTLANGUE" w:val="PL"/>
    <w:docVar w:name="TXTLANGUEMIN" w:val="pl"/>
    <w:docVar w:name="TXTNRPE" w:val="652.382"/>
    <w:docVar w:name="TXTPEorAP" w:val="PE"/>
    <w:docVar w:name="TXTROUTE" w:val="PV\1205495PL.docx"/>
    <w:docVar w:name="TXTVERSION" w:val="01-00"/>
  </w:docVars>
  <w:rsids>
    <w:rsidRoot w:val="00D95F76"/>
    <w:rsid w:val="00007788"/>
    <w:rsid w:val="00021AD6"/>
    <w:rsid w:val="000265BD"/>
    <w:rsid w:val="00041A79"/>
    <w:rsid w:val="000533F1"/>
    <w:rsid w:val="000637F3"/>
    <w:rsid w:val="0006514D"/>
    <w:rsid w:val="00092111"/>
    <w:rsid w:val="0009235A"/>
    <w:rsid w:val="000952B6"/>
    <w:rsid w:val="000A769E"/>
    <w:rsid w:val="000B10A7"/>
    <w:rsid w:val="000B1C1A"/>
    <w:rsid w:val="000B727D"/>
    <w:rsid w:val="000C46ED"/>
    <w:rsid w:val="000D4F53"/>
    <w:rsid w:val="000D5FD7"/>
    <w:rsid w:val="000E082D"/>
    <w:rsid w:val="000F0B40"/>
    <w:rsid w:val="000F2522"/>
    <w:rsid w:val="000F6376"/>
    <w:rsid w:val="0011399B"/>
    <w:rsid w:val="00114A86"/>
    <w:rsid w:val="001173AC"/>
    <w:rsid w:val="00164E56"/>
    <w:rsid w:val="00176DCC"/>
    <w:rsid w:val="001813D5"/>
    <w:rsid w:val="001857BA"/>
    <w:rsid w:val="00190F58"/>
    <w:rsid w:val="00194506"/>
    <w:rsid w:val="0019636C"/>
    <w:rsid w:val="001A6813"/>
    <w:rsid w:val="001C4040"/>
    <w:rsid w:val="001D14AA"/>
    <w:rsid w:val="001E20EC"/>
    <w:rsid w:val="001E4EBD"/>
    <w:rsid w:val="0020777E"/>
    <w:rsid w:val="0022027F"/>
    <w:rsid w:val="00225BAF"/>
    <w:rsid w:val="0022750E"/>
    <w:rsid w:val="00236A0D"/>
    <w:rsid w:val="00250F5D"/>
    <w:rsid w:val="00251D85"/>
    <w:rsid w:val="0026136B"/>
    <w:rsid w:val="002659A2"/>
    <w:rsid w:val="00273DB4"/>
    <w:rsid w:val="002753C7"/>
    <w:rsid w:val="002870DD"/>
    <w:rsid w:val="002A27BB"/>
    <w:rsid w:val="002D74B5"/>
    <w:rsid w:val="002D7816"/>
    <w:rsid w:val="002E083E"/>
    <w:rsid w:val="002E2B09"/>
    <w:rsid w:val="002E37A9"/>
    <w:rsid w:val="00307E1D"/>
    <w:rsid w:val="00316C24"/>
    <w:rsid w:val="00323589"/>
    <w:rsid w:val="003345F5"/>
    <w:rsid w:val="0033767A"/>
    <w:rsid w:val="00343EBA"/>
    <w:rsid w:val="003547F9"/>
    <w:rsid w:val="0036013B"/>
    <w:rsid w:val="00367FF0"/>
    <w:rsid w:val="00370637"/>
    <w:rsid w:val="00374A20"/>
    <w:rsid w:val="003A0A68"/>
    <w:rsid w:val="003A4EA4"/>
    <w:rsid w:val="003B1F27"/>
    <w:rsid w:val="003B4372"/>
    <w:rsid w:val="003C12C7"/>
    <w:rsid w:val="003C7A12"/>
    <w:rsid w:val="003D1CBB"/>
    <w:rsid w:val="003D3A6C"/>
    <w:rsid w:val="003E0A41"/>
    <w:rsid w:val="003E0BDE"/>
    <w:rsid w:val="003E0D2D"/>
    <w:rsid w:val="003E582C"/>
    <w:rsid w:val="003F18DC"/>
    <w:rsid w:val="00405A95"/>
    <w:rsid w:val="004062E2"/>
    <w:rsid w:val="0045430B"/>
    <w:rsid w:val="00467244"/>
    <w:rsid w:val="00472CBA"/>
    <w:rsid w:val="00481465"/>
    <w:rsid w:val="00481807"/>
    <w:rsid w:val="0048229C"/>
    <w:rsid w:val="00497850"/>
    <w:rsid w:val="004A2D31"/>
    <w:rsid w:val="004A4538"/>
    <w:rsid w:val="004A4927"/>
    <w:rsid w:val="004B094A"/>
    <w:rsid w:val="004B163A"/>
    <w:rsid w:val="004B6286"/>
    <w:rsid w:val="004C1E4A"/>
    <w:rsid w:val="004D6B1E"/>
    <w:rsid w:val="004E577D"/>
    <w:rsid w:val="004F1219"/>
    <w:rsid w:val="004F12D3"/>
    <w:rsid w:val="004F6ED0"/>
    <w:rsid w:val="004F76B3"/>
    <w:rsid w:val="00543EF6"/>
    <w:rsid w:val="00553CD4"/>
    <w:rsid w:val="00571482"/>
    <w:rsid w:val="00574D4D"/>
    <w:rsid w:val="005828F0"/>
    <w:rsid w:val="005838E8"/>
    <w:rsid w:val="00596A5E"/>
    <w:rsid w:val="005970B3"/>
    <w:rsid w:val="005A28B9"/>
    <w:rsid w:val="005A4857"/>
    <w:rsid w:val="005B0C37"/>
    <w:rsid w:val="005B7835"/>
    <w:rsid w:val="005D2D78"/>
    <w:rsid w:val="005D4FEF"/>
    <w:rsid w:val="005D5A08"/>
    <w:rsid w:val="005E11B3"/>
    <w:rsid w:val="005E2DEF"/>
    <w:rsid w:val="005E6C44"/>
    <w:rsid w:val="005F6C89"/>
    <w:rsid w:val="006132D6"/>
    <w:rsid w:val="00615488"/>
    <w:rsid w:val="006275CD"/>
    <w:rsid w:val="00640211"/>
    <w:rsid w:val="006418F2"/>
    <w:rsid w:val="0064227F"/>
    <w:rsid w:val="00643758"/>
    <w:rsid w:val="00650AF2"/>
    <w:rsid w:val="00654687"/>
    <w:rsid w:val="00672690"/>
    <w:rsid w:val="00675887"/>
    <w:rsid w:val="0067649D"/>
    <w:rsid w:val="006B2516"/>
    <w:rsid w:val="006B2AF7"/>
    <w:rsid w:val="006C0503"/>
    <w:rsid w:val="006C1AC2"/>
    <w:rsid w:val="006C52AC"/>
    <w:rsid w:val="006C6F0A"/>
    <w:rsid w:val="006D0C4F"/>
    <w:rsid w:val="006D2283"/>
    <w:rsid w:val="006D3CC8"/>
    <w:rsid w:val="006D467D"/>
    <w:rsid w:val="006D6EB9"/>
    <w:rsid w:val="006E2C80"/>
    <w:rsid w:val="00704929"/>
    <w:rsid w:val="00704D52"/>
    <w:rsid w:val="0070508E"/>
    <w:rsid w:val="00713B78"/>
    <w:rsid w:val="00714F25"/>
    <w:rsid w:val="007153A2"/>
    <w:rsid w:val="00754C89"/>
    <w:rsid w:val="00755125"/>
    <w:rsid w:val="00765523"/>
    <w:rsid w:val="00765E1E"/>
    <w:rsid w:val="0076749D"/>
    <w:rsid w:val="00785E9B"/>
    <w:rsid w:val="00792939"/>
    <w:rsid w:val="00793FC2"/>
    <w:rsid w:val="007A3289"/>
    <w:rsid w:val="007B0C9D"/>
    <w:rsid w:val="007C674A"/>
    <w:rsid w:val="007D1D46"/>
    <w:rsid w:val="007D6B19"/>
    <w:rsid w:val="007E0B3D"/>
    <w:rsid w:val="007E1997"/>
    <w:rsid w:val="007E5C31"/>
    <w:rsid w:val="00800956"/>
    <w:rsid w:val="00801684"/>
    <w:rsid w:val="00803FD1"/>
    <w:rsid w:val="00804AE1"/>
    <w:rsid w:val="008253C5"/>
    <w:rsid w:val="0082592C"/>
    <w:rsid w:val="0083601E"/>
    <w:rsid w:val="008445B0"/>
    <w:rsid w:val="00844D91"/>
    <w:rsid w:val="008452E8"/>
    <w:rsid w:val="00850ECD"/>
    <w:rsid w:val="00872F47"/>
    <w:rsid w:val="0088003A"/>
    <w:rsid w:val="0088601A"/>
    <w:rsid w:val="00891C54"/>
    <w:rsid w:val="00897306"/>
    <w:rsid w:val="008978D3"/>
    <w:rsid w:val="008A0730"/>
    <w:rsid w:val="008A5B14"/>
    <w:rsid w:val="008A7874"/>
    <w:rsid w:val="008B0D40"/>
    <w:rsid w:val="008C12BD"/>
    <w:rsid w:val="008C3BBA"/>
    <w:rsid w:val="008C7B0A"/>
    <w:rsid w:val="008D17A3"/>
    <w:rsid w:val="008D7AD4"/>
    <w:rsid w:val="008E131C"/>
    <w:rsid w:val="008E4DD5"/>
    <w:rsid w:val="008E6B98"/>
    <w:rsid w:val="008F6F69"/>
    <w:rsid w:val="008F7A17"/>
    <w:rsid w:val="00905F78"/>
    <w:rsid w:val="009119A3"/>
    <w:rsid w:val="00926DB0"/>
    <w:rsid w:val="009408CB"/>
    <w:rsid w:val="009515D1"/>
    <w:rsid w:val="00956466"/>
    <w:rsid w:val="00960270"/>
    <w:rsid w:val="0097066F"/>
    <w:rsid w:val="00972263"/>
    <w:rsid w:val="0099346B"/>
    <w:rsid w:val="00994629"/>
    <w:rsid w:val="009D17C3"/>
    <w:rsid w:val="009D762D"/>
    <w:rsid w:val="009E0B27"/>
    <w:rsid w:val="009E24B6"/>
    <w:rsid w:val="009E4BB1"/>
    <w:rsid w:val="009E7A82"/>
    <w:rsid w:val="00A00F95"/>
    <w:rsid w:val="00A13D65"/>
    <w:rsid w:val="00A13DDE"/>
    <w:rsid w:val="00A16FC5"/>
    <w:rsid w:val="00A36A4E"/>
    <w:rsid w:val="00A427A6"/>
    <w:rsid w:val="00A44C95"/>
    <w:rsid w:val="00A5325A"/>
    <w:rsid w:val="00A6035E"/>
    <w:rsid w:val="00A65248"/>
    <w:rsid w:val="00A66B35"/>
    <w:rsid w:val="00A81EEA"/>
    <w:rsid w:val="00A87091"/>
    <w:rsid w:val="00A91422"/>
    <w:rsid w:val="00A92F32"/>
    <w:rsid w:val="00AB0669"/>
    <w:rsid w:val="00AB7DBA"/>
    <w:rsid w:val="00AC1B0F"/>
    <w:rsid w:val="00AC4D9A"/>
    <w:rsid w:val="00AC5E30"/>
    <w:rsid w:val="00AC660B"/>
    <w:rsid w:val="00AC70F9"/>
    <w:rsid w:val="00AD4CEB"/>
    <w:rsid w:val="00AE1834"/>
    <w:rsid w:val="00AF2827"/>
    <w:rsid w:val="00B01DC3"/>
    <w:rsid w:val="00B15084"/>
    <w:rsid w:val="00B2395C"/>
    <w:rsid w:val="00B408BE"/>
    <w:rsid w:val="00B501B7"/>
    <w:rsid w:val="00B51AD5"/>
    <w:rsid w:val="00B56572"/>
    <w:rsid w:val="00BA4044"/>
    <w:rsid w:val="00BA464F"/>
    <w:rsid w:val="00BB0B38"/>
    <w:rsid w:val="00BC7215"/>
    <w:rsid w:val="00BD3F38"/>
    <w:rsid w:val="00BF102E"/>
    <w:rsid w:val="00BF288C"/>
    <w:rsid w:val="00BF54D6"/>
    <w:rsid w:val="00C01C42"/>
    <w:rsid w:val="00C13E92"/>
    <w:rsid w:val="00C346F1"/>
    <w:rsid w:val="00C36FC4"/>
    <w:rsid w:val="00C46B37"/>
    <w:rsid w:val="00C634EF"/>
    <w:rsid w:val="00C63594"/>
    <w:rsid w:val="00C63E0B"/>
    <w:rsid w:val="00C64625"/>
    <w:rsid w:val="00C701DE"/>
    <w:rsid w:val="00C76C40"/>
    <w:rsid w:val="00C82F5B"/>
    <w:rsid w:val="00C90B1B"/>
    <w:rsid w:val="00CA2394"/>
    <w:rsid w:val="00CA53ED"/>
    <w:rsid w:val="00CA70CB"/>
    <w:rsid w:val="00CB12EE"/>
    <w:rsid w:val="00CC5762"/>
    <w:rsid w:val="00CC6E1E"/>
    <w:rsid w:val="00CD01A6"/>
    <w:rsid w:val="00CD0CF5"/>
    <w:rsid w:val="00CE29F4"/>
    <w:rsid w:val="00CE5AEB"/>
    <w:rsid w:val="00CF2D24"/>
    <w:rsid w:val="00CF45C4"/>
    <w:rsid w:val="00CF78F5"/>
    <w:rsid w:val="00D10387"/>
    <w:rsid w:val="00D11A34"/>
    <w:rsid w:val="00D329C8"/>
    <w:rsid w:val="00D342CE"/>
    <w:rsid w:val="00D374CC"/>
    <w:rsid w:val="00D45997"/>
    <w:rsid w:val="00D66509"/>
    <w:rsid w:val="00D6668F"/>
    <w:rsid w:val="00D95F76"/>
    <w:rsid w:val="00DB2330"/>
    <w:rsid w:val="00DB5CC6"/>
    <w:rsid w:val="00DB7BC4"/>
    <w:rsid w:val="00DC061F"/>
    <w:rsid w:val="00DC629C"/>
    <w:rsid w:val="00DC63A9"/>
    <w:rsid w:val="00DC7AF1"/>
    <w:rsid w:val="00DD64B7"/>
    <w:rsid w:val="00DF0DC8"/>
    <w:rsid w:val="00E14108"/>
    <w:rsid w:val="00E17EDA"/>
    <w:rsid w:val="00E21182"/>
    <w:rsid w:val="00E2213D"/>
    <w:rsid w:val="00E2660A"/>
    <w:rsid w:val="00E352CD"/>
    <w:rsid w:val="00E413A9"/>
    <w:rsid w:val="00E44301"/>
    <w:rsid w:val="00E64BA6"/>
    <w:rsid w:val="00E6537C"/>
    <w:rsid w:val="00E8424C"/>
    <w:rsid w:val="00E85748"/>
    <w:rsid w:val="00E92D38"/>
    <w:rsid w:val="00EA0B23"/>
    <w:rsid w:val="00EA74BF"/>
    <w:rsid w:val="00EA7E10"/>
    <w:rsid w:val="00EB4FBD"/>
    <w:rsid w:val="00EC7932"/>
    <w:rsid w:val="00EE0704"/>
    <w:rsid w:val="00EE1928"/>
    <w:rsid w:val="00EE3F96"/>
    <w:rsid w:val="00EF2B19"/>
    <w:rsid w:val="00EF7CC2"/>
    <w:rsid w:val="00F0068D"/>
    <w:rsid w:val="00F05E49"/>
    <w:rsid w:val="00F24FAF"/>
    <w:rsid w:val="00F262FB"/>
    <w:rsid w:val="00F267B4"/>
    <w:rsid w:val="00F31226"/>
    <w:rsid w:val="00F36557"/>
    <w:rsid w:val="00F4356E"/>
    <w:rsid w:val="00F51C97"/>
    <w:rsid w:val="00F5491E"/>
    <w:rsid w:val="00F60A98"/>
    <w:rsid w:val="00F64B87"/>
    <w:rsid w:val="00F84353"/>
    <w:rsid w:val="00F87059"/>
    <w:rsid w:val="00F909BF"/>
    <w:rsid w:val="00F97A4F"/>
    <w:rsid w:val="00FA0152"/>
    <w:rsid w:val="00FA6AF5"/>
    <w:rsid w:val="00FB09D1"/>
    <w:rsid w:val="00FB3DF0"/>
    <w:rsid w:val="00FC1B11"/>
    <w:rsid w:val="00FD183B"/>
    <w:rsid w:val="00FF04B4"/>
    <w:rsid w:val="00FF4EF0"/>
    <w:rsid w:val="00FF553A"/>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5B913"/>
  <w15:chartTrackingRefBased/>
  <w15:docId w15:val="{735103E4-E320-42FA-87E6-78ED49CA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semiHidden="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31"/>
    <w:pPr>
      <w:widowControl w:val="0"/>
    </w:pPr>
    <w:rPr>
      <w:snapToGrid w:val="0"/>
      <w:sz w:val="24"/>
      <w:lang w:eastAsia="en-US"/>
    </w:rPr>
  </w:style>
  <w:style w:type="paragraph" w:styleId="Heading1">
    <w:name w:val="heading 1"/>
    <w:basedOn w:val="Normal"/>
    <w:next w:val="Normal"/>
    <w:semiHidden/>
    <w:qFormat/>
    <w:pPr>
      <w:keepNext/>
      <w:widowControl/>
      <w:tabs>
        <w:tab w:val="left" w:pos="-1057"/>
        <w:tab w:val="left" w:pos="-720"/>
        <w:tab w:val="left" w:pos="0"/>
        <w:tab w:val="left" w:pos="720"/>
        <w:tab w:val="left" w:pos="2154"/>
        <w:tab w:val="left" w:pos="2880"/>
      </w:tabs>
      <w:ind w:left="2155" w:hanging="2155"/>
      <w:jc w:val="both"/>
      <w:outlineLvl w:val="0"/>
    </w:pPr>
    <w:rPr>
      <w:b/>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numPr>
        <w:ilvl w:val="2"/>
        <w:numId w:val="17"/>
      </w:numPr>
      <w:spacing w:before="240" w:after="60"/>
      <w:outlineLvl w:val="2"/>
    </w:pPr>
    <w:rPr>
      <w:rFonts w:ascii="Arial" w:hAnsi="Arial"/>
    </w:rPr>
  </w:style>
  <w:style w:type="paragraph" w:styleId="Heading4">
    <w:name w:val="heading 4"/>
    <w:basedOn w:val="Normal"/>
    <w:next w:val="Normal"/>
    <w:semiHidden/>
    <w:qFormat/>
    <w:pPr>
      <w:keepNext/>
      <w:numPr>
        <w:ilvl w:val="3"/>
        <w:numId w:val="18"/>
      </w:numPr>
      <w:spacing w:before="240" w:after="60"/>
      <w:outlineLvl w:val="3"/>
    </w:pPr>
    <w:rPr>
      <w:rFonts w:ascii="Arial" w:hAnsi="Arial"/>
      <w:b/>
    </w:rPr>
  </w:style>
  <w:style w:type="paragraph" w:styleId="Heading5">
    <w:name w:val="heading 5"/>
    <w:basedOn w:val="Normal"/>
    <w:next w:val="Normal"/>
    <w:semiHidden/>
    <w:qFormat/>
    <w:pPr>
      <w:numPr>
        <w:ilvl w:val="4"/>
        <w:numId w:val="19"/>
      </w:numPr>
      <w:spacing w:before="240" w:after="60"/>
      <w:outlineLvl w:val="4"/>
    </w:pPr>
    <w:rPr>
      <w:sz w:val="22"/>
    </w:rPr>
  </w:style>
  <w:style w:type="paragraph" w:styleId="Heading6">
    <w:name w:val="heading 6"/>
    <w:basedOn w:val="Normal"/>
    <w:next w:val="Normal"/>
    <w:semiHidden/>
    <w:qFormat/>
    <w:pPr>
      <w:numPr>
        <w:ilvl w:val="5"/>
        <w:numId w:val="20"/>
      </w:numPr>
      <w:spacing w:before="240" w:after="60"/>
      <w:outlineLvl w:val="5"/>
    </w:pPr>
    <w:rPr>
      <w:i/>
      <w:sz w:val="22"/>
    </w:rPr>
  </w:style>
  <w:style w:type="paragraph" w:styleId="Heading7">
    <w:name w:val="heading 7"/>
    <w:basedOn w:val="Normal"/>
    <w:next w:val="Normal"/>
    <w:semiHidden/>
    <w:qFormat/>
    <w:pPr>
      <w:numPr>
        <w:ilvl w:val="6"/>
        <w:numId w:val="21"/>
      </w:numPr>
      <w:spacing w:before="240" w:after="60"/>
      <w:outlineLvl w:val="6"/>
    </w:pPr>
    <w:rPr>
      <w:rFonts w:ascii="Arial" w:hAnsi="Arial"/>
      <w:sz w:val="20"/>
    </w:rPr>
  </w:style>
  <w:style w:type="paragraph" w:styleId="Heading8">
    <w:name w:val="heading 8"/>
    <w:basedOn w:val="Normal"/>
    <w:next w:val="Normal"/>
    <w:semiHidden/>
    <w:qFormat/>
    <w:pPr>
      <w:numPr>
        <w:ilvl w:val="7"/>
        <w:numId w:val="22"/>
      </w:numPr>
      <w:spacing w:before="240" w:after="60"/>
      <w:outlineLvl w:val="7"/>
    </w:pPr>
    <w:rPr>
      <w:rFonts w:ascii="Arial" w:hAnsi="Arial"/>
      <w:i/>
      <w:sz w:val="20"/>
    </w:rPr>
  </w:style>
  <w:style w:type="paragraph" w:styleId="Heading9">
    <w:name w:val="heading 9"/>
    <w:basedOn w:val="Normal"/>
    <w:next w:val="Normal"/>
    <w:semiHidden/>
    <w:qFormat/>
    <w:pPr>
      <w:numPr>
        <w:ilvl w:val="8"/>
        <w:numId w:val="2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PV">
    <w:name w:val="AttendancePV"/>
    <w:basedOn w:val="Normal"/>
    <w:rsid w:val="00AD4CEB"/>
    <w:rPr>
      <w:sz w:val="16"/>
    </w:rPr>
  </w:style>
  <w:style w:type="paragraph" w:customStyle="1" w:styleId="PVxIndent">
    <w:name w:val="PVxIndent"/>
    <w:basedOn w:val="Normal"/>
    <w:rsid w:val="006B2AF7"/>
    <w:pPr>
      <w:ind w:left="567"/>
    </w:pPr>
  </w:style>
  <w:style w:type="paragraph" w:customStyle="1" w:styleId="PVxHeading">
    <w:name w:val="PVxHeading"/>
    <w:basedOn w:val="Normal"/>
    <w:next w:val="Normal"/>
    <w:rsid w:val="00316C24"/>
    <w:pPr>
      <w:keepNext/>
      <w:widowControl/>
      <w:numPr>
        <w:numId w:val="27"/>
      </w:numPr>
      <w:tabs>
        <w:tab w:val="clear" w:pos="720"/>
        <w:tab w:val="num" w:pos="360"/>
        <w:tab w:val="right" w:pos="9072"/>
      </w:tabs>
      <w:spacing w:before="240" w:after="240"/>
      <w:ind w:left="567" w:hanging="567"/>
    </w:pPr>
    <w:rPr>
      <w:b/>
    </w:rPr>
  </w:style>
  <w:style w:type="paragraph" w:customStyle="1" w:styleId="PVxSubheading12a">
    <w:name w:val="PVxSubheading12a"/>
    <w:basedOn w:val="Normal"/>
    <w:next w:val="Normal"/>
    <w:rsid w:val="006B2AF7"/>
    <w:pPr>
      <w:widowControl/>
      <w:spacing w:after="240"/>
      <w:ind w:left="567"/>
    </w:pPr>
    <w:rPr>
      <w:b/>
      <w:i/>
    </w:rPr>
  </w:style>
  <w:style w:type="paragraph" w:customStyle="1" w:styleId="PVxSubheadingTab12b">
    <w:name w:val="PVxSubheadingTab12b"/>
    <w:basedOn w:val="Normal"/>
    <w:rsid w:val="0048229C"/>
    <w:pPr>
      <w:tabs>
        <w:tab w:val="left" w:pos="2268"/>
      </w:tabs>
      <w:spacing w:before="240"/>
      <w:ind w:left="567"/>
    </w:pPr>
    <w:rPr>
      <w:b/>
      <w:i/>
    </w:rPr>
  </w:style>
  <w:style w:type="paragraph" w:customStyle="1" w:styleId="PVxSubheadingTab12b12a">
    <w:name w:val="PVxSubheadingTab12b12a"/>
    <w:basedOn w:val="Normal"/>
    <w:next w:val="Normal"/>
    <w:rsid w:val="0048229C"/>
    <w:pPr>
      <w:tabs>
        <w:tab w:val="left" w:pos="2268"/>
      </w:tabs>
      <w:spacing w:before="240" w:after="240"/>
      <w:ind w:left="567"/>
    </w:pPr>
    <w:rPr>
      <w:b/>
      <w:i/>
    </w:rPr>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PVxIndentRightTab">
    <w:name w:val="PVxIndentRightTab"/>
    <w:basedOn w:val="Normal"/>
    <w:rsid w:val="00CD0CF5"/>
    <w:pPr>
      <w:tabs>
        <w:tab w:val="right" w:pos="9072"/>
      </w:tabs>
      <w:ind w:left="567"/>
    </w:pPr>
  </w:style>
  <w:style w:type="paragraph" w:customStyle="1" w:styleId="NormalHanging12b">
    <w:name w:val="NormalHanging12b"/>
    <w:basedOn w:val="Normal"/>
    <w:rsid w:val="004062E2"/>
    <w:pPr>
      <w:spacing w:before="240"/>
      <w:ind w:left="567" w:hanging="567"/>
    </w:pPr>
    <w:rPr>
      <w:snapToGrid/>
      <w:lang w:eastAsia="en-GB"/>
    </w:rPr>
  </w:style>
  <w:style w:type="paragraph" w:styleId="TOC1">
    <w:name w:val="toc 1"/>
    <w:basedOn w:val="Normal"/>
    <w:next w:val="Normal"/>
    <w:autoRedefine/>
    <w:uiPriority w:val="39"/>
    <w:rsid w:val="00A16FC5"/>
  </w:style>
  <w:style w:type="character" w:styleId="Hyperlink">
    <w:name w:val="Hyperlink"/>
    <w:uiPriority w:val="99"/>
    <w:semiHidden/>
    <w:rsid w:val="004A4538"/>
    <w:rPr>
      <w:color w:val="0563C1"/>
      <w:u w:val="single"/>
    </w:rPr>
  </w:style>
  <w:style w:type="paragraph" w:styleId="TOC2">
    <w:name w:val="toc 2"/>
    <w:basedOn w:val="Normal"/>
    <w:next w:val="Normal"/>
    <w:autoRedefine/>
    <w:uiPriority w:val="39"/>
    <w:rsid w:val="00A16FC5"/>
    <w:pPr>
      <w:ind w:left="426"/>
    </w:pPr>
  </w:style>
  <w:style w:type="paragraph" w:customStyle="1" w:styleId="RollCallTable">
    <w:name w:val="RollCallTable"/>
    <w:basedOn w:val="Normal"/>
    <w:rsid w:val="002659A2"/>
    <w:pPr>
      <w:spacing w:before="120" w:after="120"/>
    </w:pPr>
    <w:rPr>
      <w:sz w:val="16"/>
    </w:rPr>
  </w:style>
  <w:style w:type="paragraph" w:styleId="FootnoteText">
    <w:name w:val="footnote text"/>
    <w:basedOn w:val="Normal"/>
    <w:semiHidden/>
    <w:rPr>
      <w:sz w:val="20"/>
    </w:rPr>
  </w:style>
  <w:style w:type="paragraph" w:customStyle="1" w:styleId="RollCallSymbols12pt">
    <w:name w:val="RollCallSymbols12pt"/>
    <w:basedOn w:val="Normal"/>
    <w:rsid w:val="002659A2"/>
    <w:pPr>
      <w:spacing w:before="120" w:after="120"/>
      <w:jc w:val="center"/>
    </w:pPr>
    <w:rPr>
      <w:rFonts w:ascii="Arial" w:hAnsi="Arial"/>
      <w:b/>
      <w:bCs/>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sz w:val="48"/>
    </w:rPr>
  </w:style>
  <w:style w:type="table" w:styleId="TableGrid">
    <w:name w:val="Table Grid"/>
    <w:basedOn w:val="TableNormal"/>
    <w:rsid w:val="00F6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F64B87"/>
    <w:pPr>
      <w:jc w:val="center"/>
    </w:pPr>
    <w:rPr>
      <w:rFonts w:ascii="Arial" w:hAnsi="Arial" w:cs="Arial"/>
      <w:i/>
      <w:snapToGrid/>
      <w:sz w:val="22"/>
      <w:szCs w:val="22"/>
      <w:lang w:eastAsia="en-GB"/>
    </w:rPr>
  </w:style>
  <w:style w:type="paragraph" w:customStyle="1" w:styleId="RollCallSymbols14pt">
    <w:name w:val="RollCallSymbols14pt"/>
    <w:basedOn w:val="Normal"/>
    <w:rsid w:val="002659A2"/>
    <w:pPr>
      <w:spacing w:before="120" w:after="120"/>
      <w:jc w:val="center"/>
    </w:pPr>
    <w:rPr>
      <w:rFonts w:ascii="Arial" w:hAnsi="Arial"/>
      <w:b/>
      <w:bCs/>
      <w:sz w:val="28"/>
    </w:rPr>
  </w:style>
  <w:style w:type="paragraph" w:customStyle="1" w:styleId="NormalBold12b">
    <w:name w:val="NormalBold12b"/>
    <w:basedOn w:val="Normal"/>
    <w:pPr>
      <w:spacing w:before="240"/>
    </w:pPr>
    <w:rPr>
      <w:b/>
    </w:rPr>
  </w:style>
  <w:style w:type="paragraph" w:customStyle="1" w:styleId="PVxIndentTab">
    <w:name w:val="PVxIndentTab"/>
    <w:basedOn w:val="Normal"/>
    <w:rsid w:val="004062E2"/>
    <w:pPr>
      <w:tabs>
        <w:tab w:val="left" w:pos="2268"/>
      </w:tabs>
      <w:ind w:left="567"/>
    </w:pPr>
  </w:style>
  <w:style w:type="paragraph" w:customStyle="1" w:styleId="PVxIndentTab12b">
    <w:name w:val="PVxIndentTab12b"/>
    <w:basedOn w:val="Normal"/>
    <w:next w:val="Normal"/>
    <w:rsid w:val="00CD0CF5"/>
    <w:pPr>
      <w:tabs>
        <w:tab w:val="left" w:pos="2268"/>
      </w:tabs>
      <w:spacing w:before="240"/>
      <w:ind w:left="567"/>
    </w:pPr>
  </w:style>
  <w:style w:type="paragraph" w:customStyle="1" w:styleId="PVxIndent12a">
    <w:name w:val="PVxIndent12a"/>
    <w:basedOn w:val="Normal"/>
    <w:rsid w:val="006B2AF7"/>
    <w:pPr>
      <w:spacing w:after="240"/>
      <w:ind w:left="567"/>
    </w:pPr>
  </w:style>
  <w:style w:type="paragraph" w:customStyle="1" w:styleId="RollCallVotes">
    <w:name w:val="RollCallVotes"/>
    <w:basedOn w:val="Normal"/>
    <w:rsid w:val="002659A2"/>
    <w:pPr>
      <w:spacing w:before="120" w:after="120"/>
      <w:jc w:val="center"/>
    </w:pPr>
    <w:rPr>
      <w:b/>
      <w:bCs/>
      <w:sz w:val="16"/>
    </w:rPr>
  </w:style>
  <w:style w:type="paragraph" w:customStyle="1" w:styleId="RollCallHeading">
    <w:name w:val="RollCallHeading"/>
    <w:basedOn w:val="Normal"/>
    <w:qFormat/>
    <w:rsid w:val="003A0A68"/>
    <w:pPr>
      <w:spacing w:before="480" w:after="480"/>
      <w:jc w:val="center"/>
    </w:pPr>
    <w:rPr>
      <w:b/>
      <w:sz w:val="28"/>
    </w:rPr>
  </w:style>
  <w:style w:type="character" w:customStyle="1" w:styleId="HideTWBInt">
    <w:name w:val="HideTWBInt"/>
    <w:rPr>
      <w:rFonts w:ascii="Arial" w:hAnsi="Arial" w:cs="Arial"/>
      <w:vanish/>
      <w:color w:val="808080"/>
      <w:sz w:val="20"/>
    </w:rPr>
  </w:style>
  <w:style w:type="paragraph" w:customStyle="1" w:styleId="PVxIndent12b">
    <w:name w:val="PVxIndent12b"/>
    <w:basedOn w:val="Normal"/>
    <w:next w:val="Normal"/>
    <w:rsid w:val="006B2AF7"/>
    <w:pPr>
      <w:spacing w:before="240"/>
      <w:ind w:left="567"/>
    </w:pPr>
  </w:style>
  <w:style w:type="paragraph" w:customStyle="1" w:styleId="NormalBold">
    <w:name w:val="NormalBold"/>
    <w:basedOn w:val="Normal"/>
    <w:rPr>
      <w:b/>
    </w:rPr>
  </w:style>
  <w:style w:type="paragraph" w:customStyle="1" w:styleId="LineTop">
    <w:name w:val="LineTop"/>
    <w:basedOn w:val="Normal"/>
    <w:next w:val="Normal"/>
    <w:rsid w:val="00F64B87"/>
    <w:pPr>
      <w:pBdr>
        <w:top w:val="single" w:sz="4" w:space="1" w:color="auto"/>
      </w:pBdr>
      <w:jc w:val="center"/>
    </w:pPr>
    <w:rPr>
      <w:rFonts w:ascii="Arial" w:hAnsi="Arial" w:cs="Arial"/>
      <w:snapToGrid/>
      <w:sz w:val="16"/>
      <w:szCs w:val="16"/>
      <w:lang w:eastAsia="en-GB"/>
    </w:rPr>
  </w:style>
  <w:style w:type="paragraph" w:customStyle="1" w:styleId="LineBottom">
    <w:name w:val="LineBottom"/>
    <w:basedOn w:val="Normal"/>
    <w:next w:val="Normal"/>
    <w:rsid w:val="001173AC"/>
    <w:pPr>
      <w:pBdr>
        <w:bottom w:val="single" w:sz="4" w:space="1" w:color="auto"/>
      </w:pBdr>
      <w:spacing w:after="240"/>
      <w:jc w:val="center"/>
    </w:pPr>
    <w:rPr>
      <w:rFonts w:ascii="Arial" w:hAnsi="Arial" w:cs="Arial"/>
      <w:snapToGrid/>
      <w:sz w:val="16"/>
      <w:szCs w:val="16"/>
      <w:lang w:eastAsia="en-GB"/>
    </w:rPr>
  </w:style>
  <w:style w:type="paragraph" w:customStyle="1" w:styleId="RollCallTitle">
    <w:name w:val="RollCallTitle"/>
    <w:basedOn w:val="Normal"/>
    <w:qFormat/>
    <w:rsid w:val="00AD4CEB"/>
    <w:pPr>
      <w:spacing w:after="240"/>
    </w:pPr>
  </w:style>
  <w:style w:type="paragraph" w:customStyle="1" w:styleId="RollCallContents">
    <w:name w:val="RollCallContents"/>
    <w:basedOn w:val="Normal"/>
    <w:qFormat/>
    <w:rsid w:val="00DC63A9"/>
    <w:pPr>
      <w:spacing w:before="480" w:after="480"/>
      <w:jc w:val="center"/>
    </w:pPr>
    <w:rPr>
      <w:b/>
    </w:rPr>
  </w:style>
  <w:style w:type="paragraph" w:customStyle="1" w:styleId="RollCallSubtitle">
    <w:name w:val="RollCallSubtitle"/>
    <w:basedOn w:val="RollCallTitle"/>
    <w:qFormat/>
    <w:rsid w:val="008A7874"/>
  </w:style>
  <w:style w:type="paragraph" w:customStyle="1" w:styleId="RollCallTabs">
    <w:name w:val="RollCallTabs"/>
    <w:basedOn w:val="Normal"/>
    <w:qFormat/>
    <w:rsid w:val="000A769E"/>
    <w:pPr>
      <w:tabs>
        <w:tab w:val="center" w:pos="284"/>
        <w:tab w:val="left" w:pos="426"/>
      </w:tabs>
    </w:pPr>
  </w:style>
  <w:style w:type="paragraph" w:customStyle="1" w:styleId="EPName">
    <w:name w:val="EPName"/>
    <w:basedOn w:val="Normal"/>
    <w:rsid w:val="00DF0DC8"/>
    <w:pPr>
      <w:spacing w:before="80" w:after="80"/>
    </w:pPr>
    <w:rPr>
      <w:rFonts w:ascii="Arial Narrow" w:hAnsi="Arial Narrow" w:cs="Arial"/>
      <w:b/>
      <w:snapToGrid/>
      <w:sz w:val="32"/>
      <w:szCs w:val="22"/>
      <w:lang w:eastAsia="en-GB"/>
    </w:rPr>
  </w:style>
  <w:style w:type="paragraph" w:customStyle="1" w:styleId="EPTerm">
    <w:name w:val="EPTerm"/>
    <w:basedOn w:val="Normal"/>
    <w:next w:val="Normal"/>
    <w:rsid w:val="00DF0DC8"/>
    <w:pPr>
      <w:spacing w:after="80"/>
    </w:pPr>
    <w:rPr>
      <w:rFonts w:ascii="Arial" w:hAnsi="Arial" w:cs="Arial"/>
      <w:snapToGrid/>
      <w:sz w:val="20"/>
      <w:szCs w:val="22"/>
      <w:lang w:eastAsia="en-GB"/>
    </w:rPr>
  </w:style>
  <w:style w:type="paragraph" w:customStyle="1" w:styleId="EPLogo">
    <w:name w:val="EPLogo"/>
    <w:basedOn w:val="Normal"/>
    <w:qFormat/>
    <w:rsid w:val="00DF0DC8"/>
    <w:pPr>
      <w:jc w:val="right"/>
    </w:pPr>
    <w:rPr>
      <w:snapToGrid/>
      <w:lang w:eastAsia="en-GB"/>
    </w:rPr>
  </w:style>
  <w:style w:type="paragraph" w:customStyle="1" w:styleId="AttendancePVTable">
    <w:name w:val="AttendancePVTable"/>
    <w:basedOn w:val="Normal"/>
    <w:rsid w:val="00AD4CEB"/>
    <w:pPr>
      <w:spacing w:before="120" w:after="120"/>
    </w:pPr>
    <w:rPr>
      <w:sz w:val="16"/>
    </w:rPr>
  </w:style>
  <w:style w:type="paragraph" w:customStyle="1" w:styleId="AttendancePVFootnote">
    <w:name w:val="AttendancePVFootnote"/>
    <w:basedOn w:val="Normal"/>
    <w:rsid w:val="00AD4CEB"/>
    <w:pPr>
      <w:tabs>
        <w:tab w:val="left" w:pos="170"/>
        <w:tab w:val="left" w:pos="510"/>
      </w:tabs>
      <w:ind w:left="680" w:hanging="680"/>
    </w:pPr>
    <w:rPr>
      <w:sz w:val="16"/>
    </w:rPr>
  </w:style>
  <w:style w:type="paragraph" w:customStyle="1" w:styleId="AttendancePVTitle">
    <w:name w:val="AttendancePVTitle"/>
    <w:basedOn w:val="Normal"/>
    <w:rsid w:val="00A66B35"/>
    <w:pPr>
      <w:spacing w:after="480"/>
      <w:jc w:val="center"/>
    </w:pPr>
    <w:rPr>
      <w:b/>
      <w:sz w:val="16"/>
    </w:rPr>
  </w:style>
  <w:style w:type="paragraph" w:customStyle="1" w:styleId="Normal12a">
    <w:name w:val="Normal12a"/>
    <w:basedOn w:val="Normal"/>
    <w:rsid w:val="00AD4CEB"/>
    <w:pPr>
      <w:spacing w:after="240"/>
    </w:pPr>
    <w:rPr>
      <w:snapToGrid/>
      <w:lang w:eastAsia="en-GB"/>
    </w:rPr>
  </w:style>
  <w:style w:type="paragraph" w:customStyle="1" w:styleId="NormalBoldCenter">
    <w:name w:val="NormalBoldCenter"/>
    <w:basedOn w:val="Normal"/>
    <w:rsid w:val="00AD4CEB"/>
    <w:pPr>
      <w:jc w:val="center"/>
    </w:pPr>
    <w:rPr>
      <w:b/>
      <w:lang w:eastAsia="en-GB"/>
    </w:rPr>
  </w:style>
  <w:style w:type="paragraph" w:customStyle="1" w:styleId="HeadingReferenceOJPV">
    <w:name w:val="HeadingReferenceOJPV"/>
    <w:basedOn w:val="Normal"/>
    <w:rsid w:val="001173AC"/>
    <w:pPr>
      <w:spacing w:before="840" w:after="720"/>
      <w:jc w:val="right"/>
    </w:pPr>
    <w:rPr>
      <w:rFonts w:ascii="Arial" w:hAnsi="Arial"/>
      <w:b/>
      <w:lang w:eastAsia="en-GB"/>
    </w:rPr>
  </w:style>
  <w:style w:type="paragraph" w:customStyle="1" w:styleId="EPFooter">
    <w:name w:val="EPFooter"/>
    <w:basedOn w:val="Normal"/>
    <w:rsid w:val="005A4857"/>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0637F3"/>
    <w:pPr>
      <w:keepLines/>
      <w:spacing w:before="240" w:after="240"/>
    </w:pPr>
    <w:rPr>
      <w:rFonts w:asciiTheme="majorHAnsi" w:eastAsiaTheme="majorEastAsia" w:hAnsiTheme="majorHAnsi" w:cstheme="majorBidi"/>
      <w:b/>
      <w:color w:val="2E74B5" w:themeColor="accent1" w:themeShade="BF"/>
      <w:sz w:val="32"/>
      <w:szCs w:val="32"/>
    </w:rPr>
  </w:style>
  <w:style w:type="paragraph" w:styleId="Header">
    <w:name w:val="header"/>
    <w:basedOn w:val="Normal"/>
    <w:link w:val="HeaderChar"/>
    <w:semiHidden/>
    <w:rsid w:val="001E4EBD"/>
    <w:pPr>
      <w:tabs>
        <w:tab w:val="center" w:pos="4513"/>
        <w:tab w:val="right" w:pos="9026"/>
      </w:tabs>
    </w:pPr>
  </w:style>
  <w:style w:type="character" w:customStyle="1" w:styleId="HeaderChar">
    <w:name w:val="Header Char"/>
    <w:basedOn w:val="DefaultParagraphFont"/>
    <w:link w:val="Header"/>
    <w:semiHidden/>
    <w:rsid w:val="001E4EBD"/>
    <w:rPr>
      <w:snapToGrid w:val="0"/>
      <w:sz w:val="24"/>
      <w:lang w:eastAsia="en-US"/>
    </w:rPr>
  </w:style>
  <w:style w:type="paragraph" w:customStyle="1" w:styleId="MeetingIntro">
    <w:name w:val="MeetingIntro"/>
    <w:basedOn w:val="Normal"/>
    <w:rsid w:val="001173AC"/>
    <w:pPr>
      <w:spacing w:before="600" w:after="600"/>
    </w:pPr>
    <w:rPr>
      <w:lang w:eastAsia="en-GB"/>
    </w:rPr>
  </w:style>
  <w:style w:type="paragraph" w:customStyle="1" w:styleId="MeetingClosing">
    <w:name w:val="MeetingClosing"/>
    <w:basedOn w:val="Normal"/>
    <w:rsid w:val="001173AC"/>
    <w:pPr>
      <w:spacing w:before="600" w:after="240"/>
    </w:pPr>
  </w:style>
  <w:style w:type="paragraph" w:customStyle="1" w:styleId="HeadingDocType24a">
    <w:name w:val="HeadingDocType24a"/>
    <w:basedOn w:val="Normal"/>
    <w:rsid w:val="001173AC"/>
    <w:pPr>
      <w:spacing w:after="480"/>
      <w:jc w:val="center"/>
    </w:pPr>
    <w:rPr>
      <w:rFonts w:ascii="Arial" w:hAnsi="Arial"/>
      <w:b/>
      <w:snapToGrid/>
      <w:sz w:val="48"/>
      <w:lang w:eastAsia="en-GB"/>
    </w:rPr>
  </w:style>
  <w:style w:type="paragraph" w:customStyle="1" w:styleId="HeadingCenter12a">
    <w:name w:val="HeadingCenter12a"/>
    <w:basedOn w:val="Normal"/>
    <w:rsid w:val="001173AC"/>
    <w:pPr>
      <w:spacing w:after="240"/>
      <w:jc w:val="center"/>
    </w:pPr>
    <w:rPr>
      <w:b/>
      <w:snapToGrid/>
      <w:lang w:eastAsia="en-GB"/>
    </w:rPr>
  </w:style>
  <w:style w:type="paragraph" w:customStyle="1" w:styleId="AnnexRightBold">
    <w:name w:val="AnnexRightBold"/>
    <w:basedOn w:val="Normal"/>
    <w:rsid w:val="0067649D"/>
    <w:pPr>
      <w:spacing w:after="480"/>
      <w:jc w:val="right"/>
    </w:pPr>
    <w:rPr>
      <w:b/>
      <w:snapToGrid/>
      <w:lang w:eastAsia="en-GB"/>
    </w:rPr>
  </w:style>
  <w:style w:type="character" w:styleId="CommentReference">
    <w:name w:val="annotation reference"/>
    <w:basedOn w:val="DefaultParagraphFont"/>
    <w:rsid w:val="008445B0"/>
    <w:rPr>
      <w:sz w:val="16"/>
      <w:szCs w:val="16"/>
    </w:rPr>
  </w:style>
  <w:style w:type="paragraph" w:styleId="CommentText">
    <w:name w:val="annotation text"/>
    <w:basedOn w:val="Normal"/>
    <w:link w:val="CommentTextChar"/>
    <w:rsid w:val="008445B0"/>
    <w:rPr>
      <w:sz w:val="20"/>
    </w:rPr>
  </w:style>
  <w:style w:type="character" w:customStyle="1" w:styleId="CommentTextChar">
    <w:name w:val="Comment Text Char"/>
    <w:basedOn w:val="DefaultParagraphFont"/>
    <w:link w:val="CommentText"/>
    <w:rsid w:val="008445B0"/>
    <w:rPr>
      <w:snapToGrid w:val="0"/>
      <w:lang w:eastAsia="en-US"/>
    </w:rPr>
  </w:style>
  <w:style w:type="paragraph" w:styleId="CommentSubject">
    <w:name w:val="annotation subject"/>
    <w:basedOn w:val="CommentText"/>
    <w:next w:val="CommentText"/>
    <w:link w:val="CommentSubjectChar"/>
    <w:semiHidden/>
    <w:unhideWhenUsed/>
    <w:rsid w:val="008445B0"/>
    <w:rPr>
      <w:b/>
      <w:bCs/>
    </w:rPr>
  </w:style>
  <w:style w:type="character" w:customStyle="1" w:styleId="CommentSubjectChar">
    <w:name w:val="Comment Subject Char"/>
    <w:basedOn w:val="CommentTextChar"/>
    <w:link w:val="CommentSubject"/>
    <w:semiHidden/>
    <w:rsid w:val="008445B0"/>
    <w:rPr>
      <w:b/>
      <w:bCs/>
      <w:snapToGrid w:val="0"/>
      <w:lang w:eastAsia="en-US"/>
    </w:rPr>
  </w:style>
  <w:style w:type="paragraph" w:styleId="BalloonText">
    <w:name w:val="Balloon Text"/>
    <w:basedOn w:val="Normal"/>
    <w:link w:val="BalloonTextChar"/>
    <w:semiHidden/>
    <w:unhideWhenUsed/>
    <w:rsid w:val="008445B0"/>
    <w:rPr>
      <w:rFonts w:ascii="Segoe UI" w:hAnsi="Segoe UI" w:cs="Segoe UI"/>
      <w:sz w:val="18"/>
      <w:szCs w:val="18"/>
    </w:rPr>
  </w:style>
  <w:style w:type="character" w:customStyle="1" w:styleId="BalloonTextChar">
    <w:name w:val="Balloon Text Char"/>
    <w:basedOn w:val="DefaultParagraphFont"/>
    <w:link w:val="BalloonText"/>
    <w:semiHidden/>
    <w:rsid w:val="008445B0"/>
    <w:rPr>
      <w:rFonts w:ascii="Segoe UI" w:hAnsi="Segoe UI" w:cs="Segoe UI"/>
      <w:snapToGrid w:val="0"/>
      <w:sz w:val="18"/>
      <w:szCs w:val="18"/>
      <w:lang w:eastAsia="en-US"/>
    </w:rPr>
  </w:style>
  <w:style w:type="paragraph" w:styleId="Footer">
    <w:name w:val="footer"/>
    <w:basedOn w:val="Normal"/>
    <w:link w:val="FooterChar"/>
    <w:rsid w:val="00B56572"/>
    <w:pPr>
      <w:tabs>
        <w:tab w:val="center" w:pos="4513"/>
        <w:tab w:val="right" w:pos="9026"/>
      </w:tabs>
    </w:pPr>
  </w:style>
  <w:style w:type="character" w:customStyle="1" w:styleId="FooterChar">
    <w:name w:val="Footer Char"/>
    <w:basedOn w:val="DefaultParagraphFont"/>
    <w:link w:val="Footer"/>
    <w:rsid w:val="00B56572"/>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e\AppData\Local\Temp\PV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4872-CDCF-4993-BC55-5EAE98FE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PVx.dotx</Template>
  <TotalTime>0</TotalTime>
  <Pages>6</Pages>
  <Words>918</Words>
  <Characters>10550</Characters>
  <Application>Microsoft Office Word</Application>
  <DocSecurity>0</DocSecurity>
  <Lines>191</Lines>
  <Paragraphs>77</Paragraphs>
  <ScaleCrop>false</ScaleCrop>
  <HeadingPairs>
    <vt:vector size="2" baseType="variant">
      <vt:variant>
        <vt:lpstr>Title</vt:lpstr>
      </vt:variant>
      <vt:variant>
        <vt:i4>1</vt:i4>
      </vt:variant>
    </vt:vector>
  </HeadingPairs>
  <TitlesOfParts>
    <vt:vector size="1" baseType="lpstr">
      <vt:lpstr>PVx</vt:lpstr>
    </vt:vector>
  </TitlesOfParts>
  <Company/>
  <LinksUpToDate>false</LinksUpToDate>
  <CharactersWithSpaces>11391</CharactersWithSpaces>
  <SharedDoc>false</SharedDoc>
  <HLinks>
    <vt:vector size="12" baseType="variant">
      <vt:variant>
        <vt:i4>2752513</vt:i4>
      </vt:variant>
      <vt:variant>
        <vt:i4>8</vt:i4>
      </vt:variant>
      <vt:variant>
        <vt:i4>0</vt:i4>
      </vt:variant>
      <vt:variant>
        <vt:i4>5</vt:i4>
      </vt:variant>
      <vt:variant>
        <vt:lpwstr/>
      </vt:variant>
      <vt:variant>
        <vt:lpwstr>_Toc3824015</vt:lpwstr>
      </vt:variant>
      <vt:variant>
        <vt:i4>2752513</vt:i4>
      </vt:variant>
      <vt:variant>
        <vt:i4>2</vt:i4>
      </vt:variant>
      <vt:variant>
        <vt:i4>0</vt:i4>
      </vt:variant>
      <vt:variant>
        <vt:i4>5</vt:i4>
      </vt:variant>
      <vt:variant>
        <vt:lpwstr/>
      </vt:variant>
      <vt:variant>
        <vt:lpwstr>_Toc3824014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PVx</dc:title>
  <dc:subject/>
  <dc:creator>RUNGE Tatiana</dc:creator>
  <cp:keywords/>
  <cp:lastModifiedBy>KUBIAK Wioletta</cp:lastModifiedBy>
  <cp:revision>2</cp:revision>
  <cp:lastPrinted>2009-06-18T13:43:00Z</cp:lastPrinted>
  <dcterms:created xsi:type="dcterms:W3CDTF">2020-09-18T07:49:00Z</dcterms:created>
  <dcterms:modified xsi:type="dcterms:W3CDTF">2020-09-18T07:49:00Z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9.9.0 Build [20200302]</vt:lpwstr>
  </property>
  <property fmtid="{D5CDD505-2E9C-101B-9397-08002B2CF9AE}" pid="3" name="LastEdited with">
    <vt:lpwstr>9.9.1 Build [20200705]</vt:lpwstr>
  </property>
  <property fmtid="{D5CDD505-2E9C-101B-9397-08002B2CF9AE}" pid="4" name="&lt;FdR&gt;">
    <vt:lpwstr>1205495</vt:lpwstr>
  </property>
  <property fmtid="{D5CDD505-2E9C-101B-9397-08002B2CF9AE}" pid="5" name="&lt;Type&gt;">
    <vt:lpwstr>PV</vt:lpwstr>
  </property>
  <property fmtid="{D5CDD505-2E9C-101B-9397-08002B2CF9AE}" pid="6" name="&lt;ModelCod&gt;">
    <vt:lpwstr>\\eiciBRUpr1\pdocep$\DocEP\DOCS\General\PV\PVx.dotx(17/04/2020 19:28:12)</vt:lpwstr>
  </property>
  <property fmtid="{D5CDD505-2E9C-101B-9397-08002B2CF9AE}" pid="7" name="&lt;ModelTra&gt;">
    <vt:lpwstr>\\eiciBRUpr1\pdocep$\DocEP\TRANSFIL\EN\PVx.EN(18/03/2020 12:59:08)</vt:lpwstr>
  </property>
  <property fmtid="{D5CDD505-2E9C-101B-9397-08002B2CF9AE}" pid="8" name="&lt;Model&gt;">
    <vt:lpwstr>PVx</vt:lpwstr>
  </property>
  <property fmtid="{D5CDD505-2E9C-101B-9397-08002B2CF9AE}" pid="9" name="FooterPath">
    <vt:lpwstr>PV\1205495PL.docx</vt:lpwstr>
  </property>
  <property fmtid="{D5CDD505-2E9C-101B-9397-08002B2CF9AE}" pid="10" name="PE number">
    <vt:lpwstr>652.382</vt:lpwstr>
  </property>
  <property fmtid="{D5CDD505-2E9C-101B-9397-08002B2CF9AE}" pid="11" name="SendToEpades">
    <vt:lpwstr>OK - 2020/07/09 17:15</vt:lpwstr>
  </property>
  <property fmtid="{D5CDD505-2E9C-101B-9397-08002B2CF9AE}" pid="12" name="SDLStudio">
    <vt:lpwstr/>
  </property>
  <property fmtid="{D5CDD505-2E9C-101B-9397-08002B2CF9AE}" pid="13" name="&lt;Extension&gt;">
    <vt:lpwstr>PL</vt:lpwstr>
  </property>
  <property fmtid="{D5CDD505-2E9C-101B-9397-08002B2CF9AE}" pid="14" name="Bookout">
    <vt:lpwstr>OK - 2020/09/18 09:49</vt:lpwstr>
  </property>
</Properties>
</file>