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tbl>
      <w:tblPr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4"/>
        <w:gridCol w:w="2268"/>
      </w:tblGrid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 w:val="0"/>
          <w:trHeight w:hRule="exact" w:val="1417"/>
          <w:jc w:val="center"/>
        </w:trPr>
        <w:tc>
          <w:tcPr>
            <w:tcW w:w="6804" w:type="dxa"/>
            <w:vAlign w:val="center"/>
          </w:tcPr>
          <w:p>
            <w:pPr>
              <w:pStyle w:val="EPName"/>
            </w:pPr>
            <w:r w:rsidR="00A77B3E">
              <w:t>Parlamento europeo</w:t>
            </w:r>
          </w:p>
          <w:p>
            <w:pPr>
              <w:pStyle w:val="EPTerm"/>
            </w:pPr>
            <w:r>
              <w:t>2019-2024</w:t>
            </w:r>
          </w:p>
        </w:tc>
        <w:tc>
          <w:tcPr>
            <w:tcW w:w="2268" w:type="dxa"/>
            <w:vAlign w:val="top"/>
          </w:tcPr>
          <w:p>
            <w:pPr>
              <w:pStyle w:val="EPLogo"/>
            </w:pPr>
            <w:r>
              <w:drawing>
                <wp:inline>
                  <wp:extent cx="1162812" cy="647954"/>
                  <wp:docPr id="10000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25396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12" cy="64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LineTop"/>
      </w:pPr>
    </w:p>
    <w:p>
      <w:pPr>
        <w:pStyle w:val="EPBody"/>
      </w:pPr>
      <w:r>
        <w:rPr>
          <w:rStyle w:val="HideTWBExt"/>
        </w:rPr>
        <w:t>&lt;</w:t>
      </w:r>
      <w:r>
        <w:rPr>
          <w:rStyle w:val="HideTWBExt"/>
        </w:rPr>
        <w:t>Commission</w:t>
      </w:r>
      <w:r>
        <w:rPr>
          <w:rStyle w:val="HideTWBExt"/>
        </w:rPr>
        <w:t>&gt;</w:t>
      </w:r>
      <w:r>
        <w:rPr>
          <w:rStyle w:val="HideTWBInt"/>
        </w:rPr>
        <w:t>{IMCO}</w:t>
      </w:r>
      <w:r>
        <w:t>Commissione per il mercato interno e la protezione dei consumatori</w:t>
      </w:r>
      <w:r>
        <w:rPr>
          <w:rStyle w:val="HideTWBExt"/>
        </w:rPr>
        <w:t>&lt;/</w:t>
      </w:r>
      <w:r>
        <w:rPr>
          <w:rStyle w:val="HideTWBExt"/>
        </w:rPr>
        <w:t>Commission</w:t>
      </w:r>
      <w:r>
        <w:rPr>
          <w:rStyle w:val="HideTWBExt"/>
        </w:rPr>
        <w:t>&gt;</w:t>
      </w:r>
    </w:p>
    <w:p>
      <w:pPr>
        <w:pStyle w:val="LineBottom"/>
      </w:pPr>
    </w:p>
    <w:p>
      <w:pPr>
        <w:pStyle w:val="CoverReference"/>
      </w:pPr>
      <w:r>
        <w:rPr>
          <w:rStyle w:val="HideTWBExt"/>
        </w:rPr>
        <w:t>&lt;</w:t>
      </w:r>
      <w:r>
        <w:rPr>
          <w:rStyle w:val="HideTWBExt"/>
        </w:rPr>
        <w:t>RefProc</w:t>
      </w:r>
      <w:r>
        <w:rPr>
          <w:rStyle w:val="HideTWBExt"/>
        </w:rPr>
        <w:t>&gt;</w:t>
      </w:r>
      <w:r>
        <w:t>2020/2015</w:t>
      </w:r>
      <w:r>
        <w:rPr>
          <w:rStyle w:val="HideTWBExt"/>
        </w:rPr>
        <w:t>&lt;/</w:t>
      </w:r>
      <w:r>
        <w:rPr>
          <w:rStyle w:val="HideTWBExt"/>
        </w:rPr>
        <w:t>RefProc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RefTypeProc</w:t>
      </w:r>
      <w:r>
        <w:rPr>
          <w:rStyle w:val="HideTWBExt"/>
        </w:rPr>
        <w:t>&gt;</w:t>
      </w:r>
      <w:r>
        <w:t>(INI)</w:t>
      </w:r>
      <w:r>
        <w:rPr>
          <w:rStyle w:val="HideTWBExt"/>
        </w:rPr>
        <w:t>&lt;/</w:t>
      </w:r>
      <w:r>
        <w:rPr>
          <w:rStyle w:val="HideTWBExt"/>
        </w:rPr>
        <w:t>RefTypeProc</w:t>
      </w:r>
      <w:r>
        <w:rPr>
          <w:rStyle w:val="HideTWBExt"/>
        </w:rPr>
        <w:t>&gt;</w:t>
      </w:r>
    </w:p>
    <w:p>
      <w:pPr>
        <w:pStyle w:val="CoverDate"/>
      </w:pP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07/05/2020</w:t>
      </w:r>
      <w:r>
        <w:rPr>
          <w:rStyle w:val="HideTWBInt"/>
        </w:rPr>
        <w:t>}</w:t>
      </w:r>
      <w:r>
        <w:t>7.5.2020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</w:p>
    <w:p>
      <w:pPr>
        <w:pStyle w:val="CoverDocType"/>
      </w:pPr>
      <w:r>
        <w:rPr>
          <w:rStyle w:val="HideTWBExt"/>
        </w:rPr>
        <w:t>&lt;</w:t>
      </w:r>
      <w:r>
        <w:rPr>
          <w:rStyle w:val="HideTWBExt"/>
        </w:rPr>
        <w:t>TypeAM</w:t>
      </w:r>
      <w:r>
        <w:rPr>
          <w:rStyle w:val="HideTWBExt"/>
        </w:rPr>
        <w:t>&gt;</w:t>
      </w:r>
      <w:r>
        <w:t>EMENDAMENTI</w:t>
      </w:r>
      <w:r>
        <w:rPr>
          <w:rStyle w:val="HideTWBExt"/>
        </w:rPr>
        <w:t>&lt;/</w:t>
      </w:r>
      <w:r>
        <w:rPr>
          <w:rStyle w:val="HideTWBExt"/>
        </w:rPr>
        <w:t>TypeAM</w:t>
      </w:r>
      <w:r>
        <w:rPr>
          <w:rStyle w:val="HideTWBExt"/>
        </w:rPr>
        <w:t>&gt;</w:t>
      </w:r>
    </w:p>
    <w:p>
      <w:pPr>
        <w:pStyle w:val="CoverDocType24a"/>
      </w:pPr>
      <w:r>
        <w:rPr>
          <w:rStyle w:val="HideTWBExt"/>
        </w:rPr>
        <w:t>&lt;</w:t>
      </w:r>
      <w:r>
        <w:rPr>
          <w:rStyle w:val="HideTWBExt"/>
        </w:rPr>
        <w:t>RangeAM</w:t>
      </w:r>
      <w:r>
        <w:rPr>
          <w:rStyle w:val="HideTWBExt"/>
        </w:rPr>
        <w:t>&gt;</w:t>
      </w:r>
      <w:r>
        <w:t>1 - 47</w:t>
      </w:r>
      <w:r>
        <w:rPr>
          <w:rStyle w:val="HideTWBExt"/>
        </w:rPr>
        <w:t>&lt;/</w:t>
      </w:r>
      <w:r>
        <w:rPr>
          <w:rStyle w:val="HideTWBExt"/>
        </w:rPr>
        <w:t>RangeAM</w:t>
      </w:r>
      <w:r>
        <w:rPr>
          <w:rStyle w:val="HideTWBExt"/>
        </w:rPr>
        <w:t>&gt;</w:t>
      </w:r>
    </w:p>
    <w:p>
      <w:pPr>
        <w:pStyle w:val="CoverBold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</w:p>
    <w:p>
      <w:pPr>
        <w:pStyle w:val="Cover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Adam Bielan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pPr>
        <w:pStyle w:val="CoverNormal24a"/>
      </w:pPr>
      <w:r>
        <w:rPr>
          <w:rStyle w:val="HideTWBExt"/>
        </w:rPr>
        <w:t>&lt;</w:t>
      </w:r>
      <w:r>
        <w:rPr>
          <w:rStyle w:val="HideTWBExt"/>
        </w:rPr>
        <w:t>DocRefPE</w:t>
      </w:r>
      <w:r>
        <w:rPr>
          <w:rStyle w:val="HideTWBExt"/>
        </w:rPr>
        <w:t>&gt;</w:t>
      </w:r>
      <w:r>
        <w:t>(</w:t>
      </w:r>
      <w:r>
        <w:t>PE648.600v01-00</w:t>
      </w:r>
      <w:r>
        <w:t>)</w:t>
      </w:r>
      <w:r>
        <w:rPr>
          <w:rStyle w:val="HideTWBExt"/>
        </w:rPr>
        <w:t>&lt;/</w:t>
      </w:r>
      <w:r>
        <w:rPr>
          <w:rStyle w:val="HideTWBExt"/>
        </w:rPr>
        <w:t>DocRefPE</w:t>
      </w:r>
      <w:r>
        <w:rPr>
          <w:rStyle w:val="HideTWBExt"/>
        </w:rPr>
        <w:t>&gt;</w:t>
      </w:r>
    </w:p>
    <w:p>
      <w:pPr>
        <w:pStyle w:val="CoverNormal"/>
      </w:pPr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Diritti di proprietà intellettuale per lo sviluppo di tecnologie di intelligenza artificiale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CoverNormal24a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(</w:t>
      </w:r>
      <w:r>
        <w:t>2020/2015(INI)</w:t>
      </w:r>
      <w:r>
        <w:t>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r>
        <w:br w:type="page"/>
      </w:r>
      <w:r>
        <w:t>AM_Com_NonLegOpinion</w:t>
      </w:r>
    </w:p>
    <w:p>
      <w:pPr>
        <w:pStyle w:val="AmNumberTabs"/>
      </w:pPr>
      <w:r>
        <w:br w:type="page"/>
      </w:r>
      <w:r>
        <w:rPr>
          <w:rStyle w:val="HideTWBExt"/>
        </w:rPr>
        <w:t>&lt;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Jordi Cañas</w:t>
      </w:r>
      <w:r>
        <w:t xml:space="preserve">, </w:t>
      </w:r>
      <w:r>
        <w:t>Svenja Hahn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1.</w:t>
            </w:r>
            <w:r>
              <w:tab/>
            </w:r>
            <w:r>
              <w:t>ricorda il potenziale che possiede l'intelligenza artificiale (IA) nel fornire servizi innovativi alle imprese, ai consumatori e al settore pubblico; sottolinea che lo sviluppo e l'utilizzo dell'IA nel mercato interno dipenderanno da un sistema equilibrato ed efficace di diritti di proprietà intellettuale (DPI);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1.</w:t>
            </w:r>
            <w:r>
              <w:tab/>
            </w:r>
            <w:r>
              <w:t xml:space="preserve">ricorda il potenziale che possiede l'intelligenza artificiale (IA) nel fornire servizi innovativi alle imprese, ai consumatori e al settore pubblico; sottolinea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il ruolo chiave che le tecnologie di IA potrebbero svolgere nella digitalizzazione di numerosi settori dell'economia, come l'industria, l'assistenza sanitaria, l'edilizia e i trasporti, portando alla nascita di nuovi modelli imprenditoriali;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sottolinea che l'Unione deve integrare attivamente gli sviluppi in questo settore per stimolare il mercato unico digitale;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sottolinea</w:t>
            </w:r>
            <w:r>
              <w:t xml:space="preserve"> che lo sviluppo e l'utilizzo dell'IA nel mercato interno dipenderanno da un sistema equilibrato ed efficace di diritti di proprietà intellettuale (DPI);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Maria Grapini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1.</w:t>
            </w:r>
            <w:r>
              <w:tab/>
            </w:r>
            <w:r>
              <w:t>ricorda il potenziale che possiede l'intelligenza artificiale (IA) nel fornire servizi innovativi alle imprese, ai consumatori e al settore pubblico; sottolinea che lo sviluppo e l'utilizzo dell'IA nel mercato interno dipenderanno da un sistema equilibrato ed efficace di diritti di proprietà intellettuale (DPI);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1.</w:t>
            </w:r>
            <w:r>
              <w:tab/>
            </w:r>
            <w:r>
              <w:t xml:space="preserve">ricorda il potenziale che possiede l'intelligenza artificiale (IA) nel fornire servizi innovativi alle imprese, ai consumatori e al settore pubblico; sottolinea che lo sviluppo e l'utilizzo dell'IA nel mercato interno dipenderanno da un sistema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affidabile,</w:t>
            </w:r>
            <w:r>
              <w:t xml:space="preserve"> equilibrato ed efficace di diritti di proprietà intellettuale (DPI);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RO</w:t>
      </w:r>
      <w:r>
        <w:rPr>
          <w:rStyle w:val="HideTWBInt"/>
        </w:rPr>
        <w:t>}</w:t>
      </w:r>
      <w:r>
        <w:t>ro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Svenja Hahn</w:t>
      </w:r>
      <w:r>
        <w:t xml:space="preserve">, </w:t>
      </w:r>
      <w:r>
        <w:t>Claudia Gamon</w:t>
      </w:r>
      <w:r>
        <w:t xml:space="preserve">, </w:t>
      </w:r>
      <w:r>
        <w:t>Karen Melchior</w:t>
      </w:r>
      <w:r>
        <w:t xml:space="preserve">, </w:t>
      </w:r>
      <w:r>
        <w:t>Dita Charanzová</w:t>
      </w:r>
      <w:r>
        <w:t xml:space="preserve">, </w:t>
      </w:r>
      <w:r>
        <w:t>Sandro Gozi</w:t>
      </w:r>
      <w:r>
        <w:t xml:space="preserve">, </w:t>
      </w:r>
      <w:r>
        <w:t>Stéphanie Yon-Courtin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1.</w:t>
            </w:r>
            <w:r>
              <w:tab/>
            </w:r>
            <w:r>
              <w:t xml:space="preserve">ricorda il potenziale che possiede l'intelligenza artificiale (IA) nel fornire servizi innovativi alle imprese, ai consumatori e al settore pubblico; sottolinea che lo sviluppo e l'utilizzo dell'IA nel mercato interno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dipenderanno</w:t>
            </w:r>
            <w:r>
              <w:t xml:space="preserve"> da un sistema equilibrato ed efficace di diritti di proprietà intellettuale (DPI);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1.</w:t>
            </w:r>
            <w:r>
              <w:tab/>
            </w:r>
            <w:r>
              <w:t xml:space="preserve">ricorda il potenziale che possiede l'intelligenza artificiale (IA) nel fornire servizi innovativi alle imprese, ai consumatori e al settore pubblico; sottolinea che lo sviluppo e l'utilizzo dell'IA nel mercato interno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trarranno beneficio</w:t>
            </w:r>
            <w:r>
              <w:t xml:space="preserve"> da un sistema equilibrato ed efficace di diritti di proprietà intellettuale (DPI);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Marco Campomenosi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1 bis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 bis.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ricorda che qualsiasi intervento normativo sui DPI nel quadro dell'intelligenza artificiale dovrebbe essere associato a iniziative volte a promuovere l'accesso a dati di qualità da parte delle start-up e delle PMI europee, le quali, rispetto agli attori globali, si trovano ad affrontare sfide impegnative;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Clara Aguilera</w:t>
      </w:r>
      <w:r>
        <w:t xml:space="preserve">, </w:t>
      </w:r>
      <w:r>
        <w:t>Maria Grapini</w:t>
      </w:r>
      <w:r>
        <w:t xml:space="preserve">, </w:t>
      </w:r>
      <w:r>
        <w:t>Marc Angel</w:t>
      </w:r>
      <w:r>
        <w:t xml:space="preserve">, </w:t>
      </w:r>
      <w:r>
        <w:t>Alex Agius Saliba</w:t>
      </w:r>
      <w:r>
        <w:t xml:space="preserve">, </w:t>
      </w:r>
      <w:r>
        <w:t>Adriana Maldonado López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1 bis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 bis.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rileva l'importanza di operare una distinzione tra le applicazioni o gli algoritmi di IA, le tecnologie e i prodotti generati dall'IA, le banche dati e i dati individuali, dal momento che necessitano di diverse forme di diritti di proprietà intellettuale;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Anne-Sophie Pelletier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1 bis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 bis.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ribadisce l'importanza del modello "open source", poiché offre una scelta più ampia per i consumatori e può impedire la dipendenza (lock-in) da una singola impresa;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Ivan Štefanec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>crede che tecnologie di rottura come l'IA offrano alle imprese, piccole o grandi che siano, la possibilità di sviluppare prodotti leader del mercato; ritiene che tutte le imprese dovrebbero beneficiare di una protezione dei DPI di pari efficienza ed efficacia;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>crede che tecnologie di rottura come l'IA offrano alle imprese, piccole o grandi che siano, la possibilità di sviluppare prodotti leader del mercato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purché venga garantita una coesistenza equilibrata tra i diversi attori nel mercato unico digitale</w:t>
            </w:r>
            <w:r>
              <w:t>; ritiene che tutte le imprese dovrebbero beneficiare di una protezione dei DPI di pari efficienza ed efficacia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che salvaguardi e incoraggi l'innovazione e la creatività;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pone l'accento sull'importanza delle tecnologie di IA per consentire una gestione più trasparente, efficiente e affidabile degli aspetti delle operazioni legati alla proprietà intellettuale, in particolare mediante contratti intelligenti basati sull'IA, in grado di accelerare le operazioni legate alla proprietà intellettuale e di ridurre al minimo i costi per le operazioni;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evidenzia che, in considerazione del crescente volume di dati utilizzati dall'IA, occorre conoscere sempre il proprietario dei dati; sottolinea che l'IA dovrebbe essere sottoposta a un controllo umano e che le decisioni definitive andrebbero sempre prese dai lavoratori umani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Jordi Cañas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>crede che tecnologie di rottura come l'IA offrano alle imprese, piccole o grandi che siano, la possibilità di sviluppare prodotti leader del mercato; ritiene che tutte le imprese dovrebbero beneficiare di una protezione dei DPI di pari efficienza ed efficacia;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 xml:space="preserve">crede che tecnologie di rottura come l'IA offrano alle imprese, piccole o grandi che siano, la possibilità di sviluppare prodotti leader del mercato; ritiene che tutte le imprese dovrebbero beneficiare di una protezione dei DPI di pari efficienza ed efficacia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per lo sviluppo e l'applicazione delle tecnologie di IA, al fine di favorire la creazione di PMI europee e di generare un significativo vantaggio competitivo nell'Unione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David Cormand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Greens/EFA</w:t>
      </w:r>
      <w:r>
        <w:rPr>
          <w:rStyle w:val="HideTWBInt"/>
        </w:rPr>
        <w:t>}</w:t>
      </w:r>
      <w:r>
        <w:t>a nome del gruppo Verts/ALE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>crede che tecnologie di rottura come l'IA offrano alle imprese, piccole o grandi che siano, la possibilità di sviluppare prodotti leader del mercato; ritiene che tutte le imprese dovrebbero beneficiare di una protezione dei DPI di pari efficienza ed efficacia;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 xml:space="preserve">crede che tecnologie di rottura come l'IA offrano alle imprese, piccole o grandi che siano, la possibilità di sviluppare prodotti leader del mercato; ritiene che tutte le imprese dovrebbero beneficiare di una protezione dei DPI di pari efficienza ed efficacia;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chiede un'analisi sui costi attualmente previsti per beneficiare di tale protezione così come sulle pratiche abusive dei patent troll e dei contenziosi strategici in materia di DPI;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Anne-Sophie Pelletier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>crede che tecnologie di rottura come l'IA offrano alle imprese, piccole o grandi che siano, la possibilità di sviluppare prodotti leader del mercato; ritiene che tutte le imprese dovrebbero beneficiare di una protezione dei DPI di pari efficienza ed efficacia;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 xml:space="preserve">crede che tecnologie di rottura come l'IA offrano alle imprese, piccole o grandi che siano, la possibilità di sviluppare prodotti leader del mercato; ritiene che tutte le imprese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e tutti gli sviluppatori e creatori</w:t>
            </w:r>
            <w:r>
              <w:t xml:space="preserve"> dovrebbero beneficiare di una protezione dei DPI di pari efficienza ed efficacia;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Maria Grapini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>crede che tecnologie di rottura come l'IA offrano alle imprese, piccole o grandi che siano, la possibilità di sviluppare prodotti leader del mercato; ritiene che tutte le imprese dovrebbero beneficiare di una protezione dei DPI di pari efficienza ed efficacia;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>crede che tecnologie di rottura come l'IA offrano alle imprese, piccole o grandi che siano, la possibilità di sviluppare prodotti leader del mercato; ritiene che tutte le imprese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in particolare le PMI,</w:t>
            </w:r>
            <w:r>
              <w:t xml:space="preserve"> dovrebbero beneficiare di una protezione dei DPI di pari efficienza ed efficacia;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RO</w:t>
      </w:r>
      <w:r>
        <w:rPr>
          <w:rStyle w:val="HideTWBInt"/>
        </w:rPr>
        <w:t>}</w:t>
      </w:r>
      <w:r>
        <w:t>ro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Svenja Hahn</w:t>
      </w:r>
      <w:r>
        <w:t xml:space="preserve">, </w:t>
      </w:r>
      <w:r>
        <w:t>Karen Melchior</w:t>
      </w:r>
      <w:r>
        <w:t xml:space="preserve">, </w:t>
      </w:r>
      <w:r>
        <w:t>Claudia Gamon</w:t>
      </w:r>
      <w:r>
        <w:t xml:space="preserve">, </w:t>
      </w:r>
      <w:r>
        <w:t>Dita Charanzová</w:t>
      </w:r>
      <w:r>
        <w:t xml:space="preserve">, </w:t>
      </w:r>
      <w:r>
        <w:t>Sandro Gozi</w:t>
      </w:r>
      <w:r>
        <w:t xml:space="preserve">, </w:t>
      </w:r>
      <w:r>
        <w:t>Stéphanie Yon-Courtin</w:t>
      </w:r>
      <w:r>
        <w:t xml:space="preserve">, </w:t>
      </w:r>
      <w:r>
        <w:t>Jordi Cañas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 xml:space="preserve">crede che tecnologie di rottura come l'IA offrano alle imprese, piccole o grandi che siano, la possibilità di sviluppare prodotti leader del mercato; ritiene che tutte le imprese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dovrebbero</w:t>
            </w:r>
            <w:r>
              <w:t xml:space="preserve"> beneficiare di una protezione dei DPI di pari efficienza ed efficacia;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 xml:space="preserve">crede che tecnologie di rottura come l'IA offrano alle imprese, piccole o grandi che siano, la possibilità di sviluppare prodotti leader del mercato; ritiene che tutte le imprese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possano</w:t>
            </w:r>
            <w:r>
              <w:t xml:space="preserve"> beneficiare di una protezione dei DPI di pari efficienza ed efficacia;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Virginie Joron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2 bis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 bis.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ricorda che il ritmo di innovazione non è necessariamente comparabile in tutti i settori;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ritiene che le misure volte a tutelare i diritti di proprietà intellettuale siano state eccessivamente favorevoli per taluni fornitori di software (Word, Excel...);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invita la Commissione e gli Stati membri a trovare soluzioni giuridiche che permettano ai consumatori di non dover pagare costantemente e ripetutamente per un prodotto o una soluzione tecnica diventati ormai generici;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Jean-Lin Lacapelle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2 bis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 bis.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ricorda che il ritmo di innovazione non è necessariamente comparabile in tutti i settori;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ritiene che le misure volte a tutelare i diritti di proprietà intellettuale siano state eccessivamente favorevoli per taluni fornitori di software (Word, Excel...);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invita la Commissione e gli Stati membri a trovare soluzioni giuridiche che permettano ai consumatori di non dover pagare costantemente e ripetutamente per un prodotto o una soluzione tecnica diventati ormai generici;</w:t>
            </w:r>
            <w:r>
              <w:t xml:space="preserve"> 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David Cormand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Greens/EFA</w:t>
      </w:r>
      <w:r>
        <w:rPr>
          <w:rStyle w:val="HideTWBInt"/>
        </w:rPr>
        <w:t>}</w:t>
      </w:r>
      <w:r>
        <w:t>a nome del gruppo Verts/ALE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2 bis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 bis.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invita la Commissione europea a provvedere a che i dati generati con fondi pubblici, laddove siano utilizzati nell'ambito delle tecnologie di IA, apportino anche un beneficio pubblico ad esempio rendendo obbligatoriamente consultabili i risultati o le conclusioni di tale trattamento con l'IA;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Marco Campomenosi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2 bis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 bis.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chiede che un'eventuale modifica del sistema di DPI per far fronte alle sfide dell'IA non si ripercuota sulle microimprese e sulle PMI in termini di maggiori oneri amministrativi ed economici;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David Cormand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Greens/EFA</w:t>
      </w:r>
      <w:r>
        <w:rPr>
          <w:rStyle w:val="HideTWBInt"/>
        </w:rPr>
        <w:t>}</w:t>
      </w:r>
      <w:r>
        <w:t>a nome del gruppo Verts/ALE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2 ter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 ter.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invita la Commissione europea a proporre misure per la tracciabilità dei dati, tenendo conto sia della legalità dell'acquisizione dei dati sia della tutela dei diritti dei consumatori e dei diritti fondamentali;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Jordi Cañas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3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>invita la Commissione e gli Stati membri a offrire sostegno alle start-up e alle PMI attraverso il programma per il mercato unico e i poli dell'innovazione digitale, onde tutelare i loro prodotti;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sottolinea l'importanza delle misure e dei canali di informazione intesi ad aiutare le piccole e medie imprese e le start-up ad avvalersi in modo efficace della tutela dei DPI nel quadro delle tecnologie di IA;</w:t>
            </w:r>
            <w:r>
              <w:t xml:space="preserve"> invita la Commissione e gli Stati membri a offrire sostegno alle start-up e alle PMI attraverso il programma per il mercato unico e i poli dell'innovazione digitale, onde tutelare i loro prodotti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e consentire quindi loro di sviluppare appieno il relativo potenziale di crescita e occupazione in Europa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Marco Campomenosi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3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 xml:space="preserve">invita la Commissione e gli Stati membri a offrire sostegno alle start-up e alle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PMI</w:t>
            </w:r>
            <w:r>
              <w:t xml:space="preserve"> attraverso il programma per il mercato unico e i poli dell'innovazione digitale, onde tutelare i loro prodotti;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>invita la Commissione e gli Stati membri a offrire sostegno alle start-up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alle PMI</w:t>
            </w:r>
            <w:r>
              <w:t xml:space="preserve"> e alle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microimprese</w:t>
            </w:r>
            <w:r>
              <w:t xml:space="preserve"> attraverso il programma per il mercato unico e i poli dell'innovazione digitale, onde tutelare i loro prodotti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di modo che le loro idee non vengano fagocitate dagli attori internazionali;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ritiene che la struttura dei poli dell'innovazione digitale non dovrebbe cambiare onde evitare di comprometterne la continuità operativa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Ivan Štefanec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3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>invita la Commissione e gli Stati membri a offrire sostegno alle start-up e alle PMI attraverso il programma per il mercato unico e i poli dell'innovazione digitale, onde tutelare i loro prodotti;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 xml:space="preserve">invita la Commissione e gli Stati membri a offrire sostegno alle start-up e alle PMI attraverso il programma per il mercato unico e i poli dell'innovazione digitale, onde tutelare i loro prodotti;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sottolinea l'importanza del coordinamento in materia di DPI per lo sviluppo dell'IA con altri importanti attori globali, al fine di creare un approccio all'IA compatibile a livello globale, che sia vantaggioso anche per le PMI;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Clara Aguilera</w:t>
      </w:r>
      <w:r>
        <w:t xml:space="preserve">, </w:t>
      </w:r>
      <w:r>
        <w:t>Adriana Maldonado López</w:t>
      </w:r>
      <w:r>
        <w:t xml:space="preserve">, </w:t>
      </w:r>
      <w:r>
        <w:t>Marc Angel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3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>invita la Commissione e gli Stati membri a offrire sostegno alle start-up e alle PMI attraverso il programma per il mercato unico e i poli dell'innovazione digitale, onde tutelare i loro prodotti;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sottolinea che un'ampia applicazione della tutela dei DPI può proteggere i grandi operatori già presenti sul mercato e</w:t>
            </w:r>
            <w:r>
              <w:t xml:space="preserve"> invita la Commissione e gli Stati membri a offrire sostegno alle start-up e alle PMI attraverso il programma per il mercato unico e i poli dell'innovazione digitale, onde tutelare i loro prodotti;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Maria Grapini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3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>invita la Commissione e gli Stati membri a offrire sostegno alle start-up e alle PMI attraverso il programma per il mercato unico e i poli dell'innovazione digitale, onde tutelare i loro prodotti;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 xml:space="preserve">invita la Commissione e gli Stati membri a offrire sostegno alle start-up e alle PMI attraverso il programma per il mercato unico e i poli dell'innovazione digitale, onde tutelare i loro prodotti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e servizi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RO</w:t>
      </w:r>
      <w:r>
        <w:rPr>
          <w:rStyle w:val="HideTWBInt"/>
        </w:rPr>
        <w:t>}</w:t>
      </w:r>
      <w:r>
        <w:t>ro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Svenja Hahn</w:t>
      </w:r>
      <w:r>
        <w:t xml:space="preserve">, </w:t>
      </w:r>
      <w:r>
        <w:t>Claudia Gamon</w:t>
      </w:r>
      <w:r>
        <w:t xml:space="preserve">, </w:t>
      </w:r>
      <w:r>
        <w:t>Dita Charanzová</w:t>
      </w:r>
      <w:r>
        <w:t xml:space="preserve">, </w:t>
      </w:r>
      <w:r>
        <w:t>Sandro Gozi</w:t>
      </w:r>
      <w:r>
        <w:t xml:space="preserve">, </w:t>
      </w:r>
      <w:r>
        <w:t>Stéphanie Yon-Courtin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3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>invita la Commissione e gli Stati membri a offrire sostegno alle start-up e alle PMI attraverso il programma per il mercato unico e i poli dell'innovazione digitale, onde tutelare i loro prodotti;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 xml:space="preserve">invita la Commissione e gli Stati membri a offrire sostegno alle start-up e alle PMI attraverso il programma per il mercato unico e i poli dell'innovazione digitale, onde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sviluppare e</w:t>
            </w:r>
            <w:r>
              <w:t xml:space="preserve"> tutelare i loro prodotti;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Petra Kammerevert</w:t>
      </w:r>
      <w:r>
        <w:t xml:space="preserve">, </w:t>
      </w:r>
      <w:r>
        <w:t>Evelyne Gebhardt</w:t>
      </w:r>
      <w:r>
        <w:t xml:space="preserve">, </w:t>
      </w:r>
      <w:r>
        <w:t>Clara Aguilera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4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4.</w:t>
            </w:r>
            <w:r>
              <w:tab/>
            </w:r>
            <w:r>
              <w:t>sottolinea l'importanza di proteggere i DPI, compresi i segreti commerciali, in qualsiasi quadro normativo in materia di IA, in particolare per quanto riguarda i requisiti dettagliati per l'insieme ristretto di applicazioni considerate "ad alto rischio";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4.</w:t>
            </w:r>
            <w:r>
              <w:tab/>
            </w:r>
            <w:r>
              <w:t xml:space="preserve">sottolinea l'importanza di proteggere i DPI, compresi i segreti commerciali, in qualsiasi quadro normativo in materia di IA, in particolare per quanto riguarda i requisiti dettagliati per l'insieme ristretto di applicazioni considerate "ad alto rischio";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sottolinea tuttavia che la protezione della proprietà intellettuale e dei segreti commerciali deve essere sempre compatibile con altri diritti e libertà fondamentali, in particolare il diritto alla libertà di espressione e di stampa;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esorta pertanto a garantire la necessaria protezione agli informatori e ai giornalisti investigativi che denunciano le irregolarità connesse all'IA di rilevanza sociale e macroeconomica;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DE</w:t>
      </w:r>
      <w:r>
        <w:rPr>
          <w:rStyle w:val="HideTWBInt"/>
        </w:rPr>
        <w:t>}</w:t>
      </w:r>
      <w:r>
        <w:t>de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Anne-Sophie Pelletier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4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4.</w:t>
            </w:r>
            <w:r>
              <w:tab/>
            </w:r>
            <w:r>
              <w:t>sottolinea l'importanza di proteggere i DPI, compresi i segreti commerciali, in qualsiasi quadro normativo in materia di IA, in particolare per quanto riguarda i requisiti dettagliati per l'insieme ristretto di applicazioni considerate "ad alto rischio";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4.</w:t>
            </w:r>
            <w:r>
              <w:tab/>
            </w:r>
            <w:r>
              <w:t xml:space="preserve">sottolinea l'importanza di proteggere i DPI, compresi i segreti commerciali, in qualsiasi quadro normativo in materia di IA, in particolare per quanto riguarda i requisiti dettagliati per l'insieme ristretto di applicazioni considerate "ad alto rischio";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evidenzia che la protezione dei segreti commerciali non dovrebbe in alcun modo impedire agli informatori di segnalare i potenziali pericoli delle applicazioni ad alto rischio;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David Cormand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Greens/EFA</w:t>
      </w:r>
      <w:r>
        <w:rPr>
          <w:rStyle w:val="HideTWBInt"/>
        </w:rPr>
        <w:t>}</w:t>
      </w:r>
      <w:r>
        <w:t>a nome del gruppo Verts/ALE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4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4.</w:t>
            </w:r>
            <w:r>
              <w:tab/>
            </w:r>
            <w:r>
              <w:t>sottolinea l'importanza di proteggere i DPI, compresi i segreti commerciali, in qualsiasi quadro normativo in materia di IA, in particolare per quanto riguarda i requisiti dettagliati per l'insieme ristretto di applicazioni considerate "ad alto rischio";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4.</w:t>
            </w:r>
            <w:r>
              <w:tab/>
            </w:r>
            <w:r>
              <w:t xml:space="preserve">sottolinea l'importanza di proteggere i DPI, compresi i segreti commerciali, in qualsiasi quadro normativo in materia di IA, in particolare per quanto riguarda i requisiti dettagliati per l'insieme ristretto di applicazioni considerate "ad alto rischio";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sottolinea che i segreti commerciali non dovrebbero mai limitare la capacità delle autorità di analizzare gli algoritmi e i prodotti e che, allo stesso tempo, è sempre opportuno prevedere misure di trasparenza per i consumatori;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Ivan Štefanec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4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4.</w:t>
            </w:r>
            <w:r>
              <w:tab/>
            </w:r>
            <w:r>
              <w:t>sottolinea l'importanza di proteggere i DPI, compresi i segreti commerciali, in qualsiasi quadro normativo in materia di IA, in particolare per quanto riguarda i requisiti dettagliati per l'insieme ristretto di applicazioni considerate "ad alto rischio";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4.</w:t>
            </w:r>
            <w:r>
              <w:tab/>
            </w:r>
            <w:r>
              <w:t xml:space="preserve">sottolinea l'importanza di proteggere i DPI, compresi i segreti commerciali, in qualsiasi quadro normativo in materia di IA, in particolare per quanto riguarda i requisiti dettagliati per l'insieme ristretto di applicazioni considerate "ad alto rischio";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sottolinea l'importanza di un'adeguata interpretazione delle disposizioni del regolamento generale dell'UE sulla protezione dei dati per quanto riguarda la profilazione e il processo decisionale automatizzato;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Svenja Hahn</w:t>
      </w:r>
      <w:r>
        <w:t xml:space="preserve">, </w:t>
      </w:r>
      <w:r>
        <w:t>Claudia Gamon</w:t>
      </w:r>
      <w:r>
        <w:t xml:space="preserve">, </w:t>
      </w:r>
      <w:r>
        <w:t>Dita Charanzová</w:t>
      </w:r>
      <w:r>
        <w:t xml:space="preserve">, </w:t>
      </w:r>
      <w:r>
        <w:t>Sandro Gozi</w:t>
      </w:r>
      <w:r>
        <w:t xml:space="preserve">, </w:t>
      </w:r>
      <w:r>
        <w:t>Stéphanie Yon-Courtin</w:t>
      </w:r>
      <w:r>
        <w:t xml:space="preserve">, </w:t>
      </w:r>
      <w:r>
        <w:t>Jordi Cañas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4 bis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4 bis.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sottolinea che, oltre alla tutela dei DPI, è nell'interesse dei consumatori poter beneficiare di una certezza giuridica in merito agli utilizzi consentiti delle opere protette, in particolare se si tratta di complicati prodotti algoritmici;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Svenja Hahn</w:t>
      </w:r>
      <w:r>
        <w:t xml:space="preserve">, </w:t>
      </w:r>
      <w:r>
        <w:t>Karen Melchior</w:t>
      </w:r>
      <w:r>
        <w:t xml:space="preserve">, </w:t>
      </w:r>
      <w:r>
        <w:t>Claudia Gamon</w:t>
      </w:r>
      <w:r>
        <w:t xml:space="preserve">, </w:t>
      </w:r>
      <w:r>
        <w:t>Sandro Gozi</w:t>
      </w:r>
      <w:r>
        <w:t xml:space="preserve">, </w:t>
      </w:r>
      <w:r>
        <w:t>Stéphanie Yon-Courtin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4 ter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4 ter.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ritiene che, per garantire lo sviluppo di un'IA antropocentrica e affidabile, sia necessario un solido regime armonizzato per gli informatori, così da garantire che gli algoritmi e le serie di dati non siano falsati, non siano discriminatori e rispettino le norme etiche stabilite;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invita pertanto la Commissione a valutare, nella sua relazione al Parlamento a norma dell'articolo 27, paragrafo 3, della direttiva (UE) 2019/1937, la necessità di rivedere il relativo allegato al fine di includere un eventuale quadro normativo dell'UE in materia di IA;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Ivan Štefanec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5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5.</w:t>
            </w:r>
            <w:r>
              <w:tab/>
            </w:r>
            <w:r>
              <w:t>reputa che la difficoltà nel valutare le applicazioni di IA imponga lo sviluppo di nuovi metodi; rileva, a titolo di esempio, che i sistemi di apprendimento adattativo possono ricalibrarsi dopo ogni singolo input, rendendo così inefficaci talune divulgazioni ex ante;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5.</w:t>
            </w:r>
            <w:r>
              <w:tab/>
            </w:r>
            <w:r>
              <w:t xml:space="preserve">reputa che la difficoltà nel valutare le applicazioni di IA imponga lo sviluppo di nuovi metodi; rileva, a titolo di esempio, che i sistemi di apprendimento adattativo possono ricalibrarsi dopo ogni singolo input, rendendo così inefficaci talune divulgazioni ex ante;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osserva che un esempio in tal senso potrebbe essere un software in cui gli algoritmi ottimizzino il contenuto per adeguarsi agli obiettivi dei discenti e alle conoscenze attuali;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David Cormand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Greens/EFA</w:t>
      </w:r>
      <w:r>
        <w:rPr>
          <w:rStyle w:val="HideTWBInt"/>
        </w:rPr>
        <w:t>}</w:t>
      </w:r>
      <w:r>
        <w:t>a nome del gruppo Verts/ALE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5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5.</w:t>
            </w:r>
            <w:r>
              <w:tab/>
            </w:r>
            <w:r>
              <w:t xml:space="preserve">reputa che la difficoltà nel valutare le applicazioni di IA imponga lo sviluppo di nuovi metodi; rileva, a titolo di esempio, che i sistemi di apprendimento adattativo possono ricalibrarsi dopo ogni singolo input,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rendendo così inefficaci talune</w:t>
            </w:r>
            <w:r>
              <w:t xml:space="preserve"> divulgazioni ex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ante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5.</w:t>
            </w:r>
            <w:r>
              <w:tab/>
            </w:r>
            <w:r>
              <w:t xml:space="preserve">reputa che la difficoltà nel valutare le applicazioni di IA imponga lo sviluppo di nuovi metodi; rileva, a titolo di esempio, che i sistemi di apprendimento adattativo possono ricalibrarsi dopo ogni singolo input,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il che rende necessarie</w:t>
            </w:r>
            <w:r>
              <w:t xml:space="preserve"> divulgazioni ex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post ed ex ante nonché un'adeguata capacità amministrativa delle autorità di vigilanza del mercato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Anne-Sophie Pelletier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5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5.</w:t>
            </w:r>
            <w:r>
              <w:tab/>
            </w:r>
            <w:r>
              <w:t>reputa che la difficoltà nel valutare le applicazioni di IA imponga lo sviluppo di nuovi metodi; rileva, a titolo di esempio, che i sistemi di apprendimento adattativo possono ricalibrarsi dopo ogni singolo input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rendendo così inefficaci talune divulgazioni ex ante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5.</w:t>
            </w:r>
            <w:r>
              <w:tab/>
            </w:r>
            <w:r>
              <w:t>reputa che la difficoltà nel valutare le applicazioni di IA imponga lo sviluppo di nuovi metodi; rileva, a titolo di esempio, che i sistemi di apprendimento adattativo possono ricalibrarsi dopo ogni singolo input;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Svenja Hahn</w:t>
      </w:r>
      <w:r>
        <w:t xml:space="preserve">, </w:t>
      </w:r>
      <w:r>
        <w:t>Claudia Gamon</w:t>
      </w:r>
      <w:r>
        <w:t xml:space="preserve">, </w:t>
      </w:r>
      <w:r>
        <w:t>Dita Charanzová</w:t>
      </w:r>
      <w:r>
        <w:t xml:space="preserve">, </w:t>
      </w:r>
      <w:r>
        <w:t>Jordi Cañas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5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5.</w:t>
            </w:r>
            <w:r>
              <w:tab/>
            </w:r>
            <w:r>
              <w:t xml:space="preserve">reputa che la difficoltà nel valutare le applicazioni di IA imponga lo sviluppo di nuovi metodi; rileva, a titolo di esempio, che i sistemi di apprendimento adattativo possono ricalibrarsi dopo ogni singolo input, rendendo così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inefficaci</w:t>
            </w:r>
            <w:r>
              <w:t xml:space="preserve"> talune divulgazioni ex ante;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5.</w:t>
            </w:r>
            <w:r>
              <w:tab/>
            </w:r>
            <w:r>
              <w:t>reputa che la difficoltà nel valutare le applicazioni di IA imponga lo sviluppo di nuovi metodi; rileva, a titolo di esempio, che i sistemi di apprendimento adattativo possono ricalibrarsi dopo ogni singolo input, rendendo così talune divulgazioni ex ante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di per sé, inefficaci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Clara Aguilera</w:t>
      </w:r>
      <w:r>
        <w:t xml:space="preserve">, </w:t>
      </w:r>
      <w:r>
        <w:t>Maria Grapini</w:t>
      </w:r>
      <w:r>
        <w:t xml:space="preserve">, </w:t>
      </w:r>
      <w:r>
        <w:t>Marc Angel</w:t>
      </w:r>
      <w:r>
        <w:t xml:space="preserve">, </w:t>
      </w:r>
      <w:r>
        <w:t>Alex Agius Saliba</w:t>
      </w:r>
      <w:r>
        <w:t xml:space="preserve">, </w:t>
      </w:r>
      <w:r>
        <w:t>Adriana Maldonado López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5 bis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5 bis.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prende atto del dibattito sulle questioni relative alla proprietà dei dati e all'accesso esclusivo ai dati da parte delle piattaforme; ritiene che una protezione eccessivamente rigorosa dei DPI possa essere dannosa per i consumatori e i mercati, impedire la libera circolazione dei dati e danneggiare la competitività delle nuove imprese;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Clara Aguilera</w:t>
      </w:r>
      <w:r>
        <w:t xml:space="preserve">, </w:t>
      </w:r>
      <w:r>
        <w:t>Maria Grapini</w:t>
      </w:r>
      <w:r>
        <w:t xml:space="preserve">, </w:t>
      </w:r>
      <w:r>
        <w:t>Marc Angel</w:t>
      </w:r>
      <w:r>
        <w:t xml:space="preserve">, </w:t>
      </w:r>
      <w:r>
        <w:t>Alex Agius Saliba</w:t>
      </w:r>
      <w:r>
        <w:t xml:space="preserve">, </w:t>
      </w:r>
      <w:r>
        <w:t>Adriana Maldonado López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5 ter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5 ter.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sottolinea l'importanza degli accordi di licenza dell'utilizzatore finale (EULA) nel trasferimento dei diritti sui dati e chiede che le future proposte legislative impongano obblighi proporzionali e chiari sugli EULA a tutela dei consumatori, come ad esempio l'opzionalità delle clausole non essenziali per il funzionamento dei servizi;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Svenja Hahn</w:t>
      </w:r>
      <w:r>
        <w:t xml:space="preserve">, </w:t>
      </w:r>
      <w:r>
        <w:t>Karen Melchior</w:t>
      </w:r>
      <w:r>
        <w:t xml:space="preserve">, </w:t>
      </w:r>
      <w:r>
        <w:t>Claudia Gamon</w:t>
      </w:r>
      <w:r>
        <w:t xml:space="preserve">, </w:t>
      </w:r>
      <w:r>
        <w:t>Dita Charanzová</w:t>
      </w:r>
      <w:r>
        <w:t xml:space="preserve">, </w:t>
      </w:r>
      <w:r>
        <w:t>Sandro Gozi</w:t>
      </w:r>
      <w:r>
        <w:t xml:space="preserve">, </w:t>
      </w:r>
      <w:r>
        <w:t>Stéphanie Yon-Courtin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6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6.</w:t>
            </w:r>
            <w:r>
              <w:tab/>
            </w:r>
            <w:r>
              <w:t xml:space="preserve">ritiene che, laddove siano certificate, le applicazioni di IA dovrebbero dimostrare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trasparenza, spiegabilità e</w:t>
            </w:r>
            <w:r>
              <w:t xml:space="preserve"> rispetto delle norme etiche,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ma osserva che la semplice divulgazione dell'algoritmo o del codice non consentirà</w:t>
            </w:r>
            <w:r>
              <w:t xml:space="preserve"> necessariamente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di raggiungere tale obiettivo, o non lo consentirà affatto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6.</w:t>
            </w:r>
            <w:r>
              <w:tab/>
            </w:r>
            <w:r>
              <w:t xml:space="preserve">ritiene che, laddove siano certificate, le applicazioni di IA dovrebbero dimostrare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il</w:t>
            </w:r>
            <w:r>
              <w:t xml:space="preserve"> rispetto delle norme etiche,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che i loro processi debbano essere trasparenti e che le loro decisioni debbano poter essere spiegate nella misura del possibile, ma osserva che tali obiettivi non verranno</w:t>
            </w:r>
            <w:r>
              <w:t xml:space="preserve"> necessariamente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conseguiti solo attraverso la semplice divulgazione dell'algoritmo o del codice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Anne-Sophie Pelletier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6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6.</w:t>
            </w:r>
            <w:r>
              <w:tab/>
            </w:r>
            <w:r>
              <w:t xml:space="preserve">ritiene che, laddove siano certificate, le applicazioni di IA dovrebbero dimostrare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trasparenza, spiegabilità e rispetto delle norme etiche, ma osserva che la semplice divulgazione dell'algoritmo o del codice non consentirà necessariamente di raggiungere tale obiettivo, o non lo consentirà affatto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6.</w:t>
            </w:r>
            <w:r>
              <w:tab/>
            </w:r>
            <w:r>
              <w:t xml:space="preserve">ritiene che, laddove siano certificate, le applicazioni di IA dovrebbero dimostrare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norme etiche al di là degli obblighi giuridici in materia di protezione dei dati, trasparenza, non discriminazione e spiegabilità;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osserva che la divulgazione e la spiegazione comprensibile dei codici degli algoritmi dovrebbero essere obbligatorie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Maria Grapini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6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6.</w:t>
            </w:r>
            <w:r>
              <w:tab/>
            </w:r>
            <w:r>
              <w:t>ritiene che, laddove siano certificate, le applicazioni di IA dovrebbero dimostrare trasparenza, spiegabilità e rispetto delle norme etiche, ma osserva che la semplice divulgazione dell'algoritmo o del codice non consentirà necessariamente di raggiungere tale obiettivo, o non lo consentirà affatto;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6.</w:t>
            </w:r>
            <w:r>
              <w:tab/>
            </w:r>
            <w:r>
              <w:t xml:space="preserve">ritiene che, laddove siano certificate, le applicazioni di IA dovrebbero dimostrare trasparenza, spiegabilità e rispetto delle norme etiche, ma osserva che la semplice divulgazione dell'algoritmo o del codice non consentirà necessariamente di raggiungere tale obiettivo, o non lo consentirà affatto;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invita pertanto la Commissione a stabilire criteri più rigorosi ed efficaci cui dovranno conformarsi le applicazioni di IA una volta certificate;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RO</w:t>
      </w:r>
      <w:r>
        <w:rPr>
          <w:rStyle w:val="HideTWBInt"/>
        </w:rPr>
        <w:t>}</w:t>
      </w:r>
      <w:r>
        <w:t>ro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David Cormand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Greens/EFA</w:t>
      </w:r>
      <w:r>
        <w:rPr>
          <w:rStyle w:val="HideTWBInt"/>
        </w:rPr>
        <w:t>}</w:t>
      </w:r>
      <w:r>
        <w:t>a nome del gruppo Verts/ALE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6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6.</w:t>
            </w:r>
            <w:r>
              <w:tab/>
            </w:r>
            <w:r>
              <w:t>ritiene che, laddove siano certificate, le applicazioni di IA dovrebbero dimostrare trasparenza, spiegabilità e rispetto delle norme etiche, ma osserva che la semplice divulgazione dell'algoritmo o del codice non consentirà necessariamente di raggiungere tale obiettivo, o non lo consentirà affatto;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6.</w:t>
            </w:r>
            <w:r>
              <w:tab/>
            </w:r>
            <w:r>
              <w:t xml:space="preserve">ritiene che, laddove siano certificate, le applicazioni di IA dovrebbero dimostrare trasparenza, spiegabilità e rispetto delle norme etiche, ma osserva che la semplice divulgazione dell'algoritmo o del codice non consentirà necessariamente di raggiungere tale obiettivo, o non lo consentirà affatto;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ricorda che le serie di dati sono altrettanto importanti in tale processo e che la discriminazione e la parzialità potrebbero essere presenti indipendentemente dal mero codice;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Marco Campomenosi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6 bis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6 bis.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invita la Commissione a prevedere la divulgazione del codice o dell'algoritmo in casi specifici;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ritiene che i DPI non dovrebbero ostacolare le imprese nel caso di difetti legati alle invenzioni generate dall'IA, in modo da non scoraggiare gli investimenti;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David Cormand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Greens/EFA</w:t>
      </w:r>
      <w:r>
        <w:rPr>
          <w:rStyle w:val="HideTWBInt"/>
        </w:rPr>
        <w:t>}</w:t>
      </w:r>
      <w:r>
        <w:t>a nome del gruppo Verts/ALE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7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7.</w:t>
            </w:r>
            <w:r>
              <w:tab/>
            </w:r>
            <w:r>
              <w:t xml:space="preserve">invita la Commissione a riflettere su come valutare i prodotti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con un approccio modulare o impiegando strumenti di verifica che consentirebbero di testare adeguatamente i prodotti senza creare rischi per i titolari dei DPI imputabili all'ampia divulgazione di prodotti facilmente riproducibili</w:t>
            </w:r>
            <w:r>
              <w:t>.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7.</w:t>
            </w:r>
            <w:r>
              <w:tab/>
            </w:r>
            <w:r>
              <w:t xml:space="preserve">invita la Commissione a riflettere su come valutare i prodotti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 ogni fase del loro ciclo di vita e a istituire un meccanismo di reclamo completo</w:t>
            </w:r>
            <w:r>
              <w:t>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Svenja Hahn</w:t>
      </w:r>
      <w:r>
        <w:t xml:space="preserve">, </w:t>
      </w:r>
      <w:r>
        <w:t>Claudia Gamon</w:t>
      </w:r>
      <w:r>
        <w:t xml:space="preserve">, </w:t>
      </w:r>
      <w:r>
        <w:t>Dita Charanzová</w:t>
      </w:r>
      <w:r>
        <w:t xml:space="preserve">, </w:t>
      </w:r>
      <w:r>
        <w:t>Sandro Gozi</w:t>
      </w:r>
      <w:r>
        <w:t xml:space="preserve">, </w:t>
      </w:r>
      <w:r>
        <w:t>Stéphanie Yon-Courtin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7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7.</w:t>
            </w:r>
            <w:r>
              <w:tab/>
            </w:r>
            <w:r>
              <w:t xml:space="preserve">invita la Commissione a riflettere su come valutare i prodotti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con un approccio modulare o impiegando strumenti di verifica che consentirebbero di testare</w:t>
            </w:r>
            <w:r>
              <w:t xml:space="preserve"> adeguatamente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 prodotti</w:t>
            </w:r>
            <w:r>
              <w:t xml:space="preserve"> senza creare rischi per i titolari dei DPI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imputabili all'ampia divulgazione di prodotti facilmente riproducibili</w:t>
            </w:r>
            <w:r>
              <w:t>.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7.</w:t>
            </w:r>
            <w:r>
              <w:tab/>
            </w:r>
            <w:r>
              <w:t xml:space="preserve">invita la Commissione a riflettere su come valutare i prodotti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di modo che vengano testati</w:t>
            </w:r>
            <w:r>
              <w:t xml:space="preserve"> adeguatamente senza creare rischi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inopportuni di divulgazione potenziale</w:t>
            </w:r>
            <w:r>
              <w:t xml:space="preserve"> per i titolari dei DPI.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David Cormand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Greens/EFA</w:t>
      </w:r>
      <w:r>
        <w:rPr>
          <w:rStyle w:val="HideTWBInt"/>
        </w:rPr>
        <w:t>}</w:t>
      </w:r>
      <w:r>
        <w:t>a nome del gruppo Verts/ALE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7 bis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7 bis.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osserva che i diritti di proprietà intellettuale sono un monopolio creato a favore di un numero limitato di soggetti interessati al fine di generare vantaggi per l'intera società e ritiene che la pandemia in corso abbia dimostrato che tali monopoli dovrebbero essere sempre accompagnati da adeguate eccezioni;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invita la Commissione a garantire che la futura legislazione preveda ulteriori eccezioni in materia di DPI per situazioni di emergenza, a vantaggio del bene pubblico.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Brando Benifei</w:t>
      </w:r>
      <w:r>
        <w:t xml:space="preserve">, </w:t>
      </w:r>
      <w:r>
        <w:t>Clara Aguilera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7 bis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7 bis.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sottolinea che le creazioni dell'IA, se commercializzate, potrebbero provocare distorsioni nel settore culturale e creativo, incidendo sui prezzi e sulle remunerazioni a scapito dei creatori umani;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Ivan Štefanec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7 bis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7 bis.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sottolinea l'importanza di introdurre strumenti aggiornati che consentano alle imprese di garantire i loro DPI, ad esempio introducendo blocchi digitali per i loro prodotti e servizi;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David Cormand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Greens/EFA</w:t>
      </w:r>
      <w:r>
        <w:rPr>
          <w:rStyle w:val="HideTWBInt"/>
        </w:rPr>
        <w:t>}</w:t>
      </w:r>
      <w:r>
        <w:t>a nome del gruppo Verts/ALE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7 ter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7 ter.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invita la Commissione a continuare ad analizzare il quadro giuridico e gli sviluppi tecnologici, al fine di stabilire se le attuali disposizioni giuridiche disciplinano adeguatamente le tecnologie di intelligenza artificiale e offrono risposte adeguate.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David Cormand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Greens/EFA</w:t>
      </w:r>
      <w:r>
        <w:rPr>
          <w:rStyle w:val="HideTWBInt"/>
        </w:rPr>
        <w:t>}</w:t>
      </w:r>
      <w:r>
        <w:t>a nome del gruppo Verts/ALE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7 quater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7 quater.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caldeggia l'istituzione di un organismo dell'UE incaricato di monitorare e garantire il rispetto delle disposizioni giuridiche in materia di applicazione delle tecnologie di intelligenza artificiale.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&lt;/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</w:p>
    <w:sectPr>
      <w:footerReference w:type="even" r:id="rId5"/>
      <w:footerReference w:type="default" r:id="rId6"/>
      <w:footerReference w:type="first" r:id="rId7"/>
      <w:pgSz w:w="11906" w:h="16838"/>
      <w:pgMar w:top="1134" w:right="1417" w:bottom="1417" w:left="1417" w:header="1134" w:footer="567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PFooter"/>
    </w:pP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650.629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  <w:r>
      <w:tab/>
    </w:r>
    <w:r>
      <w:fldChar w:fldCharType="begin"/>
    </w:r>
    <w:r>
      <w:instrText>PAGE</w:instrText>
    </w:r>
    <w:r>
      <w:fldChar w:fldCharType="separate"/>
    </w:r>
    <w:r>
      <w:t>24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24</w:t>
    </w:r>
    <w:r>
      <w:fldChar w:fldCharType="end"/>
    </w:r>
    <w:r>
      <w:tab/>
    </w: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AM\1204147IT.docx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</w:p>
  <w:p>
    <w:pPr>
      <w:pStyle w:val="EPFooter2"/>
    </w:pPr>
    <w:r>
      <w:t>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P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AM\1204147IT.docx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fldChar w:fldCharType="begin"/>
    </w:r>
    <w:r>
      <w:instrText>PAGE</w:instrText>
    </w:r>
    <w:r>
      <w:fldChar w:fldCharType="separate"/>
    </w:r>
    <w:r>
      <w:t>23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24</w:t>
    </w:r>
    <w:r>
      <w:fldChar w:fldCharType="end"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650.629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EPFooter2"/>
    </w:pPr>
    <w:r>
      <w:tab/>
    </w:r>
    <w:r>
      <w:tab/>
    </w:r>
    <w:r>
      <w:t>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P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AM\1204147IT.docx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650.629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EPFooter2"/>
    </w:pPr>
    <w:r>
      <w:t>IT</w:t>
    </w:r>
    <w:r>
      <w:tab/>
    </w:r>
    <w:r>
      <w:rPr>
        <w:rStyle w:val="EPFooter2Middle"/>
      </w:rPr>
      <w:t>Unita nella diversità</w:t>
    </w:r>
    <w:r>
      <w:tab/>
    </w:r>
    <w:r>
      <w:t>IT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docVars>
    <w:docVar w:name="gruik" w:val="value of gruik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styleId="TOC1">
    <w:name w:val="toc 1"/>
    <w:basedOn w:val="Normal"/>
    <w:next w:val="Normal"/>
    <w:autoRedefine/>
    <w:semiHidden/>
    <w:rsid w:val="00966A69"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sid w:val="00E546E2"/>
    <w:rPr>
      <w:rFonts w:ascii="Arial" w:hAnsi="Arial"/>
      <w:vanish/>
      <w:color w:val="808080"/>
      <w:sz w:val="20"/>
    </w:r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AmJustText">
    <w:name w:val="AmJustText"/>
    <w:basedOn w:val="Normal"/>
    <w:rsid w:val="00AF2819"/>
    <w:pPr>
      <w:spacing w:after="240"/>
    </w:pPr>
    <w:rPr>
      <w:i/>
    </w:rPr>
  </w:style>
  <w:style w:type="paragraph" w:customStyle="1" w:styleId="EPName">
    <w:name w:val="EPName"/>
    <w:basedOn w:val="Normal"/>
    <w:rsid w:val="008D5605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2C2D7B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AmCrossRef">
    <w:name w:val="AmCrossRef"/>
    <w:basedOn w:val="Normal"/>
    <w:rsid w:val="005E438B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FA20EC"/>
    <w:pPr>
      <w:keepNext/>
      <w:spacing w:before="240" w:after="240"/>
      <w:jc w:val="center"/>
    </w:pPr>
    <w:rPr>
      <w:i/>
    </w:rPr>
  </w:style>
  <w:style w:type="paragraph" w:customStyle="1" w:styleId="CoverReference">
    <w:name w:val="CoverReference"/>
    <w:basedOn w:val="Normal"/>
    <w:rsid w:val="001345CC"/>
    <w:pPr>
      <w:spacing w:before="1080"/>
      <w:jc w:val="right"/>
    </w:pPr>
    <w:rPr>
      <w:rFonts w:ascii="Arial" w:hAnsi="Arial"/>
      <w:b/>
    </w:rPr>
  </w:style>
  <w:style w:type="paragraph" w:customStyle="1" w:styleId="CoverDocType">
    <w:name w:val="CoverDocType"/>
    <w:basedOn w:val="Normal"/>
    <w:rsid w:val="001C2054"/>
    <w:pPr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rsid w:val="001345CC"/>
    <w:pPr>
      <w:spacing w:before="240" w:after="1200"/>
    </w:pPr>
  </w:style>
  <w:style w:type="paragraph" w:styleId="Header">
    <w:name w:val="header"/>
    <w:basedOn w:val="Normal"/>
    <w:link w:val="HeaderChar"/>
    <w:semiHidden/>
    <w:rsid w:val="00835256"/>
    <w:pPr>
      <w:tabs>
        <w:tab w:val="center" w:pos="4513"/>
        <w:tab w:val="right" w:pos="9026"/>
      </w:tabs>
    </w:pPr>
  </w:style>
  <w:style w:type="paragraph" w:customStyle="1" w:styleId="CoverDocType24a">
    <w:name w:val="CoverDocType24a"/>
    <w:basedOn w:val="Normal"/>
    <w:rsid w:val="008147B1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AmOrLang">
    <w:name w:val="AmOrLang"/>
    <w:basedOn w:val="Normal"/>
    <w:rsid w:val="004758C3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8833F8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C25612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CoverBold">
    <w:name w:val="CoverBold"/>
    <w:basedOn w:val="Normal"/>
    <w:rsid w:val="008833F8"/>
    <w:pPr>
      <w:ind w:left="1417"/>
    </w:pPr>
    <w:rPr>
      <w:b/>
    </w:rPr>
  </w:style>
  <w:style w:type="paragraph" w:customStyle="1" w:styleId="NormalBold12b">
    <w:name w:val="NormalBold12b"/>
    <w:basedOn w:val="Normal"/>
    <w:rsid w:val="00B662C3"/>
    <w:pPr>
      <w:spacing w:before="240"/>
    </w:pPr>
    <w:rPr>
      <w:b/>
    </w:rPr>
  </w:style>
  <w:style w:type="table" w:styleId="TableGrid">
    <w:name w:val="Table Grid"/>
    <w:basedOn w:val="TableNormal"/>
    <w:rsid w:val="0094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943062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943062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524215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8D5605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8D5605"/>
    <w:pPr>
      <w:jc w:val="right"/>
    </w:pPr>
  </w:style>
  <w:style w:type="paragraph" w:customStyle="1" w:styleId="EPFooter">
    <w:name w:val="EPFooter"/>
    <w:basedOn w:val="Normal"/>
    <w:rsid w:val="002C2D7B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835256"/>
    <w:rPr>
      <w:sz w:val="24"/>
    </w:rPr>
  </w:style>
  <w:style w:type="paragraph" w:customStyle="1" w:styleId="Normal2">
    <w:name w:val="Normal2"/>
    <w:basedOn w:val="Normal"/>
    <w:qFormat/>
    <w:rsid w:val="00571523"/>
    <w:pPr>
      <w:spacing w:line="120" w:lineRule="auto"/>
    </w:pPr>
    <w:rPr>
      <w:sz w:val="4"/>
    </w:rPr>
  </w:style>
  <w:style w:type="paragraph" w:customStyle="1" w:styleId="NormalItalic6a">
    <w:name w:val="NormalItalic6a"/>
    <w:basedOn w:val="Normal6a"/>
    <w:qFormat/>
    <w:rsid w:val="002F7606"/>
    <w:rPr>
      <w:i/>
    </w:rPr>
  </w:style>
  <w:style w:type="character" w:customStyle="1" w:styleId="NormalBI">
    <w:name w:val="NormalBI"/>
    <w:basedOn w:val="DefaultParagraphFont"/>
    <w:uiPriority w:val="1"/>
    <w:qFormat/>
    <w:rsid w:val="00E51BF4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E51BF4"/>
    <w:rPr>
      <w:b/>
      <w:i/>
    </w:rPr>
  </w:style>
  <w:style w:type="paragraph" w:customStyle="1" w:styleId="NormalBoldItalicCenter6a">
    <w:name w:val="NormalBoldItalicCenter6a"/>
    <w:basedOn w:val="Normal6a"/>
    <w:qFormat/>
    <w:rsid w:val="00E51BF4"/>
    <w:pPr>
      <w:jc w:val="center"/>
    </w:pPr>
    <w:rPr>
      <w:b/>
      <w:i/>
    </w:rPr>
  </w:style>
  <w:style w:type="paragraph" w:customStyle="1" w:styleId="EPFooter2Landscape">
    <w:name w:val="EPFooter2Landscape"/>
    <w:qFormat/>
    <w:rsid w:val="0065353E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05047"/>
    <w:rPr>
      <w:rFonts w:ascii="Arial" w:hAnsi="Arial"/>
      <w:b w:val="0"/>
      <w:i/>
      <w:color w:val="C0C0C0"/>
      <w:sz w:val="22"/>
    </w:rPr>
  </w:style>
  <w:style w:type="character" w:customStyle="1" w:styleId="Bold">
    <w:name w:val="Bold"/>
    <w:uiPriority w:val="1"/>
    <w:qFormat/>
    <w:rsid w:val="00703B09"/>
    <w:rPr>
      <w:b/>
    </w:rPr>
  </w:style>
  <w:style w:type="character" w:customStyle="1" w:styleId="Italic">
    <w:name w:val="Italic"/>
    <w:uiPriority w:val="1"/>
    <w:qFormat/>
    <w:rsid w:val="00703B09"/>
    <w:rPr>
      <w:i/>
    </w:rPr>
  </w:style>
  <w:style w:type="character" w:customStyle="1" w:styleId="BoldItalic">
    <w:name w:val="BoldItalic"/>
    <w:uiPriority w:val="1"/>
    <w:qFormat/>
    <w:rsid w:val="00703B09"/>
    <w:rPr>
      <w:b/>
      <w:i/>
    </w:rPr>
  </w:style>
  <w:style w:type="character" w:customStyle="1" w:styleId="Underline">
    <w:name w:val="Underline"/>
    <w:uiPriority w:val="1"/>
    <w:qFormat/>
    <w:rsid w:val="00703B09"/>
    <w:rPr>
      <w:u w:val="single"/>
    </w:rPr>
  </w:style>
  <w:style w:type="character" w:customStyle="1" w:styleId="Sub">
    <w:name w:val="Sub"/>
    <w:uiPriority w:val="1"/>
    <w:qFormat/>
    <w:rsid w:val="00703B09"/>
    <w:rPr>
      <w:vertAlign w:val="subscript"/>
    </w:rPr>
  </w:style>
  <w:style w:type="character" w:customStyle="1" w:styleId="Sup">
    <w:name w:val="Sup"/>
    <w:uiPriority w:val="1"/>
    <w:qFormat/>
    <w:rsid w:val="00703B09"/>
    <w:rPr>
      <w:vertAlign w:val="superscript"/>
    </w:rPr>
  </w:style>
  <w:style w:type="character" w:customStyle="1" w:styleId="SupBoldItalic">
    <w:name w:val="SupBoldItalic"/>
    <w:uiPriority w:val="1"/>
    <w:qFormat/>
    <w:rsid w:val="00703B09"/>
    <w:rPr>
      <w:b/>
      <w:i/>
      <w:vertAlign w:val="superscript"/>
    </w:rPr>
  </w:style>
  <w:style w:type="character" w:customStyle="1" w:styleId="SubBoldItalic">
    <w:name w:val="SubBoldItalic"/>
    <w:uiPriority w:val="1"/>
    <w:qFormat/>
    <w:rsid w:val="00703B09"/>
    <w:rPr>
      <w:b/>
      <w:i/>
      <w:vertAlign w:val="subscript"/>
    </w:rPr>
  </w:style>
  <w:style w:type="paragraph" w:customStyle="1" w:styleId="EPFooterLandscape">
    <w:name w:val="EPFooterLandscape"/>
    <w:qFormat/>
    <w:rsid w:val="00D25154"/>
    <w:pPr>
      <w:tabs>
        <w:tab w:val="center" w:pos="6804"/>
        <w:tab w:val="right" w:pos="15026"/>
      </w:tabs>
    </w:pPr>
    <w:rPr>
      <w:sz w:val="22"/>
    </w:rPr>
  </w:style>
  <w:style w:type="paragraph" w:styleId="Footer">
    <w:name w:val="footer"/>
    <w:basedOn w:val="Normal"/>
    <w:link w:val="FooterChar"/>
    <w:semiHidden/>
    <w:rsid w:val="008967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8967D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24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AM_Com_NonLegOpinion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IT</vt:lpwstr>
  </property>
  <property fmtid="{D5CDD505-2E9C-101B-9397-08002B2CF9AE}" pid="3" name="&lt;FdR&gt;">
    <vt:lpwstr>1204147</vt:lpwstr>
  </property>
  <property fmtid="{D5CDD505-2E9C-101B-9397-08002B2CF9AE}" pid="4" name="&lt;Model&gt;">
    <vt:lpwstr>AM_Com_NonLegOpinion</vt:lpwstr>
  </property>
  <property fmtid="{D5CDD505-2E9C-101B-9397-08002B2CF9AE}" pid="5" name="&lt;Type&gt;">
    <vt:lpwstr>AM</vt:lpwstr>
  </property>
  <property fmtid="{D5CDD505-2E9C-101B-9397-08002B2CF9AE}" pid="6" name="DMXMLUID">
    <vt:lpwstr>20200526-094116-372127-603942</vt:lpwstr>
  </property>
  <property fmtid="{D5CDD505-2E9C-101B-9397-08002B2CF9AE}" pid="7" name="FooterPath">
    <vt:lpwstr>AM\1204147IT.docx</vt:lpwstr>
  </property>
  <property fmtid="{D5CDD505-2E9C-101B-9397-08002B2CF9AE}" pid="8" name="PE Number">
    <vt:lpwstr>650.629</vt:lpwstr>
  </property>
  <property fmtid="{D5CDD505-2E9C-101B-9397-08002B2CF9AE}" pid="9" name="UID">
    <vt:lpwstr>eu.europa.europarl-DIN1-2020-0000022761_01.00-it-01.00_text-xml</vt:lpwstr>
  </property>
</Properties>
</file>